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2573F" w14:textId="71728D24" w:rsidR="00E203C2" w:rsidRDefault="00E203C2" w:rsidP="00E203C2">
      <w:r>
        <w:rPr>
          <w:noProof/>
          <w:lang w:eastAsia="en-GB" w:bidi="ar-SA"/>
        </w:rPr>
        <w:drawing>
          <wp:inline distT="0" distB="0" distL="0" distR="0" wp14:anchorId="53705D84" wp14:editId="529D8BFF">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1879DA1E" w14:textId="77777777" w:rsidR="00E203C2" w:rsidRDefault="00E203C2" w:rsidP="00E203C2"/>
    <w:p w14:paraId="5872F975" w14:textId="77777777" w:rsidR="0051072D" w:rsidRDefault="0051072D" w:rsidP="0051072D">
      <w:pPr>
        <w:rPr>
          <w:b/>
          <w:sz w:val="28"/>
          <w:szCs w:val="28"/>
        </w:rPr>
      </w:pPr>
      <w:r>
        <w:rPr>
          <w:b/>
          <w:sz w:val="28"/>
          <w:szCs w:val="28"/>
        </w:rPr>
        <w:t>17 November 2021</w:t>
      </w:r>
    </w:p>
    <w:p w14:paraId="4DD8E607" w14:textId="77777777" w:rsidR="0051072D" w:rsidRDefault="0051072D" w:rsidP="0051072D">
      <w:pPr>
        <w:rPr>
          <w:b/>
          <w:sz w:val="28"/>
          <w:szCs w:val="28"/>
        </w:rPr>
      </w:pPr>
      <w:r>
        <w:rPr>
          <w:b/>
          <w:sz w:val="28"/>
          <w:szCs w:val="28"/>
        </w:rPr>
        <w:t>179-21</w:t>
      </w:r>
    </w:p>
    <w:p w14:paraId="5B92753D" w14:textId="77777777" w:rsidR="0057615C" w:rsidRPr="0057615C" w:rsidRDefault="0057615C" w:rsidP="00690206">
      <w:pPr>
        <w:pStyle w:val="FSTitle"/>
        <w:rPr>
          <w:b/>
          <w:sz w:val="22"/>
        </w:rPr>
      </w:pPr>
      <w:bookmarkStart w:id="0" w:name="_GoBack"/>
      <w:bookmarkEnd w:id="0"/>
    </w:p>
    <w:p w14:paraId="1CA8799B" w14:textId="2EF35C9C" w:rsidR="00092CDA" w:rsidRPr="005B7A73" w:rsidRDefault="00092CDA" w:rsidP="00690206">
      <w:pPr>
        <w:pStyle w:val="FSTitle"/>
        <w:rPr>
          <w:b/>
        </w:rPr>
      </w:pPr>
      <w:r w:rsidRPr="005B7A73">
        <w:rPr>
          <w:b/>
        </w:rPr>
        <w:t>S</w:t>
      </w:r>
      <w:r w:rsidR="00B12F1E" w:rsidRPr="005B7A73">
        <w:rPr>
          <w:b/>
        </w:rPr>
        <w:t>upporting document</w:t>
      </w:r>
      <w:r w:rsidRPr="005B7A73">
        <w:rPr>
          <w:b/>
        </w:rPr>
        <w:t xml:space="preserve"> </w:t>
      </w:r>
      <w:r w:rsidR="00027E9E">
        <w:rPr>
          <w:b/>
        </w:rPr>
        <w:t>2</w:t>
      </w:r>
    </w:p>
    <w:p w14:paraId="064DFDFD" w14:textId="77777777" w:rsidR="00BA24E2" w:rsidRDefault="00BA24E2" w:rsidP="00E203C2"/>
    <w:p w14:paraId="4E9A833B" w14:textId="77777777" w:rsidR="00936AB5" w:rsidRPr="00CA60C0" w:rsidRDefault="00936AB5" w:rsidP="00936AB5">
      <w:r w:rsidRPr="00CA60C0">
        <w:rPr>
          <w:rFonts w:cs="Tahoma"/>
          <w:bCs/>
          <w:sz w:val="32"/>
        </w:rPr>
        <w:t xml:space="preserve">Microbiological assessment </w:t>
      </w:r>
      <w:r>
        <w:rPr>
          <w:rFonts w:cs="Tahoma"/>
          <w:bCs/>
          <w:sz w:val="32"/>
        </w:rPr>
        <w:t>of berries, leafy vegetables and melons</w:t>
      </w:r>
    </w:p>
    <w:p w14:paraId="18A94A73" w14:textId="77777777" w:rsidR="00936AB5" w:rsidRPr="00CA60C0" w:rsidRDefault="00936AB5" w:rsidP="00936AB5">
      <w:pPr>
        <w:pStyle w:val="FSTitle"/>
      </w:pPr>
    </w:p>
    <w:p w14:paraId="3199D35A" w14:textId="77777777" w:rsidR="00936AB5" w:rsidRPr="00CA60C0" w:rsidRDefault="00936AB5" w:rsidP="00936AB5">
      <w:pPr>
        <w:pBdr>
          <w:bottom w:val="single" w:sz="12" w:space="1" w:color="auto"/>
        </w:pBdr>
        <w:spacing w:line="280" w:lineRule="exact"/>
        <w:rPr>
          <w:rFonts w:cs="Tahoma"/>
          <w:bCs/>
          <w:sz w:val="32"/>
        </w:rPr>
      </w:pPr>
      <w:r w:rsidRPr="00CA60C0">
        <w:rPr>
          <w:rFonts w:cs="Tahoma"/>
          <w:bCs/>
          <w:sz w:val="32"/>
        </w:rPr>
        <w:t>P1052 - Primary Production and Processing Requirements for</w:t>
      </w:r>
    </w:p>
    <w:p w14:paraId="754DF8A9" w14:textId="77777777" w:rsidR="00936AB5" w:rsidRDefault="00936AB5" w:rsidP="00936AB5">
      <w:pPr>
        <w:pBdr>
          <w:bottom w:val="single" w:sz="12" w:space="1" w:color="auto"/>
        </w:pBdr>
        <w:spacing w:line="280" w:lineRule="exact"/>
        <w:rPr>
          <w:rFonts w:cs="Tahoma"/>
          <w:bCs/>
          <w:sz w:val="32"/>
        </w:rPr>
      </w:pPr>
      <w:r w:rsidRPr="00CA60C0">
        <w:rPr>
          <w:rFonts w:cs="Tahoma"/>
          <w:bCs/>
          <w:sz w:val="32"/>
        </w:rPr>
        <w:t>Horticulture</w:t>
      </w:r>
      <w:r>
        <w:rPr>
          <w:rFonts w:cs="Tahoma"/>
          <w:bCs/>
          <w:sz w:val="32"/>
        </w:rPr>
        <w:t xml:space="preserve"> (Berries, Leafy Vegetables and Melons)</w:t>
      </w:r>
    </w:p>
    <w:p w14:paraId="17DAB6BE" w14:textId="77777777" w:rsidR="00E203C2" w:rsidRPr="00B37BF0" w:rsidRDefault="00E203C2" w:rsidP="00E203C2">
      <w:pPr>
        <w:pBdr>
          <w:bottom w:val="single" w:sz="12" w:space="1" w:color="auto"/>
        </w:pBdr>
        <w:spacing w:line="280" w:lineRule="exact"/>
        <w:rPr>
          <w:rFonts w:cs="Arial"/>
          <w:bCs/>
        </w:rPr>
      </w:pPr>
    </w:p>
    <w:p w14:paraId="3CA16420" w14:textId="77777777" w:rsidR="00E203C2" w:rsidRPr="00B37BF0" w:rsidRDefault="00E203C2" w:rsidP="00E203C2"/>
    <w:p w14:paraId="168AF5F2" w14:textId="77777777" w:rsidR="00092CDA" w:rsidRPr="00092CDA" w:rsidRDefault="00092CDA" w:rsidP="00352CF2">
      <w:pPr>
        <w:pStyle w:val="Heading1"/>
        <w:spacing w:before="0"/>
      </w:pPr>
      <w:bookmarkStart w:id="1" w:name="_Toc286391001"/>
      <w:bookmarkStart w:id="2" w:name="_Toc300933414"/>
      <w:bookmarkStart w:id="3" w:name="_Toc453078193"/>
      <w:bookmarkStart w:id="4" w:name="_Toc87859997"/>
      <w:r w:rsidRPr="00092CDA">
        <w:t xml:space="preserve">Executive </w:t>
      </w:r>
      <w:r w:rsidR="00B12F1E">
        <w:t>s</w:t>
      </w:r>
      <w:r w:rsidRPr="00092CDA">
        <w:t>ummary</w:t>
      </w:r>
      <w:bookmarkEnd w:id="1"/>
      <w:bookmarkEnd w:id="2"/>
      <w:bookmarkEnd w:id="3"/>
      <w:bookmarkEnd w:id="4"/>
    </w:p>
    <w:p w14:paraId="626A9C38" w14:textId="77777777" w:rsidR="00936AB5" w:rsidRDefault="00936AB5" w:rsidP="00936AB5">
      <w:r w:rsidRPr="00407881">
        <w:t>Fresh fruit and vegetables are important components of a healthy diet</w:t>
      </w:r>
      <w:r>
        <w:t>,</w:t>
      </w:r>
      <w:r w:rsidRPr="00407881">
        <w:t xml:space="preserve"> and horticultural produce in Australia is considered safe and </w:t>
      </w:r>
      <w:r>
        <w:t>nutritious</w:t>
      </w:r>
      <w:r w:rsidRPr="00407881">
        <w:t xml:space="preserve">. </w:t>
      </w:r>
      <w:r>
        <w:t xml:space="preserve">However, in Australia and internationally, </w:t>
      </w:r>
      <w:r w:rsidRPr="00407881">
        <w:t xml:space="preserve">outbreaks of foodborne illness continue to be associated with the consumption of </w:t>
      </w:r>
      <w:r>
        <w:t xml:space="preserve">fresh </w:t>
      </w:r>
      <w:r w:rsidRPr="00407881">
        <w:t xml:space="preserve">horticultural </w:t>
      </w:r>
      <w:r>
        <w:t>produce. In order to minimise future outbreaks, it is important to understand the potential routes of contamination and which control measures can be implemented to help mitigate risks.</w:t>
      </w:r>
    </w:p>
    <w:p w14:paraId="2EF7FAF8" w14:textId="77777777" w:rsidR="00936AB5" w:rsidRDefault="00936AB5" w:rsidP="00936AB5"/>
    <w:p w14:paraId="7A63C1C6" w14:textId="27AEAAD3" w:rsidR="00936AB5" w:rsidRDefault="00936AB5" w:rsidP="00936AB5">
      <w:r>
        <w:t>Food Standards Australia New Zealand (FSANZ) has undertaken an assessment of the microbiological food safety risks associated with fresh horticultural produce in Australia to guide decisions on appropriate regulatory and non-regulatory risk management measures.</w:t>
      </w:r>
      <w:r>
        <w:br/>
        <w:t xml:space="preserve">At the request of the </w:t>
      </w:r>
      <w:r w:rsidR="001B3336">
        <w:t xml:space="preserve">then </w:t>
      </w:r>
      <w:r w:rsidRPr="00407881">
        <w:t>Australia and New Zealand Ministerial Forum on Food Regulation</w:t>
      </w:r>
      <w:r>
        <w:br/>
      </w:r>
      <w:r w:rsidRPr="00407881">
        <w:t>(the Forum</w:t>
      </w:r>
      <w:r w:rsidR="001B3336">
        <w:t xml:space="preserve"> – now the Food Ministers’ Meeting</w:t>
      </w:r>
      <w:r w:rsidRPr="00407881">
        <w:t>)</w:t>
      </w:r>
      <w:r>
        <w:t xml:space="preserve">, the assessment focused on high priority commodity sectors that have specific annexes within the Codex </w:t>
      </w:r>
      <w:r w:rsidRPr="00544A92">
        <w:rPr>
          <w:i/>
        </w:rPr>
        <w:t>Code of hygienic practice for fresh fruits and vegetables</w:t>
      </w:r>
      <w:r>
        <w:t xml:space="preserve"> </w:t>
      </w:r>
      <w:r w:rsidR="00657FDB">
        <w:t>(Codex 2017)</w:t>
      </w:r>
      <w:r>
        <w:t xml:space="preserve"> that provide additional guidance for their hygienic production. As measures are already in place for seed sprouts and ready-to-eat, minimally processed fruits and vegetables, the scope of this assessment was limited to leafy vegetables, berries and melons.</w:t>
      </w:r>
    </w:p>
    <w:p w14:paraId="600DC648" w14:textId="77777777" w:rsidR="00936AB5" w:rsidRDefault="00936AB5" w:rsidP="00936AB5"/>
    <w:p w14:paraId="0B7CB404" w14:textId="77777777" w:rsidR="00936AB5" w:rsidRDefault="00936AB5" w:rsidP="00936AB5">
      <w:r>
        <w:t>The objective of the assessment</w:t>
      </w:r>
      <w:r w:rsidRPr="005210BE">
        <w:t xml:space="preserve"> </w:t>
      </w:r>
      <w:r>
        <w:t xml:space="preserve">was </w:t>
      </w:r>
      <w:r w:rsidRPr="005210BE">
        <w:t xml:space="preserve">to identify and summarise the pathways of contamination, persistence and amplification of </w:t>
      </w:r>
      <w:r>
        <w:t xml:space="preserve">microbiological </w:t>
      </w:r>
      <w:r w:rsidRPr="005210BE">
        <w:t>hazards throughout the primary production chain</w:t>
      </w:r>
      <w:r>
        <w:t xml:space="preserve"> for leafy vegetables, berries and melons</w:t>
      </w:r>
      <w:r w:rsidRPr="005210BE">
        <w:t>. The</w:t>
      </w:r>
      <w:r>
        <w:t xml:space="preserve"> assessment </w:t>
      </w:r>
      <w:r w:rsidRPr="005210BE">
        <w:t>also aimed to identify measure</w:t>
      </w:r>
      <w:r>
        <w:t>s</w:t>
      </w:r>
      <w:r w:rsidRPr="005210BE">
        <w:t>/controls that may</w:t>
      </w:r>
      <w:r>
        <w:t xml:space="preserve"> minimise contamination of these commodities</w:t>
      </w:r>
      <w:r w:rsidRPr="005210BE">
        <w:t>.</w:t>
      </w:r>
    </w:p>
    <w:p w14:paraId="4A12BA98" w14:textId="77777777" w:rsidR="00936AB5" w:rsidRPr="008708DF" w:rsidRDefault="00936AB5" w:rsidP="00936AB5">
      <w:pPr>
        <w:rPr>
          <w:color w:val="4F6228" w:themeColor="accent3" w:themeShade="80"/>
        </w:rPr>
      </w:pPr>
    </w:p>
    <w:p w14:paraId="4B8D3B73" w14:textId="58625B94" w:rsidR="00936AB5" w:rsidRDefault="00936AB5" w:rsidP="00936AB5">
      <w:r w:rsidRPr="006851B3">
        <w:t xml:space="preserve">The assessment involved a qualitative through-chain analysis of </w:t>
      </w:r>
      <w:r>
        <w:t xml:space="preserve">the three </w:t>
      </w:r>
      <w:r w:rsidRPr="006851B3">
        <w:t xml:space="preserve">horticultural commodity sectors. </w:t>
      </w:r>
      <w:r>
        <w:t>Due to the large variety and complexity of these sectors,</w:t>
      </w:r>
      <w:r w:rsidRPr="00E772AD">
        <w:t xml:space="preserve"> </w:t>
      </w:r>
      <w:r>
        <w:t xml:space="preserve">a proxy approach was utilised. Representative </w:t>
      </w:r>
      <w:r w:rsidRPr="004B2233">
        <w:t xml:space="preserve">products and associated hazards </w:t>
      </w:r>
      <w:r>
        <w:t xml:space="preserve">for each </w:t>
      </w:r>
      <w:r w:rsidRPr="004B2233">
        <w:t>sector</w:t>
      </w:r>
      <w:r>
        <w:t xml:space="preserve"> were selected</w:t>
      </w:r>
      <w:r w:rsidRPr="004B2233">
        <w:t xml:space="preserve"> </w:t>
      </w:r>
      <w:r>
        <w:t>to enable</w:t>
      </w:r>
      <w:r w:rsidRPr="004B2233">
        <w:t xml:space="preserve"> consideration of </w:t>
      </w:r>
      <w:r w:rsidRPr="001C446E">
        <w:t xml:space="preserve">a range of cultivation </w:t>
      </w:r>
      <w:r>
        <w:t>and growing conditions, product types (including different surface types) and harvest methods.</w:t>
      </w:r>
    </w:p>
    <w:p w14:paraId="042E89A4" w14:textId="77777777" w:rsidR="00936AB5" w:rsidRDefault="00936AB5" w:rsidP="00936AB5"/>
    <w:p w14:paraId="08630A69" w14:textId="3C1E7268" w:rsidR="00936AB5" w:rsidRPr="00CC3B3E" w:rsidRDefault="00936AB5" w:rsidP="00936AB5">
      <w:r>
        <w:t xml:space="preserve">Selected commodities included lettuce, </w:t>
      </w:r>
      <w:r w:rsidR="009854E7">
        <w:t xml:space="preserve">parsley and </w:t>
      </w:r>
      <w:r>
        <w:t>spinach (leafy vegetables);</w:t>
      </w:r>
      <w:r w:rsidR="009854E7">
        <w:t xml:space="preserve"> </w:t>
      </w:r>
      <w:r>
        <w:t>blueberry</w:t>
      </w:r>
      <w:r w:rsidR="009854E7">
        <w:t>,</w:t>
      </w:r>
      <w:r>
        <w:t xml:space="preserve"> raspberry </w:t>
      </w:r>
      <w:r w:rsidR="009854E7">
        <w:t xml:space="preserve">and strawberry </w:t>
      </w:r>
      <w:r>
        <w:t>(berries); and rockmelons and watermelons (melons). The scope of the pathogens associated with these commodities was restricted to the key bacterial pathogens—</w:t>
      </w:r>
      <w:r w:rsidRPr="005A3FD9">
        <w:rPr>
          <w:i/>
        </w:rPr>
        <w:t>Salmonella</w:t>
      </w:r>
      <w:r>
        <w:t xml:space="preserve"> spp., Shiga toxin-</w:t>
      </w:r>
      <w:r w:rsidRPr="005A3FD9">
        <w:t xml:space="preserve">producing </w:t>
      </w:r>
      <w:r w:rsidRPr="005A3FD9">
        <w:rPr>
          <w:i/>
        </w:rPr>
        <w:t>Escherichia coli</w:t>
      </w:r>
      <w:r>
        <w:t xml:space="preserve"> and</w:t>
      </w:r>
      <w:r w:rsidRPr="005A3FD9">
        <w:t xml:space="preserve"> </w:t>
      </w:r>
      <w:r w:rsidRPr="005A3FD9">
        <w:rPr>
          <w:i/>
        </w:rPr>
        <w:lastRenderedPageBreak/>
        <w:t>Listeria</w:t>
      </w:r>
      <w:r>
        <w:rPr>
          <w:i/>
        </w:rPr>
        <w:t> </w:t>
      </w:r>
      <w:r w:rsidRPr="005A3FD9">
        <w:rPr>
          <w:i/>
        </w:rPr>
        <w:t>monocytogenes</w:t>
      </w:r>
      <w:r>
        <w:t xml:space="preserve">—and the </w:t>
      </w:r>
      <w:r w:rsidRPr="00CC3B3E">
        <w:t>viral pathogens</w:t>
      </w:r>
      <w:r>
        <w:t>—</w:t>
      </w:r>
      <w:r w:rsidR="00B809B0" w:rsidRPr="00CC3B3E">
        <w:t xml:space="preserve">hepatitis A virus </w:t>
      </w:r>
      <w:r w:rsidR="00B809B0">
        <w:t xml:space="preserve">and </w:t>
      </w:r>
      <w:r w:rsidRPr="00CC3B3E">
        <w:t>norovirus</w:t>
      </w:r>
      <w:r>
        <w:t>.</w:t>
      </w:r>
    </w:p>
    <w:p w14:paraId="55E44045" w14:textId="77777777" w:rsidR="00936AB5" w:rsidRDefault="00936AB5" w:rsidP="00E5657D">
      <w:pPr>
        <w:spacing w:after="120"/>
      </w:pPr>
      <w:r>
        <w:rPr>
          <w:lang w:eastAsia="en-AU" w:bidi="ar-SA"/>
        </w:rPr>
        <w:t xml:space="preserve">Based on the evidence reviewed in this report, the following risk factors represent </w:t>
      </w:r>
      <w:r>
        <w:t>important potential routes of microbial contamination for all the commodity sectors assessed:</w:t>
      </w:r>
    </w:p>
    <w:p w14:paraId="3082836A" w14:textId="77777777" w:rsidR="00936AB5" w:rsidRPr="000F2E3C" w:rsidRDefault="00936AB5" w:rsidP="00FB04CE">
      <w:pPr>
        <w:pStyle w:val="ListParagraph"/>
        <w:numPr>
          <w:ilvl w:val="0"/>
          <w:numId w:val="4"/>
        </w:numPr>
      </w:pPr>
      <w:r w:rsidRPr="000F2E3C">
        <w:t>Incursion by wildlife and domestic animals</w:t>
      </w:r>
    </w:p>
    <w:p w14:paraId="19F84603" w14:textId="77777777" w:rsidR="00936AB5" w:rsidRPr="000F2E3C" w:rsidRDefault="00936AB5" w:rsidP="00FB04CE">
      <w:pPr>
        <w:pStyle w:val="ListParagraph"/>
        <w:numPr>
          <w:ilvl w:val="0"/>
          <w:numId w:val="4"/>
        </w:numPr>
      </w:pPr>
      <w:r w:rsidRPr="000F2E3C">
        <w:t>Location of growing areas near or on land used for practices that may increase the likelihood of contamination, such as livestock production, as a wildlife habitat, urban or industrial waste</w:t>
      </w:r>
    </w:p>
    <w:p w14:paraId="64A2A606" w14:textId="77777777" w:rsidR="00936AB5" w:rsidRPr="000F2E3C" w:rsidRDefault="00936AB5" w:rsidP="00FB04CE">
      <w:pPr>
        <w:pStyle w:val="ListParagraph"/>
        <w:numPr>
          <w:ilvl w:val="0"/>
          <w:numId w:val="4"/>
        </w:numPr>
      </w:pPr>
      <w:r w:rsidRPr="000F2E3C">
        <w:t>The occurrence of extreme weather events, such as flooding or heavy rain, that could transfer pathogens to produce, fields, or irrigation water sources</w:t>
      </w:r>
    </w:p>
    <w:p w14:paraId="4EC81237" w14:textId="77777777" w:rsidR="00936AB5" w:rsidRPr="000F2E3C" w:rsidRDefault="00936AB5" w:rsidP="00FB04CE">
      <w:pPr>
        <w:pStyle w:val="ListParagraph"/>
        <w:numPr>
          <w:ilvl w:val="0"/>
          <w:numId w:val="4"/>
        </w:numPr>
      </w:pPr>
      <w:r w:rsidRPr="000F2E3C">
        <w:t>The application of untreated or insufficiently treated manure or compost amendments</w:t>
      </w:r>
    </w:p>
    <w:p w14:paraId="6C6FA03E" w14:textId="77777777" w:rsidR="00936AB5" w:rsidRPr="000F2E3C" w:rsidRDefault="00936AB5" w:rsidP="00FB04CE">
      <w:pPr>
        <w:pStyle w:val="ListParagraph"/>
        <w:numPr>
          <w:ilvl w:val="0"/>
          <w:numId w:val="4"/>
        </w:numPr>
      </w:pPr>
      <w:r w:rsidRPr="000F2E3C">
        <w:t>The use of contaminated water for irrigation, application of agricultural chemicals, and/or postharvest washing and sanitising</w:t>
      </w:r>
    </w:p>
    <w:p w14:paraId="116369AE" w14:textId="77777777" w:rsidR="00936AB5" w:rsidRPr="000F2E3C" w:rsidRDefault="00936AB5" w:rsidP="00FB04CE">
      <w:pPr>
        <w:pStyle w:val="ListParagraph"/>
        <w:numPr>
          <w:ilvl w:val="0"/>
          <w:numId w:val="4"/>
        </w:numPr>
      </w:pPr>
      <w:r w:rsidRPr="000F2E3C">
        <w:t>Insufficient monitoring and application of postharvest washing and sanitisation systems for leafy vegetables and melons</w:t>
      </w:r>
    </w:p>
    <w:p w14:paraId="2DD9F521" w14:textId="77777777" w:rsidR="00936AB5" w:rsidRPr="000F2E3C" w:rsidRDefault="00936AB5" w:rsidP="00FB04CE">
      <w:pPr>
        <w:pStyle w:val="ListParagraph"/>
        <w:numPr>
          <w:ilvl w:val="0"/>
          <w:numId w:val="4"/>
        </w:numPr>
      </w:pPr>
      <w:r w:rsidRPr="000F2E3C">
        <w:t>Contamination and cross-contamination due to poor worker and equipment hygiene, both at harvest and postharvest</w:t>
      </w:r>
      <w:r>
        <w:t>.</w:t>
      </w:r>
    </w:p>
    <w:p w14:paraId="1D9DC051" w14:textId="77777777" w:rsidR="00936AB5" w:rsidRDefault="00936AB5" w:rsidP="00936AB5">
      <w:pPr>
        <w:rPr>
          <w:rFonts w:cs="Arial"/>
          <w:color w:val="000000" w:themeColor="text1"/>
          <w:lang w:val="en-AU"/>
        </w:rPr>
      </w:pPr>
    </w:p>
    <w:p w14:paraId="47E7A849" w14:textId="77777777" w:rsidR="00936AB5" w:rsidRDefault="00936AB5" w:rsidP="00936AB5">
      <w:pPr>
        <w:rPr>
          <w:rFonts w:cs="Arial"/>
          <w:color w:val="000000" w:themeColor="text1"/>
          <w:lang w:val="en-AU"/>
        </w:rPr>
      </w:pPr>
      <w:r>
        <w:rPr>
          <w:rFonts w:cs="Arial"/>
          <w:color w:val="000000" w:themeColor="text1"/>
          <w:lang w:val="en-AU"/>
        </w:rPr>
        <w:t>Comparative estimates of risk between or within the three commodity sectors were not possible due to the qualitative nature of this assessment, limited data availability, and the large number of potential exposure pathways considered for different pathogen/commodity combinations. However, commodity specific factors that may lead to increased risk were identified.</w:t>
      </w:r>
    </w:p>
    <w:p w14:paraId="1D2FCF97" w14:textId="77777777" w:rsidR="00936AB5" w:rsidRDefault="00936AB5" w:rsidP="00936AB5"/>
    <w:p w14:paraId="4E3B89E1" w14:textId="77777777" w:rsidR="00936AB5" w:rsidRDefault="00936AB5" w:rsidP="00936AB5">
      <w:pPr>
        <w:rPr>
          <w:color w:val="000000" w:themeColor="text1"/>
        </w:rPr>
      </w:pPr>
      <w:r>
        <w:rPr>
          <w:color w:val="000000" w:themeColor="text1"/>
        </w:rPr>
        <w:t xml:space="preserve">Additional risk factors identified for leafy vegetables include: the surface characteristics of produce with rougher surfaces; the growth of plants close to the ground; </w:t>
      </w:r>
      <w:r w:rsidRPr="008731DF">
        <w:rPr>
          <w:color w:val="000000" w:themeColor="text1"/>
        </w:rPr>
        <w:t>the</w:t>
      </w:r>
      <w:r>
        <w:rPr>
          <w:color w:val="000000" w:themeColor="text1"/>
        </w:rPr>
        <w:t xml:space="preserve"> potential for</w:t>
      </w:r>
      <w:r w:rsidRPr="008731DF">
        <w:rPr>
          <w:color w:val="000000" w:themeColor="text1"/>
        </w:rPr>
        <w:t xml:space="preserve"> internalisation </w:t>
      </w:r>
      <w:r>
        <w:rPr>
          <w:color w:val="000000" w:themeColor="text1"/>
        </w:rPr>
        <w:t>of pathogens</w:t>
      </w:r>
      <w:r w:rsidRPr="008731DF">
        <w:rPr>
          <w:color w:val="000000" w:themeColor="text1"/>
        </w:rPr>
        <w:t xml:space="preserve"> in</w:t>
      </w:r>
      <w:r>
        <w:rPr>
          <w:color w:val="000000" w:themeColor="text1"/>
        </w:rPr>
        <w:t>to</w:t>
      </w:r>
      <w:r w:rsidRPr="008731DF">
        <w:rPr>
          <w:color w:val="000000" w:themeColor="text1"/>
        </w:rPr>
        <w:t xml:space="preserve"> the edible part of the plant from contaminated seed</w:t>
      </w:r>
      <w:r>
        <w:rPr>
          <w:color w:val="000000" w:themeColor="text1"/>
        </w:rPr>
        <w:t xml:space="preserve">, or from </w:t>
      </w:r>
      <w:r>
        <w:rPr>
          <w:color w:val="000000" w:themeColor="text1"/>
          <w:szCs w:val="22"/>
        </w:rPr>
        <w:t>contaminated</w:t>
      </w:r>
      <w:r w:rsidRPr="008731DF">
        <w:rPr>
          <w:color w:val="000000" w:themeColor="text1"/>
          <w:szCs w:val="22"/>
        </w:rPr>
        <w:t xml:space="preserve"> soil</w:t>
      </w:r>
      <w:r>
        <w:rPr>
          <w:color w:val="000000" w:themeColor="text1"/>
        </w:rPr>
        <w:t xml:space="preserve"> or water</w:t>
      </w:r>
      <w:r w:rsidRPr="008731DF">
        <w:rPr>
          <w:color w:val="000000" w:themeColor="text1"/>
        </w:rPr>
        <w:t xml:space="preserve"> </w:t>
      </w:r>
      <w:r w:rsidRPr="008731DF">
        <w:rPr>
          <w:color w:val="000000" w:themeColor="text1"/>
          <w:szCs w:val="22"/>
        </w:rPr>
        <w:t>via the roots</w:t>
      </w:r>
      <w:r>
        <w:rPr>
          <w:color w:val="000000" w:themeColor="text1"/>
        </w:rPr>
        <w:t xml:space="preserve"> and/or cut or damaged parts of plants; f</w:t>
      </w:r>
      <w:r w:rsidRPr="008731DF">
        <w:rPr>
          <w:color w:val="000000" w:themeColor="text1"/>
        </w:rPr>
        <w:t>ield</w:t>
      </w:r>
      <w:r>
        <w:rPr>
          <w:color w:val="000000" w:themeColor="text1"/>
        </w:rPr>
        <w:t xml:space="preserve"> packing with no subsequent washing and sanitising; t</w:t>
      </w:r>
      <w:r w:rsidRPr="008731DF">
        <w:rPr>
          <w:color w:val="000000" w:themeColor="text1"/>
        </w:rPr>
        <w:t xml:space="preserve">he </w:t>
      </w:r>
      <w:r>
        <w:rPr>
          <w:color w:val="000000" w:themeColor="text1"/>
        </w:rPr>
        <w:t xml:space="preserve">potential for internalisation during </w:t>
      </w:r>
      <w:r w:rsidRPr="008731DF">
        <w:rPr>
          <w:color w:val="000000" w:themeColor="text1"/>
        </w:rPr>
        <w:t>vacuum cooling</w:t>
      </w:r>
      <w:r>
        <w:rPr>
          <w:color w:val="000000" w:themeColor="text1"/>
        </w:rPr>
        <w:t xml:space="preserve"> or </w:t>
      </w:r>
      <w:r w:rsidRPr="000F2E3C">
        <w:t>postharvest washing</w:t>
      </w:r>
      <w:r>
        <w:rPr>
          <w:color w:val="000000" w:themeColor="text1"/>
        </w:rPr>
        <w:t>; and the potential for growth of</w:t>
      </w:r>
      <w:r w:rsidRPr="0057112B">
        <w:rPr>
          <w:color w:val="000000" w:themeColor="text1"/>
        </w:rPr>
        <w:t xml:space="preserve"> </w:t>
      </w:r>
      <w:r w:rsidRPr="000E7525">
        <w:rPr>
          <w:i/>
          <w:color w:val="000000" w:themeColor="text1"/>
        </w:rPr>
        <w:t>E.</w:t>
      </w:r>
      <w:r>
        <w:rPr>
          <w:i/>
          <w:color w:val="000000" w:themeColor="text1"/>
        </w:rPr>
        <w:t> </w:t>
      </w:r>
      <w:r w:rsidRPr="000E7525">
        <w:rPr>
          <w:i/>
          <w:color w:val="000000" w:themeColor="text1"/>
        </w:rPr>
        <w:t>coli</w:t>
      </w:r>
      <w:r>
        <w:rPr>
          <w:color w:val="000000" w:themeColor="text1"/>
        </w:rPr>
        <w:t xml:space="preserve">, </w:t>
      </w:r>
      <w:r w:rsidRPr="000E7525">
        <w:rPr>
          <w:i/>
          <w:color w:val="000000" w:themeColor="text1"/>
        </w:rPr>
        <w:t>Salmonella</w:t>
      </w:r>
      <w:r>
        <w:rPr>
          <w:i/>
          <w:color w:val="000000" w:themeColor="text1"/>
        </w:rPr>
        <w:t xml:space="preserve"> </w:t>
      </w:r>
      <w:r>
        <w:rPr>
          <w:color w:val="000000" w:themeColor="text1"/>
        </w:rPr>
        <w:t xml:space="preserve">spp., and </w:t>
      </w:r>
      <w:r w:rsidRPr="000E7525">
        <w:rPr>
          <w:i/>
          <w:color w:val="000000" w:themeColor="text1"/>
        </w:rPr>
        <w:t>L. monocytogenes</w:t>
      </w:r>
      <w:r w:rsidRPr="0057112B">
        <w:rPr>
          <w:color w:val="000000" w:themeColor="text1"/>
        </w:rPr>
        <w:t xml:space="preserve"> </w:t>
      </w:r>
      <w:r>
        <w:rPr>
          <w:color w:val="000000" w:themeColor="text1"/>
        </w:rPr>
        <w:t>on whole and/or cut leafy vegetables.</w:t>
      </w:r>
    </w:p>
    <w:p w14:paraId="5D255527" w14:textId="77777777" w:rsidR="00936AB5" w:rsidRDefault="00936AB5" w:rsidP="00936AB5">
      <w:pPr>
        <w:tabs>
          <w:tab w:val="left" w:pos="1090"/>
        </w:tabs>
        <w:rPr>
          <w:color w:val="000000" w:themeColor="text1"/>
        </w:rPr>
      </w:pPr>
    </w:p>
    <w:p w14:paraId="7C409FE4" w14:textId="77777777" w:rsidR="00936AB5" w:rsidRDefault="00936AB5" w:rsidP="00936AB5">
      <w:r>
        <w:rPr>
          <w:color w:val="000000" w:themeColor="text1"/>
        </w:rPr>
        <w:t xml:space="preserve">Additional risk factors identified for berries include: rougher </w:t>
      </w:r>
      <w:r>
        <w:t>surface characteristics of strawberries and raspberries; growth of strawberries closer to the ground; the use of contaminated water for berries that require frost protection; the potential for internalisation of pathogens</w:t>
      </w:r>
      <w:r w:rsidRPr="00265473">
        <w:rPr>
          <w:szCs w:val="22"/>
        </w:rPr>
        <w:t xml:space="preserve"> </w:t>
      </w:r>
      <w:r>
        <w:t>in</w:t>
      </w:r>
      <w:r w:rsidRPr="00265473">
        <w:rPr>
          <w:szCs w:val="22"/>
        </w:rPr>
        <w:t>to the edible portion of the plant</w:t>
      </w:r>
      <w:r>
        <w:t xml:space="preserve"> from contaminated soil via the roots; hand-picking and excessive handling; and the packing of berries with no washing and sanitising step.</w:t>
      </w:r>
    </w:p>
    <w:p w14:paraId="5642EF27" w14:textId="77777777" w:rsidR="00936AB5" w:rsidRDefault="00936AB5" w:rsidP="00936AB5">
      <w:pPr>
        <w:rPr>
          <w:color w:val="000000" w:themeColor="text1"/>
        </w:rPr>
      </w:pPr>
    </w:p>
    <w:p w14:paraId="60DD98C9" w14:textId="77777777" w:rsidR="00936AB5" w:rsidRDefault="00936AB5" w:rsidP="00936AB5">
      <w:pPr>
        <w:rPr>
          <w:color w:val="000000" w:themeColor="text1"/>
        </w:rPr>
      </w:pPr>
      <w:r>
        <w:rPr>
          <w:color w:val="000000" w:themeColor="text1"/>
        </w:rPr>
        <w:t xml:space="preserve">Additional risk factors identified for melons include: the rougher surface of rockmelons compared to watermelons; the growth of melons close to the ground; the field packing of melons with no subsequent sanitisation step; the potential for internalisation of pathogens into rockmelons during postharvest washing; and the potential for growth of </w:t>
      </w:r>
      <w:r w:rsidRPr="0057112B">
        <w:rPr>
          <w:i/>
          <w:color w:val="000000" w:themeColor="text1"/>
        </w:rPr>
        <w:t>Salmonella</w:t>
      </w:r>
      <w:r>
        <w:rPr>
          <w:color w:val="000000" w:themeColor="text1"/>
        </w:rPr>
        <w:t xml:space="preserve"> spp. and </w:t>
      </w:r>
      <w:r w:rsidRPr="0057112B">
        <w:rPr>
          <w:i/>
          <w:color w:val="000000" w:themeColor="text1"/>
        </w:rPr>
        <w:t>L. monocytogenes</w:t>
      </w:r>
      <w:r>
        <w:rPr>
          <w:color w:val="000000" w:themeColor="text1"/>
        </w:rPr>
        <w:t xml:space="preserve"> on the rind and flesh of rockmelons and the flesh of watermelons.</w:t>
      </w:r>
    </w:p>
    <w:p w14:paraId="303B4D42" w14:textId="77777777" w:rsidR="00936AB5" w:rsidRPr="00725B9C" w:rsidRDefault="00936AB5" w:rsidP="00936AB5">
      <w:pPr>
        <w:rPr>
          <w:b/>
        </w:rPr>
      </w:pPr>
    </w:p>
    <w:p w14:paraId="6E0FA894" w14:textId="77777777" w:rsidR="00936AB5" w:rsidRDefault="00936AB5" w:rsidP="00936AB5">
      <w:r>
        <w:t>There is significant variation in the production methods and combinations of risk factors on farm, within and between the commodity sectors. That variation influences the presence and persistence of pathogens and, therefore, the associated risk. The commonality across these commodity sectors is that horticultural produce is generally consumed raw, with little or no further processing, and there is currently no single step during primary production and processing that can ensure end product safety.</w:t>
      </w:r>
    </w:p>
    <w:p w14:paraId="69C31A2B" w14:textId="77777777" w:rsidR="00936AB5" w:rsidRDefault="00936AB5" w:rsidP="00936AB5"/>
    <w:p w14:paraId="521058DF" w14:textId="77777777" w:rsidR="00EC19BD" w:rsidRDefault="00EC19BD">
      <w:pPr>
        <w:widowControl/>
        <w:rPr>
          <w:rFonts w:cs="Arial"/>
          <w:color w:val="000000" w:themeColor="text1"/>
          <w:lang w:val="en-AU"/>
        </w:rPr>
      </w:pPr>
      <w:r>
        <w:rPr>
          <w:rFonts w:cs="Arial"/>
          <w:color w:val="000000" w:themeColor="text1"/>
          <w:lang w:val="en-AU"/>
        </w:rPr>
        <w:br w:type="page"/>
      </w:r>
    </w:p>
    <w:p w14:paraId="7CCFCCBE" w14:textId="15E01EF5" w:rsidR="00936AB5" w:rsidRPr="00277D2A" w:rsidRDefault="00936AB5" w:rsidP="00936AB5">
      <w:pPr>
        <w:rPr>
          <w:rFonts w:cs="Arial"/>
          <w:lang w:val="en-AU"/>
        </w:rPr>
      </w:pPr>
      <w:r>
        <w:rPr>
          <w:rFonts w:cs="Arial"/>
          <w:color w:val="000000" w:themeColor="text1"/>
          <w:lang w:val="en-AU"/>
        </w:rPr>
        <w:lastRenderedPageBreak/>
        <w:t xml:space="preserve">A range of control measures were identified during primary production, harvest and postharvest activities to minimise pathogen contamination of horticultural produce. These include applying good agricultural practices, good hygienic practices at harvest and postharvest, and controlling inputs through-chain (including the </w:t>
      </w:r>
      <w:r w:rsidRPr="00277D2A">
        <w:rPr>
          <w:rFonts w:cs="Arial"/>
          <w:lang w:val="en-AU"/>
        </w:rPr>
        <w:t>effective use of sanitisers when applied) and are applicable to the commodities assessed in this report</w:t>
      </w:r>
      <w:r>
        <w:rPr>
          <w:rFonts w:cs="Arial"/>
          <w:lang w:val="en-AU"/>
        </w:rPr>
        <w:t>,</w:t>
      </w:r>
      <w:r w:rsidRPr="00277D2A">
        <w:rPr>
          <w:rFonts w:cs="Arial"/>
          <w:lang w:val="en-AU"/>
        </w:rPr>
        <w:t xml:space="preserve"> whether intended to be consumed raw or processed as a ready-to-eat food without a control step that significantly reduces the microbial load.</w:t>
      </w:r>
    </w:p>
    <w:p w14:paraId="4AEE8F28" w14:textId="77777777" w:rsidR="00936AB5" w:rsidRPr="00277D2A" w:rsidRDefault="00936AB5" w:rsidP="00936AB5"/>
    <w:p w14:paraId="3CF6CE5E" w14:textId="77777777" w:rsidR="00936AB5" w:rsidRDefault="00936AB5" w:rsidP="00936AB5">
      <w:r w:rsidRPr="00277D2A">
        <w:t xml:space="preserve">The safety of these commodities relies on a consistent </w:t>
      </w:r>
      <w:r>
        <w:t>and well managed through-chain, multi-hurdle approach to minimise risk. This includes managing inputs and responding to changes in the growing environment that could increase the likelihood of contamination. It is not possible to completely eliminate risk to consumers from fresh produce at the primary production level—the handling through to, and by, consumers must also seek to minimise risks. However, this assessment concludes that risk management required to ensure end product safety of these commodities, needs to begin on farm.</w:t>
      </w:r>
    </w:p>
    <w:p w14:paraId="6C0A01FA" w14:textId="46C846C9" w:rsidR="00936AB5" w:rsidRDefault="00936AB5">
      <w:pPr>
        <w:widowControl/>
      </w:pPr>
      <w:r>
        <w:br w:type="page"/>
      </w:r>
    </w:p>
    <w:p w14:paraId="650405DF" w14:textId="77777777" w:rsidR="00936AB5" w:rsidRDefault="00936AB5" w:rsidP="00936AB5">
      <w:pPr>
        <w:pStyle w:val="Heading1"/>
        <w:ind w:left="567" w:hanging="567"/>
      </w:pPr>
      <w:bookmarkStart w:id="5" w:name="_Toc64448737"/>
      <w:bookmarkStart w:id="6" w:name="_Toc87859998"/>
      <w:r>
        <w:lastRenderedPageBreak/>
        <w:t>Acknowledgements</w:t>
      </w:r>
      <w:bookmarkEnd w:id="5"/>
      <w:bookmarkEnd w:id="6"/>
    </w:p>
    <w:p w14:paraId="5CEA127C" w14:textId="7BB5396C" w:rsidR="00936AB5" w:rsidRPr="00F55E26" w:rsidRDefault="001B3336" w:rsidP="00936AB5">
      <w:pPr>
        <w:autoSpaceDE w:val="0"/>
        <w:autoSpaceDN w:val="0"/>
        <w:adjustRightInd w:val="0"/>
        <w:rPr>
          <w:rFonts w:cs="Arial"/>
          <w:szCs w:val="22"/>
          <w:lang w:bidi="ar-SA"/>
        </w:rPr>
      </w:pPr>
      <w:r>
        <w:rPr>
          <w:rFonts w:cs="Arial"/>
        </w:rPr>
        <w:t xml:space="preserve">FSANZ </w:t>
      </w:r>
      <w:r w:rsidR="00936AB5">
        <w:rPr>
          <w:rFonts w:cs="Arial"/>
        </w:rPr>
        <w:t>gratefully acknowledges the support and assistance</w:t>
      </w:r>
      <w:r w:rsidR="00F55E26">
        <w:rPr>
          <w:rFonts w:cs="Arial"/>
          <w:szCs w:val="22"/>
          <w:lang w:bidi="ar-SA"/>
        </w:rPr>
        <w:t xml:space="preserve"> </w:t>
      </w:r>
      <w:r w:rsidR="00936AB5">
        <w:rPr>
          <w:rFonts w:cs="Arial"/>
        </w:rPr>
        <w:t>provided by many organisations and individuals in the preparation of this report. Special thanks are extended to Australian horticulture industry personnel who graciously authorised access to premises and industry information, and also to the Horticulture Standards Development Advisory Group and State and Territory Health and Primary Industry Departments.</w:t>
      </w:r>
    </w:p>
    <w:p w14:paraId="1AD40D6B" w14:textId="77777777" w:rsidR="00936AB5" w:rsidRDefault="00936AB5" w:rsidP="00936AB5">
      <w:pPr>
        <w:autoSpaceDE w:val="0"/>
        <w:autoSpaceDN w:val="0"/>
        <w:adjustRightInd w:val="0"/>
        <w:rPr>
          <w:rFonts w:cs="Arial"/>
        </w:rPr>
      </w:pPr>
    </w:p>
    <w:p w14:paraId="0CBCE426" w14:textId="3CE27081" w:rsidR="00936AB5" w:rsidRDefault="001B3336" w:rsidP="00936AB5">
      <w:pPr>
        <w:autoSpaceDE w:val="0"/>
        <w:autoSpaceDN w:val="0"/>
        <w:adjustRightInd w:val="0"/>
        <w:rPr>
          <w:rFonts w:cs="Arial"/>
        </w:rPr>
      </w:pPr>
      <w:r>
        <w:rPr>
          <w:rFonts w:cs="Arial"/>
        </w:rPr>
        <w:t>FSANZ</w:t>
      </w:r>
      <w:r w:rsidR="00936AB5">
        <w:rPr>
          <w:rFonts w:cs="Arial"/>
        </w:rPr>
        <w:t xml:space="preserve"> is grateful for advice and guidance provided by</w:t>
      </w:r>
      <w:r w:rsidR="00F55E26">
        <w:rPr>
          <w:rFonts w:cs="Arial"/>
        </w:rPr>
        <w:t xml:space="preserve"> </w:t>
      </w:r>
      <w:r w:rsidR="00936AB5">
        <w:rPr>
          <w:rFonts w:cs="Arial"/>
        </w:rPr>
        <w:t>the peer reviewer Professor Robyn McConchie (ARC Training Centre for Food Safety in the Fresh Produce Industry, University of Sydney).</w:t>
      </w:r>
    </w:p>
    <w:p w14:paraId="0C505D45" w14:textId="77777777" w:rsidR="00092CDA" w:rsidRDefault="00092CDA" w:rsidP="00690206"/>
    <w:p w14:paraId="56FAD572" w14:textId="77777777" w:rsidR="00092CDA" w:rsidRDefault="00092CDA" w:rsidP="00690206"/>
    <w:p w14:paraId="6FDB598B" w14:textId="77777777" w:rsidR="00092CDA" w:rsidRDefault="00092CDA" w:rsidP="00690206">
      <w:pPr>
        <w:sectPr w:rsidR="00092CDA" w:rsidSect="0054272D">
          <w:footerReference w:type="even" r:id="rId15"/>
          <w:footerReference w:type="default" r:id="rId16"/>
          <w:headerReference w:type="first" r:id="rId17"/>
          <w:pgSz w:w="11906" w:h="16838"/>
          <w:pgMar w:top="1418" w:right="1418" w:bottom="1418" w:left="1418" w:header="709" w:footer="709" w:gutter="0"/>
          <w:pgNumType w:fmt="lowerRoman" w:start="1"/>
          <w:cols w:space="708"/>
          <w:docGrid w:linePitch="360"/>
        </w:sectPr>
      </w:pPr>
    </w:p>
    <w:sdt>
      <w:sdtPr>
        <w:rPr>
          <w:b w:val="0"/>
          <w:bCs w:val="0"/>
          <w:sz w:val="22"/>
          <w:szCs w:val="24"/>
          <w:lang w:bidi="en-US"/>
        </w:rPr>
        <w:id w:val="1781998642"/>
        <w:docPartObj>
          <w:docPartGallery w:val="Table of Contents"/>
          <w:docPartUnique/>
        </w:docPartObj>
      </w:sdtPr>
      <w:sdtEndPr>
        <w:rPr>
          <w:noProof/>
        </w:rPr>
      </w:sdtEndPr>
      <w:sdtContent>
        <w:p w14:paraId="3756FD2A" w14:textId="62D71F91" w:rsidR="00837C34" w:rsidRDefault="00492EF7">
          <w:pPr>
            <w:pStyle w:val="TOCHeading"/>
          </w:pPr>
          <w:r>
            <w:t xml:space="preserve">Table of </w:t>
          </w:r>
          <w:r w:rsidR="00837C34">
            <w:t>Contents</w:t>
          </w:r>
        </w:p>
        <w:p w14:paraId="51F99613" w14:textId="7880BAA8" w:rsidR="001F39CB" w:rsidRDefault="00837C34">
          <w:pPr>
            <w:pStyle w:val="TOC1"/>
            <w:tabs>
              <w:tab w:val="right" w:leader="dot" w:pos="9060"/>
            </w:tabs>
            <w:rPr>
              <w:rFonts w:eastAsiaTheme="minorEastAsia" w:cstheme="minorBidi"/>
              <w:b w:val="0"/>
              <w:bCs w:val="0"/>
              <w:caps w:val="0"/>
              <w:noProof/>
              <w:sz w:val="22"/>
              <w:szCs w:val="22"/>
              <w:lang w:eastAsia="en-GB" w:bidi="ar-SA"/>
            </w:rPr>
          </w:pPr>
          <w:r>
            <w:fldChar w:fldCharType="begin"/>
          </w:r>
          <w:r>
            <w:instrText xml:space="preserve"> TOC \o "1-3" \h \z \u </w:instrText>
          </w:r>
          <w:r>
            <w:fldChar w:fldCharType="separate"/>
          </w:r>
          <w:hyperlink w:anchor="_Toc87859997" w:history="1">
            <w:r w:rsidR="001F39CB" w:rsidRPr="00715739">
              <w:rPr>
                <w:rStyle w:val="Hyperlink"/>
                <w:noProof/>
              </w:rPr>
              <w:t>Executive summary</w:t>
            </w:r>
            <w:r w:rsidR="001F39CB">
              <w:rPr>
                <w:noProof/>
                <w:webHidden/>
              </w:rPr>
              <w:tab/>
            </w:r>
            <w:r w:rsidR="001F39CB">
              <w:rPr>
                <w:noProof/>
                <w:webHidden/>
              </w:rPr>
              <w:fldChar w:fldCharType="begin"/>
            </w:r>
            <w:r w:rsidR="001F39CB">
              <w:rPr>
                <w:noProof/>
                <w:webHidden/>
              </w:rPr>
              <w:instrText xml:space="preserve"> PAGEREF _Toc87859997 \h </w:instrText>
            </w:r>
            <w:r w:rsidR="001F39CB">
              <w:rPr>
                <w:noProof/>
                <w:webHidden/>
              </w:rPr>
            </w:r>
            <w:r w:rsidR="001F39CB">
              <w:rPr>
                <w:noProof/>
                <w:webHidden/>
              </w:rPr>
              <w:fldChar w:fldCharType="separate"/>
            </w:r>
            <w:r w:rsidR="00A952A2">
              <w:rPr>
                <w:noProof/>
                <w:webHidden/>
              </w:rPr>
              <w:t>i</w:t>
            </w:r>
            <w:r w:rsidR="001F39CB">
              <w:rPr>
                <w:noProof/>
                <w:webHidden/>
              </w:rPr>
              <w:fldChar w:fldCharType="end"/>
            </w:r>
          </w:hyperlink>
        </w:p>
        <w:p w14:paraId="6EFF3310" w14:textId="1003272B" w:rsidR="001F39CB" w:rsidRDefault="00C97803">
          <w:pPr>
            <w:pStyle w:val="TOC1"/>
            <w:tabs>
              <w:tab w:val="right" w:leader="dot" w:pos="9060"/>
            </w:tabs>
            <w:rPr>
              <w:rFonts w:eastAsiaTheme="minorEastAsia" w:cstheme="minorBidi"/>
              <w:b w:val="0"/>
              <w:bCs w:val="0"/>
              <w:caps w:val="0"/>
              <w:noProof/>
              <w:sz w:val="22"/>
              <w:szCs w:val="22"/>
              <w:lang w:eastAsia="en-GB" w:bidi="ar-SA"/>
            </w:rPr>
          </w:pPr>
          <w:hyperlink w:anchor="_Toc87859998" w:history="1">
            <w:r w:rsidR="001F39CB" w:rsidRPr="00715739">
              <w:rPr>
                <w:rStyle w:val="Hyperlink"/>
                <w:noProof/>
              </w:rPr>
              <w:t>Acknowledgements</w:t>
            </w:r>
            <w:r w:rsidR="001F39CB">
              <w:rPr>
                <w:noProof/>
                <w:webHidden/>
              </w:rPr>
              <w:tab/>
            </w:r>
            <w:r w:rsidR="001F39CB">
              <w:rPr>
                <w:noProof/>
                <w:webHidden/>
              </w:rPr>
              <w:fldChar w:fldCharType="begin"/>
            </w:r>
            <w:r w:rsidR="001F39CB">
              <w:rPr>
                <w:noProof/>
                <w:webHidden/>
              </w:rPr>
              <w:instrText xml:space="preserve"> PAGEREF _Toc87859998 \h </w:instrText>
            </w:r>
            <w:r w:rsidR="001F39CB">
              <w:rPr>
                <w:noProof/>
                <w:webHidden/>
              </w:rPr>
            </w:r>
            <w:r w:rsidR="001F39CB">
              <w:rPr>
                <w:noProof/>
                <w:webHidden/>
              </w:rPr>
              <w:fldChar w:fldCharType="separate"/>
            </w:r>
            <w:r w:rsidR="00A952A2">
              <w:rPr>
                <w:noProof/>
                <w:webHidden/>
              </w:rPr>
              <w:t>iv</w:t>
            </w:r>
            <w:r w:rsidR="001F39CB">
              <w:rPr>
                <w:noProof/>
                <w:webHidden/>
              </w:rPr>
              <w:fldChar w:fldCharType="end"/>
            </w:r>
          </w:hyperlink>
        </w:p>
        <w:p w14:paraId="4F56D6B0" w14:textId="4629B360" w:rsidR="001F39CB" w:rsidRDefault="00C97803">
          <w:pPr>
            <w:pStyle w:val="TOC1"/>
            <w:tabs>
              <w:tab w:val="left" w:pos="440"/>
              <w:tab w:val="right" w:leader="dot" w:pos="9060"/>
            </w:tabs>
            <w:rPr>
              <w:rFonts w:eastAsiaTheme="minorEastAsia" w:cstheme="minorBidi"/>
              <w:b w:val="0"/>
              <w:bCs w:val="0"/>
              <w:caps w:val="0"/>
              <w:noProof/>
              <w:sz w:val="22"/>
              <w:szCs w:val="22"/>
              <w:lang w:eastAsia="en-GB" w:bidi="ar-SA"/>
            </w:rPr>
          </w:pPr>
          <w:hyperlink w:anchor="_Toc87859999" w:history="1">
            <w:r w:rsidR="001F39CB" w:rsidRPr="00715739">
              <w:rPr>
                <w:rStyle w:val="Hyperlink"/>
                <w:noProof/>
              </w:rPr>
              <w:t>1</w:t>
            </w:r>
            <w:r w:rsidR="001F39CB">
              <w:rPr>
                <w:rFonts w:eastAsiaTheme="minorEastAsia" w:cstheme="minorBidi"/>
                <w:b w:val="0"/>
                <w:bCs w:val="0"/>
                <w:caps w:val="0"/>
                <w:noProof/>
                <w:sz w:val="22"/>
                <w:szCs w:val="22"/>
                <w:lang w:eastAsia="en-GB" w:bidi="ar-SA"/>
              </w:rPr>
              <w:tab/>
            </w:r>
            <w:r w:rsidR="001F39CB" w:rsidRPr="00715739">
              <w:rPr>
                <w:rStyle w:val="Hyperlink"/>
                <w:noProof/>
              </w:rPr>
              <w:t>Introduction</w:t>
            </w:r>
            <w:r w:rsidR="001F39CB">
              <w:rPr>
                <w:noProof/>
                <w:webHidden/>
              </w:rPr>
              <w:tab/>
            </w:r>
            <w:r w:rsidR="001F39CB">
              <w:rPr>
                <w:noProof/>
                <w:webHidden/>
              </w:rPr>
              <w:fldChar w:fldCharType="begin"/>
            </w:r>
            <w:r w:rsidR="001F39CB">
              <w:rPr>
                <w:noProof/>
                <w:webHidden/>
              </w:rPr>
              <w:instrText xml:space="preserve"> PAGEREF _Toc87859999 \h </w:instrText>
            </w:r>
            <w:r w:rsidR="001F39CB">
              <w:rPr>
                <w:noProof/>
                <w:webHidden/>
              </w:rPr>
            </w:r>
            <w:r w:rsidR="001F39CB">
              <w:rPr>
                <w:noProof/>
                <w:webHidden/>
              </w:rPr>
              <w:fldChar w:fldCharType="separate"/>
            </w:r>
            <w:r w:rsidR="00A952A2">
              <w:rPr>
                <w:noProof/>
                <w:webHidden/>
              </w:rPr>
              <w:t>4</w:t>
            </w:r>
            <w:r w:rsidR="001F39CB">
              <w:rPr>
                <w:noProof/>
                <w:webHidden/>
              </w:rPr>
              <w:fldChar w:fldCharType="end"/>
            </w:r>
          </w:hyperlink>
        </w:p>
        <w:p w14:paraId="5176EABD" w14:textId="6E7A36E3" w:rsidR="001F39CB" w:rsidRDefault="00C97803">
          <w:pPr>
            <w:pStyle w:val="TOC1"/>
            <w:tabs>
              <w:tab w:val="left" w:pos="440"/>
              <w:tab w:val="right" w:leader="dot" w:pos="9060"/>
            </w:tabs>
            <w:rPr>
              <w:rFonts w:eastAsiaTheme="minorEastAsia" w:cstheme="minorBidi"/>
              <w:b w:val="0"/>
              <w:bCs w:val="0"/>
              <w:caps w:val="0"/>
              <w:noProof/>
              <w:sz w:val="22"/>
              <w:szCs w:val="22"/>
              <w:lang w:eastAsia="en-GB" w:bidi="ar-SA"/>
            </w:rPr>
          </w:pPr>
          <w:hyperlink w:anchor="_Toc87860000" w:history="1">
            <w:r w:rsidR="001F39CB" w:rsidRPr="00715739">
              <w:rPr>
                <w:rStyle w:val="Hyperlink"/>
                <w:noProof/>
              </w:rPr>
              <w:t>2</w:t>
            </w:r>
            <w:r w:rsidR="001F39CB">
              <w:rPr>
                <w:rFonts w:eastAsiaTheme="minorEastAsia" w:cstheme="minorBidi"/>
                <w:b w:val="0"/>
                <w:bCs w:val="0"/>
                <w:caps w:val="0"/>
                <w:noProof/>
                <w:sz w:val="22"/>
                <w:szCs w:val="22"/>
                <w:lang w:eastAsia="en-GB" w:bidi="ar-SA"/>
              </w:rPr>
              <w:tab/>
            </w:r>
            <w:r w:rsidR="001F39CB" w:rsidRPr="00715739">
              <w:rPr>
                <w:rStyle w:val="Hyperlink"/>
                <w:noProof/>
              </w:rPr>
              <w:t>Objective of the assessment, risk assessment questions, scope, and approach</w:t>
            </w:r>
            <w:r w:rsidR="001F39CB">
              <w:rPr>
                <w:noProof/>
                <w:webHidden/>
              </w:rPr>
              <w:tab/>
            </w:r>
            <w:r w:rsidR="001F39CB">
              <w:rPr>
                <w:noProof/>
                <w:webHidden/>
              </w:rPr>
              <w:fldChar w:fldCharType="begin"/>
            </w:r>
            <w:r w:rsidR="001F39CB">
              <w:rPr>
                <w:noProof/>
                <w:webHidden/>
              </w:rPr>
              <w:instrText xml:space="preserve"> PAGEREF _Toc87860000 \h </w:instrText>
            </w:r>
            <w:r w:rsidR="001F39CB">
              <w:rPr>
                <w:noProof/>
                <w:webHidden/>
              </w:rPr>
            </w:r>
            <w:r w:rsidR="001F39CB">
              <w:rPr>
                <w:noProof/>
                <w:webHidden/>
              </w:rPr>
              <w:fldChar w:fldCharType="separate"/>
            </w:r>
            <w:r w:rsidR="00A952A2">
              <w:rPr>
                <w:noProof/>
                <w:webHidden/>
              </w:rPr>
              <w:t>6</w:t>
            </w:r>
            <w:r w:rsidR="001F39CB">
              <w:rPr>
                <w:noProof/>
                <w:webHidden/>
              </w:rPr>
              <w:fldChar w:fldCharType="end"/>
            </w:r>
          </w:hyperlink>
        </w:p>
        <w:p w14:paraId="5A183577" w14:textId="36CAD5B3"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01" w:history="1">
            <w:r w:rsidR="001F39CB" w:rsidRPr="00715739">
              <w:rPr>
                <w:rStyle w:val="Hyperlink"/>
                <w:noProof/>
              </w:rPr>
              <w:t>2.1</w:t>
            </w:r>
            <w:r w:rsidR="001F39CB">
              <w:rPr>
                <w:rFonts w:eastAsiaTheme="minorEastAsia" w:cstheme="minorBidi"/>
                <w:smallCaps w:val="0"/>
                <w:noProof/>
                <w:sz w:val="22"/>
                <w:szCs w:val="22"/>
                <w:lang w:eastAsia="en-GB" w:bidi="ar-SA"/>
              </w:rPr>
              <w:tab/>
            </w:r>
            <w:r w:rsidR="001F39CB" w:rsidRPr="00715739">
              <w:rPr>
                <w:rStyle w:val="Hyperlink"/>
                <w:noProof/>
              </w:rPr>
              <w:t>Objective</w:t>
            </w:r>
            <w:r w:rsidR="001F39CB">
              <w:rPr>
                <w:noProof/>
                <w:webHidden/>
              </w:rPr>
              <w:tab/>
            </w:r>
            <w:r w:rsidR="001F39CB">
              <w:rPr>
                <w:noProof/>
                <w:webHidden/>
              </w:rPr>
              <w:fldChar w:fldCharType="begin"/>
            </w:r>
            <w:r w:rsidR="001F39CB">
              <w:rPr>
                <w:noProof/>
                <w:webHidden/>
              </w:rPr>
              <w:instrText xml:space="preserve"> PAGEREF _Toc87860001 \h </w:instrText>
            </w:r>
            <w:r w:rsidR="001F39CB">
              <w:rPr>
                <w:noProof/>
                <w:webHidden/>
              </w:rPr>
            </w:r>
            <w:r w:rsidR="001F39CB">
              <w:rPr>
                <w:noProof/>
                <w:webHidden/>
              </w:rPr>
              <w:fldChar w:fldCharType="separate"/>
            </w:r>
            <w:r w:rsidR="00A952A2">
              <w:rPr>
                <w:noProof/>
                <w:webHidden/>
              </w:rPr>
              <w:t>6</w:t>
            </w:r>
            <w:r w:rsidR="001F39CB">
              <w:rPr>
                <w:noProof/>
                <w:webHidden/>
              </w:rPr>
              <w:fldChar w:fldCharType="end"/>
            </w:r>
          </w:hyperlink>
        </w:p>
        <w:p w14:paraId="6DC80A24" w14:textId="07CD9B6D"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02" w:history="1">
            <w:r w:rsidR="001F39CB" w:rsidRPr="00715739">
              <w:rPr>
                <w:rStyle w:val="Hyperlink"/>
                <w:noProof/>
              </w:rPr>
              <w:t>2.2</w:t>
            </w:r>
            <w:r w:rsidR="001F39CB">
              <w:rPr>
                <w:rFonts w:eastAsiaTheme="minorEastAsia" w:cstheme="minorBidi"/>
                <w:smallCaps w:val="0"/>
                <w:noProof/>
                <w:sz w:val="22"/>
                <w:szCs w:val="22"/>
                <w:lang w:eastAsia="en-GB" w:bidi="ar-SA"/>
              </w:rPr>
              <w:tab/>
            </w:r>
            <w:r w:rsidR="001F39CB" w:rsidRPr="00715739">
              <w:rPr>
                <w:rStyle w:val="Hyperlink"/>
                <w:noProof/>
              </w:rPr>
              <w:t>Risk assessment questions</w:t>
            </w:r>
            <w:r w:rsidR="001F39CB">
              <w:rPr>
                <w:noProof/>
                <w:webHidden/>
              </w:rPr>
              <w:tab/>
            </w:r>
            <w:r w:rsidR="001F39CB">
              <w:rPr>
                <w:noProof/>
                <w:webHidden/>
              </w:rPr>
              <w:fldChar w:fldCharType="begin"/>
            </w:r>
            <w:r w:rsidR="001F39CB">
              <w:rPr>
                <w:noProof/>
                <w:webHidden/>
              </w:rPr>
              <w:instrText xml:space="preserve"> PAGEREF _Toc87860002 \h </w:instrText>
            </w:r>
            <w:r w:rsidR="001F39CB">
              <w:rPr>
                <w:noProof/>
                <w:webHidden/>
              </w:rPr>
            </w:r>
            <w:r w:rsidR="001F39CB">
              <w:rPr>
                <w:noProof/>
                <w:webHidden/>
              </w:rPr>
              <w:fldChar w:fldCharType="separate"/>
            </w:r>
            <w:r w:rsidR="00A952A2">
              <w:rPr>
                <w:noProof/>
                <w:webHidden/>
              </w:rPr>
              <w:t>6</w:t>
            </w:r>
            <w:r w:rsidR="001F39CB">
              <w:rPr>
                <w:noProof/>
                <w:webHidden/>
              </w:rPr>
              <w:fldChar w:fldCharType="end"/>
            </w:r>
          </w:hyperlink>
        </w:p>
        <w:p w14:paraId="2E3A0735" w14:textId="529F1BCB"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03" w:history="1">
            <w:r w:rsidR="001F39CB" w:rsidRPr="00715739">
              <w:rPr>
                <w:rStyle w:val="Hyperlink"/>
                <w:noProof/>
              </w:rPr>
              <w:t>2.3</w:t>
            </w:r>
            <w:r w:rsidR="001F39CB">
              <w:rPr>
                <w:rFonts w:eastAsiaTheme="minorEastAsia" w:cstheme="minorBidi"/>
                <w:smallCaps w:val="0"/>
                <w:noProof/>
                <w:sz w:val="22"/>
                <w:szCs w:val="22"/>
                <w:lang w:eastAsia="en-GB" w:bidi="ar-SA"/>
              </w:rPr>
              <w:tab/>
            </w:r>
            <w:r w:rsidR="001F39CB" w:rsidRPr="00715739">
              <w:rPr>
                <w:rStyle w:val="Hyperlink"/>
                <w:noProof/>
              </w:rPr>
              <w:t>Scope of assessment</w:t>
            </w:r>
            <w:r w:rsidR="001F39CB">
              <w:rPr>
                <w:noProof/>
                <w:webHidden/>
              </w:rPr>
              <w:tab/>
            </w:r>
            <w:r w:rsidR="001F39CB">
              <w:rPr>
                <w:noProof/>
                <w:webHidden/>
              </w:rPr>
              <w:fldChar w:fldCharType="begin"/>
            </w:r>
            <w:r w:rsidR="001F39CB">
              <w:rPr>
                <w:noProof/>
                <w:webHidden/>
              </w:rPr>
              <w:instrText xml:space="preserve"> PAGEREF _Toc87860003 \h </w:instrText>
            </w:r>
            <w:r w:rsidR="001F39CB">
              <w:rPr>
                <w:noProof/>
                <w:webHidden/>
              </w:rPr>
            </w:r>
            <w:r w:rsidR="001F39CB">
              <w:rPr>
                <w:noProof/>
                <w:webHidden/>
              </w:rPr>
              <w:fldChar w:fldCharType="separate"/>
            </w:r>
            <w:r w:rsidR="00A952A2">
              <w:rPr>
                <w:noProof/>
                <w:webHidden/>
              </w:rPr>
              <w:t>6</w:t>
            </w:r>
            <w:r w:rsidR="001F39CB">
              <w:rPr>
                <w:noProof/>
                <w:webHidden/>
              </w:rPr>
              <w:fldChar w:fldCharType="end"/>
            </w:r>
          </w:hyperlink>
        </w:p>
        <w:p w14:paraId="0333471C" w14:textId="6098944D"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04" w:history="1">
            <w:r w:rsidR="001F39CB" w:rsidRPr="00715739">
              <w:rPr>
                <w:rStyle w:val="Hyperlink"/>
                <w:noProof/>
              </w:rPr>
              <w:t>2.4</w:t>
            </w:r>
            <w:r w:rsidR="001F39CB">
              <w:rPr>
                <w:rFonts w:eastAsiaTheme="minorEastAsia" w:cstheme="minorBidi"/>
                <w:smallCaps w:val="0"/>
                <w:noProof/>
                <w:sz w:val="22"/>
                <w:szCs w:val="22"/>
                <w:lang w:eastAsia="en-GB" w:bidi="ar-SA"/>
              </w:rPr>
              <w:tab/>
            </w:r>
            <w:r w:rsidR="001F39CB" w:rsidRPr="00715739">
              <w:rPr>
                <w:rStyle w:val="Hyperlink"/>
                <w:noProof/>
              </w:rPr>
              <w:t>A qualitative through-chain assessment approach</w:t>
            </w:r>
            <w:r w:rsidR="001F39CB">
              <w:rPr>
                <w:noProof/>
                <w:webHidden/>
              </w:rPr>
              <w:tab/>
            </w:r>
            <w:r w:rsidR="001F39CB">
              <w:rPr>
                <w:noProof/>
                <w:webHidden/>
              </w:rPr>
              <w:fldChar w:fldCharType="begin"/>
            </w:r>
            <w:r w:rsidR="001F39CB">
              <w:rPr>
                <w:noProof/>
                <w:webHidden/>
              </w:rPr>
              <w:instrText xml:space="preserve"> PAGEREF _Toc87860004 \h </w:instrText>
            </w:r>
            <w:r w:rsidR="001F39CB">
              <w:rPr>
                <w:noProof/>
                <w:webHidden/>
              </w:rPr>
            </w:r>
            <w:r w:rsidR="001F39CB">
              <w:rPr>
                <w:noProof/>
                <w:webHidden/>
              </w:rPr>
              <w:fldChar w:fldCharType="separate"/>
            </w:r>
            <w:r w:rsidR="00A952A2">
              <w:rPr>
                <w:noProof/>
                <w:webHidden/>
              </w:rPr>
              <w:t>8</w:t>
            </w:r>
            <w:r w:rsidR="001F39CB">
              <w:rPr>
                <w:noProof/>
                <w:webHidden/>
              </w:rPr>
              <w:fldChar w:fldCharType="end"/>
            </w:r>
          </w:hyperlink>
        </w:p>
        <w:p w14:paraId="613BC241" w14:textId="7D3CCC0A" w:rsidR="001F39CB" w:rsidRDefault="00C97803">
          <w:pPr>
            <w:pStyle w:val="TOC1"/>
            <w:tabs>
              <w:tab w:val="left" w:pos="440"/>
              <w:tab w:val="right" w:leader="dot" w:pos="9060"/>
            </w:tabs>
            <w:rPr>
              <w:rFonts w:eastAsiaTheme="minorEastAsia" w:cstheme="minorBidi"/>
              <w:b w:val="0"/>
              <w:bCs w:val="0"/>
              <w:caps w:val="0"/>
              <w:noProof/>
              <w:sz w:val="22"/>
              <w:szCs w:val="22"/>
              <w:lang w:eastAsia="en-GB" w:bidi="ar-SA"/>
            </w:rPr>
          </w:pPr>
          <w:hyperlink w:anchor="_Toc87860005" w:history="1">
            <w:r w:rsidR="001F39CB" w:rsidRPr="00715739">
              <w:rPr>
                <w:rStyle w:val="Hyperlink"/>
                <w:noProof/>
              </w:rPr>
              <w:t>3</w:t>
            </w:r>
            <w:r w:rsidR="001F39CB">
              <w:rPr>
                <w:rFonts w:eastAsiaTheme="minorEastAsia" w:cstheme="minorBidi"/>
                <w:b w:val="0"/>
                <w:bCs w:val="0"/>
                <w:caps w:val="0"/>
                <w:noProof/>
                <w:sz w:val="22"/>
                <w:szCs w:val="22"/>
                <w:lang w:eastAsia="en-GB" w:bidi="ar-SA"/>
              </w:rPr>
              <w:tab/>
            </w:r>
            <w:r w:rsidR="001F39CB" w:rsidRPr="00715739">
              <w:rPr>
                <w:rStyle w:val="Hyperlink"/>
                <w:noProof/>
              </w:rPr>
              <w:t>Selection of proxies, and assessment approach</w:t>
            </w:r>
            <w:r w:rsidR="001F39CB">
              <w:rPr>
                <w:noProof/>
                <w:webHidden/>
              </w:rPr>
              <w:tab/>
            </w:r>
            <w:r w:rsidR="001F39CB">
              <w:rPr>
                <w:noProof/>
                <w:webHidden/>
              </w:rPr>
              <w:fldChar w:fldCharType="begin"/>
            </w:r>
            <w:r w:rsidR="001F39CB">
              <w:rPr>
                <w:noProof/>
                <w:webHidden/>
              </w:rPr>
              <w:instrText xml:space="preserve"> PAGEREF _Toc87860005 \h </w:instrText>
            </w:r>
            <w:r w:rsidR="001F39CB">
              <w:rPr>
                <w:noProof/>
                <w:webHidden/>
              </w:rPr>
            </w:r>
            <w:r w:rsidR="001F39CB">
              <w:rPr>
                <w:noProof/>
                <w:webHidden/>
              </w:rPr>
              <w:fldChar w:fldCharType="separate"/>
            </w:r>
            <w:r w:rsidR="00A952A2">
              <w:rPr>
                <w:noProof/>
                <w:webHidden/>
              </w:rPr>
              <w:t>10</w:t>
            </w:r>
            <w:r w:rsidR="001F39CB">
              <w:rPr>
                <w:noProof/>
                <w:webHidden/>
              </w:rPr>
              <w:fldChar w:fldCharType="end"/>
            </w:r>
          </w:hyperlink>
        </w:p>
        <w:p w14:paraId="4C982396" w14:textId="7F2ACEF0"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06" w:history="1">
            <w:r w:rsidR="001F39CB" w:rsidRPr="00715739">
              <w:rPr>
                <w:rStyle w:val="Hyperlink"/>
                <w:noProof/>
              </w:rPr>
              <w:t>3.1</w:t>
            </w:r>
            <w:r w:rsidR="001F39CB">
              <w:rPr>
                <w:rFonts w:eastAsiaTheme="minorEastAsia" w:cstheme="minorBidi"/>
                <w:smallCaps w:val="0"/>
                <w:noProof/>
                <w:sz w:val="22"/>
                <w:szCs w:val="22"/>
                <w:lang w:eastAsia="en-GB" w:bidi="ar-SA"/>
              </w:rPr>
              <w:tab/>
            </w:r>
            <w:r w:rsidR="001F39CB" w:rsidRPr="00715739">
              <w:rPr>
                <w:rStyle w:val="Hyperlink"/>
                <w:noProof/>
              </w:rPr>
              <w:t>Selection of proxies</w:t>
            </w:r>
            <w:r w:rsidR="001F39CB">
              <w:rPr>
                <w:noProof/>
                <w:webHidden/>
              </w:rPr>
              <w:tab/>
            </w:r>
            <w:r w:rsidR="001F39CB">
              <w:rPr>
                <w:noProof/>
                <w:webHidden/>
              </w:rPr>
              <w:fldChar w:fldCharType="begin"/>
            </w:r>
            <w:r w:rsidR="001F39CB">
              <w:rPr>
                <w:noProof/>
                <w:webHidden/>
              </w:rPr>
              <w:instrText xml:space="preserve"> PAGEREF _Toc87860006 \h </w:instrText>
            </w:r>
            <w:r w:rsidR="001F39CB">
              <w:rPr>
                <w:noProof/>
                <w:webHidden/>
              </w:rPr>
            </w:r>
            <w:r w:rsidR="001F39CB">
              <w:rPr>
                <w:noProof/>
                <w:webHidden/>
              </w:rPr>
              <w:fldChar w:fldCharType="separate"/>
            </w:r>
            <w:r w:rsidR="00A952A2">
              <w:rPr>
                <w:noProof/>
                <w:webHidden/>
              </w:rPr>
              <w:t>10</w:t>
            </w:r>
            <w:r w:rsidR="001F39CB">
              <w:rPr>
                <w:noProof/>
                <w:webHidden/>
              </w:rPr>
              <w:fldChar w:fldCharType="end"/>
            </w:r>
          </w:hyperlink>
        </w:p>
        <w:p w14:paraId="039A1886" w14:textId="641EF436"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07" w:history="1">
            <w:r w:rsidR="001F39CB" w:rsidRPr="00715739">
              <w:rPr>
                <w:rStyle w:val="Hyperlink"/>
                <w:noProof/>
              </w:rPr>
              <w:t>3.1.1</w:t>
            </w:r>
            <w:r w:rsidR="001F39CB">
              <w:rPr>
                <w:rFonts w:eastAsiaTheme="minorEastAsia" w:cstheme="minorBidi"/>
                <w:i w:val="0"/>
                <w:iCs w:val="0"/>
                <w:noProof/>
                <w:sz w:val="22"/>
                <w:szCs w:val="22"/>
                <w:lang w:eastAsia="en-GB" w:bidi="ar-SA"/>
              </w:rPr>
              <w:tab/>
            </w:r>
            <w:r w:rsidR="001F39CB" w:rsidRPr="00715739">
              <w:rPr>
                <w:rStyle w:val="Hyperlink"/>
                <w:noProof/>
              </w:rPr>
              <w:t>Leafy vegetables (including leafy herbs)</w:t>
            </w:r>
            <w:r w:rsidR="001F39CB">
              <w:rPr>
                <w:noProof/>
                <w:webHidden/>
              </w:rPr>
              <w:tab/>
            </w:r>
            <w:r w:rsidR="001F39CB">
              <w:rPr>
                <w:noProof/>
                <w:webHidden/>
              </w:rPr>
              <w:fldChar w:fldCharType="begin"/>
            </w:r>
            <w:r w:rsidR="001F39CB">
              <w:rPr>
                <w:noProof/>
                <w:webHidden/>
              </w:rPr>
              <w:instrText xml:space="preserve"> PAGEREF _Toc87860007 \h </w:instrText>
            </w:r>
            <w:r w:rsidR="001F39CB">
              <w:rPr>
                <w:noProof/>
                <w:webHidden/>
              </w:rPr>
            </w:r>
            <w:r w:rsidR="001F39CB">
              <w:rPr>
                <w:noProof/>
                <w:webHidden/>
              </w:rPr>
              <w:fldChar w:fldCharType="separate"/>
            </w:r>
            <w:r w:rsidR="00A952A2">
              <w:rPr>
                <w:noProof/>
                <w:webHidden/>
              </w:rPr>
              <w:t>10</w:t>
            </w:r>
            <w:r w:rsidR="001F39CB">
              <w:rPr>
                <w:noProof/>
                <w:webHidden/>
              </w:rPr>
              <w:fldChar w:fldCharType="end"/>
            </w:r>
          </w:hyperlink>
        </w:p>
        <w:p w14:paraId="49AB76CA" w14:textId="11198DDC"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08" w:history="1">
            <w:r w:rsidR="001F39CB" w:rsidRPr="00715739">
              <w:rPr>
                <w:rStyle w:val="Hyperlink"/>
                <w:noProof/>
              </w:rPr>
              <w:t>3.1.2</w:t>
            </w:r>
            <w:r w:rsidR="001F39CB">
              <w:rPr>
                <w:rFonts w:eastAsiaTheme="minorEastAsia" w:cstheme="minorBidi"/>
                <w:i w:val="0"/>
                <w:iCs w:val="0"/>
                <w:noProof/>
                <w:sz w:val="22"/>
                <w:szCs w:val="22"/>
                <w:lang w:eastAsia="en-GB" w:bidi="ar-SA"/>
              </w:rPr>
              <w:tab/>
            </w:r>
            <w:r w:rsidR="001F39CB" w:rsidRPr="00715739">
              <w:rPr>
                <w:rStyle w:val="Hyperlink"/>
                <w:noProof/>
              </w:rPr>
              <w:t>Berries</w:t>
            </w:r>
            <w:r w:rsidR="001F39CB">
              <w:rPr>
                <w:noProof/>
                <w:webHidden/>
              </w:rPr>
              <w:tab/>
            </w:r>
            <w:r w:rsidR="001F39CB">
              <w:rPr>
                <w:noProof/>
                <w:webHidden/>
              </w:rPr>
              <w:fldChar w:fldCharType="begin"/>
            </w:r>
            <w:r w:rsidR="001F39CB">
              <w:rPr>
                <w:noProof/>
                <w:webHidden/>
              </w:rPr>
              <w:instrText xml:space="preserve"> PAGEREF _Toc87860008 \h </w:instrText>
            </w:r>
            <w:r w:rsidR="001F39CB">
              <w:rPr>
                <w:noProof/>
                <w:webHidden/>
              </w:rPr>
            </w:r>
            <w:r w:rsidR="001F39CB">
              <w:rPr>
                <w:noProof/>
                <w:webHidden/>
              </w:rPr>
              <w:fldChar w:fldCharType="separate"/>
            </w:r>
            <w:r w:rsidR="00A952A2">
              <w:rPr>
                <w:noProof/>
                <w:webHidden/>
              </w:rPr>
              <w:t>11</w:t>
            </w:r>
            <w:r w:rsidR="001F39CB">
              <w:rPr>
                <w:noProof/>
                <w:webHidden/>
              </w:rPr>
              <w:fldChar w:fldCharType="end"/>
            </w:r>
          </w:hyperlink>
        </w:p>
        <w:p w14:paraId="51F9005E" w14:textId="3ECDD3C5"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09" w:history="1">
            <w:r w:rsidR="001F39CB" w:rsidRPr="00715739">
              <w:rPr>
                <w:rStyle w:val="Hyperlink"/>
                <w:noProof/>
              </w:rPr>
              <w:t>3.1.3</w:t>
            </w:r>
            <w:r w:rsidR="001F39CB">
              <w:rPr>
                <w:rFonts w:eastAsiaTheme="minorEastAsia" w:cstheme="minorBidi"/>
                <w:i w:val="0"/>
                <w:iCs w:val="0"/>
                <w:noProof/>
                <w:sz w:val="22"/>
                <w:szCs w:val="22"/>
                <w:lang w:eastAsia="en-GB" w:bidi="ar-SA"/>
              </w:rPr>
              <w:tab/>
            </w:r>
            <w:r w:rsidR="001F39CB" w:rsidRPr="00715739">
              <w:rPr>
                <w:rStyle w:val="Hyperlink"/>
                <w:noProof/>
              </w:rPr>
              <w:t>Melons</w:t>
            </w:r>
            <w:r w:rsidR="001F39CB">
              <w:rPr>
                <w:noProof/>
                <w:webHidden/>
              </w:rPr>
              <w:tab/>
            </w:r>
            <w:r w:rsidR="001F39CB">
              <w:rPr>
                <w:noProof/>
                <w:webHidden/>
              </w:rPr>
              <w:fldChar w:fldCharType="begin"/>
            </w:r>
            <w:r w:rsidR="001F39CB">
              <w:rPr>
                <w:noProof/>
                <w:webHidden/>
              </w:rPr>
              <w:instrText xml:space="preserve"> PAGEREF _Toc87860009 \h </w:instrText>
            </w:r>
            <w:r w:rsidR="001F39CB">
              <w:rPr>
                <w:noProof/>
                <w:webHidden/>
              </w:rPr>
            </w:r>
            <w:r w:rsidR="001F39CB">
              <w:rPr>
                <w:noProof/>
                <w:webHidden/>
              </w:rPr>
              <w:fldChar w:fldCharType="separate"/>
            </w:r>
            <w:r w:rsidR="00A952A2">
              <w:rPr>
                <w:noProof/>
                <w:webHidden/>
              </w:rPr>
              <w:t>12</w:t>
            </w:r>
            <w:r w:rsidR="001F39CB">
              <w:rPr>
                <w:noProof/>
                <w:webHidden/>
              </w:rPr>
              <w:fldChar w:fldCharType="end"/>
            </w:r>
          </w:hyperlink>
        </w:p>
        <w:p w14:paraId="588FFFF2" w14:textId="760229AE" w:rsidR="001F39CB" w:rsidRDefault="00C97803">
          <w:pPr>
            <w:pStyle w:val="TOC1"/>
            <w:tabs>
              <w:tab w:val="left" w:pos="440"/>
              <w:tab w:val="right" w:leader="dot" w:pos="9060"/>
            </w:tabs>
            <w:rPr>
              <w:rFonts w:eastAsiaTheme="minorEastAsia" w:cstheme="minorBidi"/>
              <w:b w:val="0"/>
              <w:bCs w:val="0"/>
              <w:caps w:val="0"/>
              <w:noProof/>
              <w:sz w:val="22"/>
              <w:szCs w:val="22"/>
              <w:lang w:eastAsia="en-GB" w:bidi="ar-SA"/>
            </w:rPr>
          </w:pPr>
          <w:hyperlink w:anchor="_Toc87860010" w:history="1">
            <w:r w:rsidR="001F39CB" w:rsidRPr="00715739">
              <w:rPr>
                <w:rStyle w:val="Hyperlink"/>
                <w:noProof/>
              </w:rPr>
              <w:t>4</w:t>
            </w:r>
            <w:r w:rsidR="001F39CB">
              <w:rPr>
                <w:rFonts w:eastAsiaTheme="minorEastAsia" w:cstheme="minorBidi"/>
                <w:b w:val="0"/>
                <w:bCs w:val="0"/>
                <w:caps w:val="0"/>
                <w:noProof/>
                <w:sz w:val="22"/>
                <w:szCs w:val="22"/>
                <w:lang w:eastAsia="en-GB" w:bidi="ar-SA"/>
              </w:rPr>
              <w:tab/>
            </w:r>
            <w:r w:rsidR="001F39CB" w:rsidRPr="00715739">
              <w:rPr>
                <w:rStyle w:val="Hyperlink"/>
                <w:noProof/>
              </w:rPr>
              <w:t>Outbreaks and prevalence of hazards in horticulture products</w:t>
            </w:r>
            <w:r w:rsidR="001F39CB">
              <w:rPr>
                <w:noProof/>
                <w:webHidden/>
              </w:rPr>
              <w:tab/>
            </w:r>
            <w:r w:rsidR="001F39CB">
              <w:rPr>
                <w:noProof/>
                <w:webHidden/>
              </w:rPr>
              <w:fldChar w:fldCharType="begin"/>
            </w:r>
            <w:r w:rsidR="001F39CB">
              <w:rPr>
                <w:noProof/>
                <w:webHidden/>
              </w:rPr>
              <w:instrText xml:space="preserve"> PAGEREF _Toc87860010 \h </w:instrText>
            </w:r>
            <w:r w:rsidR="001F39CB">
              <w:rPr>
                <w:noProof/>
                <w:webHidden/>
              </w:rPr>
            </w:r>
            <w:r w:rsidR="001F39CB">
              <w:rPr>
                <w:noProof/>
                <w:webHidden/>
              </w:rPr>
              <w:fldChar w:fldCharType="separate"/>
            </w:r>
            <w:r w:rsidR="00A952A2">
              <w:rPr>
                <w:noProof/>
                <w:webHidden/>
              </w:rPr>
              <w:t>14</w:t>
            </w:r>
            <w:r w:rsidR="001F39CB">
              <w:rPr>
                <w:noProof/>
                <w:webHidden/>
              </w:rPr>
              <w:fldChar w:fldCharType="end"/>
            </w:r>
          </w:hyperlink>
        </w:p>
        <w:p w14:paraId="275AD30A" w14:textId="1D53FE08"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11" w:history="1">
            <w:r w:rsidR="001F39CB" w:rsidRPr="00715739">
              <w:rPr>
                <w:rStyle w:val="Hyperlink"/>
                <w:noProof/>
              </w:rPr>
              <w:t>4.1</w:t>
            </w:r>
            <w:r w:rsidR="001F39CB">
              <w:rPr>
                <w:rFonts w:eastAsiaTheme="minorEastAsia" w:cstheme="minorBidi"/>
                <w:smallCaps w:val="0"/>
                <w:noProof/>
                <w:sz w:val="22"/>
                <w:szCs w:val="22"/>
                <w:lang w:eastAsia="en-GB" w:bidi="ar-SA"/>
              </w:rPr>
              <w:tab/>
            </w:r>
            <w:r w:rsidR="001F39CB" w:rsidRPr="00715739">
              <w:rPr>
                <w:rStyle w:val="Hyperlink"/>
                <w:noProof/>
              </w:rPr>
              <w:t>Australian outbreaks of foodborne illness associated with fresh horticultural produce</w:t>
            </w:r>
            <w:r w:rsidR="001F39CB">
              <w:rPr>
                <w:noProof/>
                <w:webHidden/>
              </w:rPr>
              <w:tab/>
            </w:r>
            <w:r w:rsidR="001F39CB">
              <w:rPr>
                <w:noProof/>
                <w:webHidden/>
              </w:rPr>
              <w:fldChar w:fldCharType="begin"/>
            </w:r>
            <w:r w:rsidR="001F39CB">
              <w:rPr>
                <w:noProof/>
                <w:webHidden/>
              </w:rPr>
              <w:instrText xml:space="preserve"> PAGEREF _Toc87860011 \h </w:instrText>
            </w:r>
            <w:r w:rsidR="001F39CB">
              <w:rPr>
                <w:noProof/>
                <w:webHidden/>
              </w:rPr>
            </w:r>
            <w:r w:rsidR="001F39CB">
              <w:rPr>
                <w:noProof/>
                <w:webHidden/>
              </w:rPr>
              <w:fldChar w:fldCharType="separate"/>
            </w:r>
            <w:r w:rsidR="00A952A2">
              <w:rPr>
                <w:noProof/>
                <w:webHidden/>
              </w:rPr>
              <w:t>14</w:t>
            </w:r>
            <w:r w:rsidR="001F39CB">
              <w:rPr>
                <w:noProof/>
                <w:webHidden/>
              </w:rPr>
              <w:fldChar w:fldCharType="end"/>
            </w:r>
          </w:hyperlink>
        </w:p>
        <w:p w14:paraId="625EDE3A" w14:textId="0CCCC5DE"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12" w:history="1">
            <w:r w:rsidR="001F39CB" w:rsidRPr="00715739">
              <w:rPr>
                <w:rStyle w:val="Hyperlink"/>
                <w:noProof/>
              </w:rPr>
              <w:t>4.2</w:t>
            </w:r>
            <w:r w:rsidR="001F39CB">
              <w:rPr>
                <w:rFonts w:eastAsiaTheme="minorEastAsia" w:cstheme="minorBidi"/>
                <w:smallCaps w:val="0"/>
                <w:noProof/>
                <w:sz w:val="22"/>
                <w:szCs w:val="22"/>
                <w:lang w:eastAsia="en-GB" w:bidi="ar-SA"/>
              </w:rPr>
              <w:tab/>
            </w:r>
            <w:r w:rsidR="001F39CB" w:rsidRPr="00715739">
              <w:rPr>
                <w:rStyle w:val="Hyperlink"/>
                <w:noProof/>
              </w:rPr>
              <w:t>Australian recalls of fresh horticultural produce due to microbial contamination</w:t>
            </w:r>
            <w:r w:rsidR="001F39CB">
              <w:rPr>
                <w:noProof/>
                <w:webHidden/>
              </w:rPr>
              <w:tab/>
            </w:r>
            <w:r w:rsidR="001F39CB">
              <w:rPr>
                <w:noProof/>
                <w:webHidden/>
              </w:rPr>
              <w:fldChar w:fldCharType="begin"/>
            </w:r>
            <w:r w:rsidR="001F39CB">
              <w:rPr>
                <w:noProof/>
                <w:webHidden/>
              </w:rPr>
              <w:instrText xml:space="preserve"> PAGEREF _Toc87860012 \h </w:instrText>
            </w:r>
            <w:r w:rsidR="001F39CB">
              <w:rPr>
                <w:noProof/>
                <w:webHidden/>
              </w:rPr>
            </w:r>
            <w:r w:rsidR="001F39CB">
              <w:rPr>
                <w:noProof/>
                <w:webHidden/>
              </w:rPr>
              <w:fldChar w:fldCharType="separate"/>
            </w:r>
            <w:r w:rsidR="00A952A2">
              <w:rPr>
                <w:noProof/>
                <w:webHidden/>
              </w:rPr>
              <w:t>18</w:t>
            </w:r>
            <w:r w:rsidR="001F39CB">
              <w:rPr>
                <w:noProof/>
                <w:webHidden/>
              </w:rPr>
              <w:fldChar w:fldCharType="end"/>
            </w:r>
          </w:hyperlink>
        </w:p>
        <w:p w14:paraId="6C804EBA" w14:textId="05EE5E38"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13" w:history="1">
            <w:r w:rsidR="001F39CB" w:rsidRPr="00715739">
              <w:rPr>
                <w:rStyle w:val="Hyperlink"/>
                <w:noProof/>
              </w:rPr>
              <w:t>4.3</w:t>
            </w:r>
            <w:r w:rsidR="001F39CB">
              <w:rPr>
                <w:rFonts w:eastAsiaTheme="minorEastAsia" w:cstheme="minorBidi"/>
                <w:smallCaps w:val="0"/>
                <w:noProof/>
                <w:sz w:val="22"/>
                <w:szCs w:val="22"/>
                <w:lang w:eastAsia="en-GB" w:bidi="ar-SA"/>
              </w:rPr>
              <w:tab/>
            </w:r>
            <w:r w:rsidR="001F39CB" w:rsidRPr="00715739">
              <w:rPr>
                <w:rStyle w:val="Hyperlink"/>
                <w:noProof/>
              </w:rPr>
              <w:t>International outbreaks of foodborne illness associated with fresh horticultural produce</w:t>
            </w:r>
            <w:r w:rsidR="001F39CB">
              <w:rPr>
                <w:noProof/>
                <w:webHidden/>
              </w:rPr>
              <w:tab/>
            </w:r>
            <w:r w:rsidR="001F39CB">
              <w:rPr>
                <w:noProof/>
                <w:webHidden/>
              </w:rPr>
              <w:fldChar w:fldCharType="begin"/>
            </w:r>
            <w:r w:rsidR="001F39CB">
              <w:rPr>
                <w:noProof/>
                <w:webHidden/>
              </w:rPr>
              <w:instrText xml:space="preserve"> PAGEREF _Toc87860013 \h </w:instrText>
            </w:r>
            <w:r w:rsidR="001F39CB">
              <w:rPr>
                <w:noProof/>
                <w:webHidden/>
              </w:rPr>
            </w:r>
            <w:r w:rsidR="001F39CB">
              <w:rPr>
                <w:noProof/>
                <w:webHidden/>
              </w:rPr>
              <w:fldChar w:fldCharType="separate"/>
            </w:r>
            <w:r w:rsidR="00A952A2">
              <w:rPr>
                <w:noProof/>
                <w:webHidden/>
              </w:rPr>
              <w:t>19</w:t>
            </w:r>
            <w:r w:rsidR="001F39CB">
              <w:rPr>
                <w:noProof/>
                <w:webHidden/>
              </w:rPr>
              <w:fldChar w:fldCharType="end"/>
            </w:r>
          </w:hyperlink>
        </w:p>
        <w:p w14:paraId="115938D9" w14:textId="58E751CC"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14" w:history="1">
            <w:r w:rsidR="001F39CB" w:rsidRPr="00715739">
              <w:rPr>
                <w:rStyle w:val="Hyperlink"/>
                <w:noProof/>
              </w:rPr>
              <w:t>4.4</w:t>
            </w:r>
            <w:r w:rsidR="001F39CB">
              <w:rPr>
                <w:rFonts w:eastAsiaTheme="minorEastAsia" w:cstheme="minorBidi"/>
                <w:smallCaps w:val="0"/>
                <w:noProof/>
                <w:sz w:val="22"/>
                <w:szCs w:val="22"/>
                <w:lang w:eastAsia="en-GB" w:bidi="ar-SA"/>
              </w:rPr>
              <w:tab/>
            </w:r>
            <w:r w:rsidR="001F39CB" w:rsidRPr="00715739">
              <w:rPr>
                <w:rStyle w:val="Hyperlink"/>
                <w:noProof/>
              </w:rPr>
              <w:t>Prevalence of pathogens in fresh horticultural produce</w:t>
            </w:r>
            <w:r w:rsidR="001F39CB">
              <w:rPr>
                <w:noProof/>
                <w:webHidden/>
              </w:rPr>
              <w:tab/>
            </w:r>
            <w:r w:rsidR="001F39CB">
              <w:rPr>
                <w:noProof/>
                <w:webHidden/>
              </w:rPr>
              <w:fldChar w:fldCharType="begin"/>
            </w:r>
            <w:r w:rsidR="001F39CB">
              <w:rPr>
                <w:noProof/>
                <w:webHidden/>
              </w:rPr>
              <w:instrText xml:space="preserve"> PAGEREF _Toc87860014 \h </w:instrText>
            </w:r>
            <w:r w:rsidR="001F39CB">
              <w:rPr>
                <w:noProof/>
                <w:webHidden/>
              </w:rPr>
            </w:r>
            <w:r w:rsidR="001F39CB">
              <w:rPr>
                <w:noProof/>
                <w:webHidden/>
              </w:rPr>
              <w:fldChar w:fldCharType="separate"/>
            </w:r>
            <w:r w:rsidR="00A952A2">
              <w:rPr>
                <w:noProof/>
                <w:webHidden/>
              </w:rPr>
              <w:t>19</w:t>
            </w:r>
            <w:r w:rsidR="001F39CB">
              <w:rPr>
                <w:noProof/>
                <w:webHidden/>
              </w:rPr>
              <w:fldChar w:fldCharType="end"/>
            </w:r>
          </w:hyperlink>
        </w:p>
        <w:p w14:paraId="26E6994D" w14:textId="6F645286" w:rsidR="001F39CB" w:rsidRDefault="00C97803">
          <w:pPr>
            <w:pStyle w:val="TOC1"/>
            <w:tabs>
              <w:tab w:val="left" w:pos="440"/>
              <w:tab w:val="right" w:leader="dot" w:pos="9060"/>
            </w:tabs>
            <w:rPr>
              <w:rFonts w:eastAsiaTheme="minorEastAsia" w:cstheme="minorBidi"/>
              <w:b w:val="0"/>
              <w:bCs w:val="0"/>
              <w:caps w:val="0"/>
              <w:noProof/>
              <w:sz w:val="22"/>
              <w:szCs w:val="22"/>
              <w:lang w:eastAsia="en-GB" w:bidi="ar-SA"/>
            </w:rPr>
          </w:pPr>
          <w:hyperlink w:anchor="_Toc87860015" w:history="1">
            <w:r w:rsidR="001F39CB" w:rsidRPr="00715739">
              <w:rPr>
                <w:rStyle w:val="Hyperlink"/>
                <w:noProof/>
              </w:rPr>
              <w:t>5</w:t>
            </w:r>
            <w:r w:rsidR="001F39CB">
              <w:rPr>
                <w:rFonts w:eastAsiaTheme="minorEastAsia" w:cstheme="minorBidi"/>
                <w:b w:val="0"/>
                <w:bCs w:val="0"/>
                <w:caps w:val="0"/>
                <w:noProof/>
                <w:sz w:val="22"/>
                <w:szCs w:val="22"/>
                <w:lang w:eastAsia="en-GB" w:bidi="ar-SA"/>
              </w:rPr>
              <w:tab/>
            </w:r>
            <w:r w:rsidR="001F39CB" w:rsidRPr="00715739">
              <w:rPr>
                <w:rStyle w:val="Hyperlink"/>
                <w:noProof/>
              </w:rPr>
              <w:t>Overview of commodity production systems</w:t>
            </w:r>
            <w:r w:rsidR="001F39CB">
              <w:rPr>
                <w:noProof/>
                <w:webHidden/>
              </w:rPr>
              <w:tab/>
            </w:r>
            <w:r w:rsidR="001F39CB">
              <w:rPr>
                <w:noProof/>
                <w:webHidden/>
              </w:rPr>
              <w:fldChar w:fldCharType="begin"/>
            </w:r>
            <w:r w:rsidR="001F39CB">
              <w:rPr>
                <w:noProof/>
                <w:webHidden/>
              </w:rPr>
              <w:instrText xml:space="preserve"> PAGEREF _Toc87860015 \h </w:instrText>
            </w:r>
            <w:r w:rsidR="001F39CB">
              <w:rPr>
                <w:noProof/>
                <w:webHidden/>
              </w:rPr>
            </w:r>
            <w:r w:rsidR="001F39CB">
              <w:rPr>
                <w:noProof/>
                <w:webHidden/>
              </w:rPr>
              <w:fldChar w:fldCharType="separate"/>
            </w:r>
            <w:r w:rsidR="00A952A2">
              <w:rPr>
                <w:noProof/>
                <w:webHidden/>
              </w:rPr>
              <w:t>21</w:t>
            </w:r>
            <w:r w:rsidR="001F39CB">
              <w:rPr>
                <w:noProof/>
                <w:webHidden/>
              </w:rPr>
              <w:fldChar w:fldCharType="end"/>
            </w:r>
          </w:hyperlink>
        </w:p>
        <w:p w14:paraId="7793E8D9" w14:textId="125CC294"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16" w:history="1">
            <w:r w:rsidR="001F39CB" w:rsidRPr="00715739">
              <w:rPr>
                <w:rStyle w:val="Hyperlink"/>
                <w:noProof/>
              </w:rPr>
              <w:t>5.1</w:t>
            </w:r>
            <w:r w:rsidR="001F39CB">
              <w:rPr>
                <w:rFonts w:eastAsiaTheme="minorEastAsia" w:cstheme="minorBidi"/>
                <w:smallCaps w:val="0"/>
                <w:noProof/>
                <w:sz w:val="22"/>
                <w:szCs w:val="22"/>
                <w:lang w:eastAsia="en-GB" w:bidi="ar-SA"/>
              </w:rPr>
              <w:tab/>
            </w:r>
            <w:r w:rsidR="001F39CB" w:rsidRPr="00715739">
              <w:rPr>
                <w:rStyle w:val="Hyperlink"/>
                <w:noProof/>
              </w:rPr>
              <w:t>Leafy vegetables primary production and processing</w:t>
            </w:r>
            <w:r w:rsidR="001F39CB">
              <w:rPr>
                <w:noProof/>
                <w:webHidden/>
              </w:rPr>
              <w:tab/>
            </w:r>
            <w:r w:rsidR="001F39CB">
              <w:rPr>
                <w:noProof/>
                <w:webHidden/>
              </w:rPr>
              <w:fldChar w:fldCharType="begin"/>
            </w:r>
            <w:r w:rsidR="001F39CB">
              <w:rPr>
                <w:noProof/>
                <w:webHidden/>
              </w:rPr>
              <w:instrText xml:space="preserve"> PAGEREF _Toc87860016 \h </w:instrText>
            </w:r>
            <w:r w:rsidR="001F39CB">
              <w:rPr>
                <w:noProof/>
                <w:webHidden/>
              </w:rPr>
            </w:r>
            <w:r w:rsidR="001F39CB">
              <w:rPr>
                <w:noProof/>
                <w:webHidden/>
              </w:rPr>
              <w:fldChar w:fldCharType="separate"/>
            </w:r>
            <w:r w:rsidR="00A952A2">
              <w:rPr>
                <w:noProof/>
                <w:webHidden/>
              </w:rPr>
              <w:t>21</w:t>
            </w:r>
            <w:r w:rsidR="001F39CB">
              <w:rPr>
                <w:noProof/>
                <w:webHidden/>
              </w:rPr>
              <w:fldChar w:fldCharType="end"/>
            </w:r>
          </w:hyperlink>
        </w:p>
        <w:p w14:paraId="0058D0C9" w14:textId="4BCE01D0"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17" w:history="1">
            <w:r w:rsidR="001F39CB" w:rsidRPr="00715739">
              <w:rPr>
                <w:rStyle w:val="Hyperlink"/>
                <w:noProof/>
              </w:rPr>
              <w:t>5.2</w:t>
            </w:r>
            <w:r w:rsidR="001F39CB">
              <w:rPr>
                <w:rFonts w:eastAsiaTheme="minorEastAsia" w:cstheme="minorBidi"/>
                <w:smallCaps w:val="0"/>
                <w:noProof/>
                <w:sz w:val="22"/>
                <w:szCs w:val="22"/>
                <w:lang w:eastAsia="en-GB" w:bidi="ar-SA"/>
              </w:rPr>
              <w:tab/>
            </w:r>
            <w:r w:rsidR="001F39CB" w:rsidRPr="00715739">
              <w:rPr>
                <w:rStyle w:val="Hyperlink"/>
                <w:noProof/>
              </w:rPr>
              <w:t>Berry primary production and processing</w:t>
            </w:r>
            <w:r w:rsidR="001F39CB">
              <w:rPr>
                <w:noProof/>
                <w:webHidden/>
              </w:rPr>
              <w:tab/>
            </w:r>
            <w:r w:rsidR="001F39CB">
              <w:rPr>
                <w:noProof/>
                <w:webHidden/>
              </w:rPr>
              <w:fldChar w:fldCharType="begin"/>
            </w:r>
            <w:r w:rsidR="001F39CB">
              <w:rPr>
                <w:noProof/>
                <w:webHidden/>
              </w:rPr>
              <w:instrText xml:space="preserve"> PAGEREF _Toc87860017 \h </w:instrText>
            </w:r>
            <w:r w:rsidR="001F39CB">
              <w:rPr>
                <w:noProof/>
                <w:webHidden/>
              </w:rPr>
            </w:r>
            <w:r w:rsidR="001F39CB">
              <w:rPr>
                <w:noProof/>
                <w:webHidden/>
              </w:rPr>
              <w:fldChar w:fldCharType="separate"/>
            </w:r>
            <w:r w:rsidR="00A952A2">
              <w:rPr>
                <w:noProof/>
                <w:webHidden/>
              </w:rPr>
              <w:t>27</w:t>
            </w:r>
            <w:r w:rsidR="001F39CB">
              <w:rPr>
                <w:noProof/>
                <w:webHidden/>
              </w:rPr>
              <w:fldChar w:fldCharType="end"/>
            </w:r>
          </w:hyperlink>
        </w:p>
        <w:p w14:paraId="6A4E5D8C" w14:textId="5B1AB4B2"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18" w:history="1">
            <w:r w:rsidR="001F39CB" w:rsidRPr="00715739">
              <w:rPr>
                <w:rStyle w:val="Hyperlink"/>
                <w:noProof/>
              </w:rPr>
              <w:t>5.2.1</w:t>
            </w:r>
            <w:r w:rsidR="001F39CB">
              <w:rPr>
                <w:rFonts w:eastAsiaTheme="minorEastAsia" w:cstheme="minorBidi"/>
                <w:i w:val="0"/>
                <w:iCs w:val="0"/>
                <w:noProof/>
                <w:sz w:val="22"/>
                <w:szCs w:val="22"/>
                <w:lang w:eastAsia="en-GB" w:bidi="ar-SA"/>
              </w:rPr>
              <w:tab/>
            </w:r>
            <w:r w:rsidR="001F39CB" w:rsidRPr="00715739">
              <w:rPr>
                <w:rStyle w:val="Hyperlink"/>
                <w:noProof/>
              </w:rPr>
              <w:t>Strawberries</w:t>
            </w:r>
            <w:r w:rsidR="001F39CB">
              <w:rPr>
                <w:noProof/>
                <w:webHidden/>
              </w:rPr>
              <w:tab/>
            </w:r>
            <w:r w:rsidR="001F39CB">
              <w:rPr>
                <w:noProof/>
                <w:webHidden/>
              </w:rPr>
              <w:fldChar w:fldCharType="begin"/>
            </w:r>
            <w:r w:rsidR="001F39CB">
              <w:rPr>
                <w:noProof/>
                <w:webHidden/>
              </w:rPr>
              <w:instrText xml:space="preserve"> PAGEREF _Toc87860018 \h </w:instrText>
            </w:r>
            <w:r w:rsidR="001F39CB">
              <w:rPr>
                <w:noProof/>
                <w:webHidden/>
              </w:rPr>
            </w:r>
            <w:r w:rsidR="001F39CB">
              <w:rPr>
                <w:noProof/>
                <w:webHidden/>
              </w:rPr>
              <w:fldChar w:fldCharType="separate"/>
            </w:r>
            <w:r w:rsidR="00A952A2">
              <w:rPr>
                <w:noProof/>
                <w:webHidden/>
              </w:rPr>
              <w:t>27</w:t>
            </w:r>
            <w:r w:rsidR="001F39CB">
              <w:rPr>
                <w:noProof/>
                <w:webHidden/>
              </w:rPr>
              <w:fldChar w:fldCharType="end"/>
            </w:r>
          </w:hyperlink>
        </w:p>
        <w:p w14:paraId="5B67BC58" w14:textId="62B69776"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19" w:history="1">
            <w:r w:rsidR="001F39CB" w:rsidRPr="00715739">
              <w:rPr>
                <w:rStyle w:val="Hyperlink"/>
                <w:noProof/>
              </w:rPr>
              <w:t>5.2.2</w:t>
            </w:r>
            <w:r w:rsidR="001F39CB">
              <w:rPr>
                <w:rFonts w:eastAsiaTheme="minorEastAsia" w:cstheme="minorBidi"/>
                <w:i w:val="0"/>
                <w:iCs w:val="0"/>
                <w:noProof/>
                <w:sz w:val="22"/>
                <w:szCs w:val="22"/>
                <w:lang w:eastAsia="en-GB" w:bidi="ar-SA"/>
              </w:rPr>
              <w:tab/>
            </w:r>
            <w:r w:rsidR="001F39CB" w:rsidRPr="00715739">
              <w:rPr>
                <w:rStyle w:val="Hyperlink"/>
                <w:noProof/>
              </w:rPr>
              <w:t>Blueberries</w:t>
            </w:r>
            <w:r w:rsidR="001F39CB">
              <w:rPr>
                <w:noProof/>
                <w:webHidden/>
              </w:rPr>
              <w:tab/>
            </w:r>
            <w:r w:rsidR="001F39CB">
              <w:rPr>
                <w:noProof/>
                <w:webHidden/>
              </w:rPr>
              <w:fldChar w:fldCharType="begin"/>
            </w:r>
            <w:r w:rsidR="001F39CB">
              <w:rPr>
                <w:noProof/>
                <w:webHidden/>
              </w:rPr>
              <w:instrText xml:space="preserve"> PAGEREF _Toc87860019 \h </w:instrText>
            </w:r>
            <w:r w:rsidR="001F39CB">
              <w:rPr>
                <w:noProof/>
                <w:webHidden/>
              </w:rPr>
            </w:r>
            <w:r w:rsidR="001F39CB">
              <w:rPr>
                <w:noProof/>
                <w:webHidden/>
              </w:rPr>
              <w:fldChar w:fldCharType="separate"/>
            </w:r>
            <w:r w:rsidR="00A952A2">
              <w:rPr>
                <w:noProof/>
                <w:webHidden/>
              </w:rPr>
              <w:t>28</w:t>
            </w:r>
            <w:r w:rsidR="001F39CB">
              <w:rPr>
                <w:noProof/>
                <w:webHidden/>
              </w:rPr>
              <w:fldChar w:fldCharType="end"/>
            </w:r>
          </w:hyperlink>
        </w:p>
        <w:p w14:paraId="35B16731" w14:textId="79ECF2E2"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20" w:history="1">
            <w:r w:rsidR="001F39CB" w:rsidRPr="00715739">
              <w:rPr>
                <w:rStyle w:val="Hyperlink"/>
                <w:noProof/>
              </w:rPr>
              <w:t>5.2.3</w:t>
            </w:r>
            <w:r w:rsidR="001F39CB">
              <w:rPr>
                <w:rFonts w:eastAsiaTheme="minorEastAsia" w:cstheme="minorBidi"/>
                <w:i w:val="0"/>
                <w:iCs w:val="0"/>
                <w:noProof/>
                <w:sz w:val="22"/>
                <w:szCs w:val="22"/>
                <w:lang w:eastAsia="en-GB" w:bidi="ar-SA"/>
              </w:rPr>
              <w:tab/>
            </w:r>
            <w:r w:rsidR="001F39CB" w:rsidRPr="00715739">
              <w:rPr>
                <w:rStyle w:val="Hyperlink"/>
                <w:noProof/>
              </w:rPr>
              <w:t>Raspberries</w:t>
            </w:r>
            <w:r w:rsidR="001F39CB">
              <w:rPr>
                <w:noProof/>
                <w:webHidden/>
              </w:rPr>
              <w:tab/>
            </w:r>
            <w:r w:rsidR="001F39CB">
              <w:rPr>
                <w:noProof/>
                <w:webHidden/>
              </w:rPr>
              <w:fldChar w:fldCharType="begin"/>
            </w:r>
            <w:r w:rsidR="001F39CB">
              <w:rPr>
                <w:noProof/>
                <w:webHidden/>
              </w:rPr>
              <w:instrText xml:space="preserve"> PAGEREF _Toc87860020 \h </w:instrText>
            </w:r>
            <w:r w:rsidR="001F39CB">
              <w:rPr>
                <w:noProof/>
                <w:webHidden/>
              </w:rPr>
            </w:r>
            <w:r w:rsidR="001F39CB">
              <w:rPr>
                <w:noProof/>
                <w:webHidden/>
              </w:rPr>
              <w:fldChar w:fldCharType="separate"/>
            </w:r>
            <w:r w:rsidR="00A952A2">
              <w:rPr>
                <w:noProof/>
                <w:webHidden/>
              </w:rPr>
              <w:t>28</w:t>
            </w:r>
            <w:r w:rsidR="001F39CB">
              <w:rPr>
                <w:noProof/>
                <w:webHidden/>
              </w:rPr>
              <w:fldChar w:fldCharType="end"/>
            </w:r>
          </w:hyperlink>
        </w:p>
        <w:p w14:paraId="71D099DD" w14:textId="24FE4A28"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21" w:history="1">
            <w:r w:rsidR="001F39CB" w:rsidRPr="00715739">
              <w:rPr>
                <w:rStyle w:val="Hyperlink"/>
                <w:noProof/>
              </w:rPr>
              <w:t>5.3</w:t>
            </w:r>
            <w:r w:rsidR="001F39CB">
              <w:rPr>
                <w:rFonts w:eastAsiaTheme="minorEastAsia" w:cstheme="minorBidi"/>
                <w:smallCaps w:val="0"/>
                <w:noProof/>
                <w:sz w:val="22"/>
                <w:szCs w:val="22"/>
                <w:lang w:eastAsia="en-GB" w:bidi="ar-SA"/>
              </w:rPr>
              <w:tab/>
            </w:r>
            <w:r w:rsidR="001F39CB" w:rsidRPr="00715739">
              <w:rPr>
                <w:rStyle w:val="Hyperlink"/>
                <w:noProof/>
              </w:rPr>
              <w:t>Melon primary production and processing</w:t>
            </w:r>
            <w:r w:rsidR="001F39CB">
              <w:rPr>
                <w:noProof/>
                <w:webHidden/>
              </w:rPr>
              <w:tab/>
            </w:r>
            <w:r w:rsidR="001F39CB">
              <w:rPr>
                <w:noProof/>
                <w:webHidden/>
              </w:rPr>
              <w:fldChar w:fldCharType="begin"/>
            </w:r>
            <w:r w:rsidR="001F39CB">
              <w:rPr>
                <w:noProof/>
                <w:webHidden/>
              </w:rPr>
              <w:instrText xml:space="preserve"> PAGEREF _Toc87860021 \h </w:instrText>
            </w:r>
            <w:r w:rsidR="001F39CB">
              <w:rPr>
                <w:noProof/>
                <w:webHidden/>
              </w:rPr>
            </w:r>
            <w:r w:rsidR="001F39CB">
              <w:rPr>
                <w:noProof/>
                <w:webHidden/>
              </w:rPr>
              <w:fldChar w:fldCharType="separate"/>
            </w:r>
            <w:r w:rsidR="00A952A2">
              <w:rPr>
                <w:noProof/>
                <w:webHidden/>
              </w:rPr>
              <w:t>31</w:t>
            </w:r>
            <w:r w:rsidR="001F39CB">
              <w:rPr>
                <w:noProof/>
                <w:webHidden/>
              </w:rPr>
              <w:fldChar w:fldCharType="end"/>
            </w:r>
          </w:hyperlink>
        </w:p>
        <w:p w14:paraId="6AABB608" w14:textId="3A36CCBB" w:rsidR="001F39CB" w:rsidRDefault="00C97803">
          <w:pPr>
            <w:pStyle w:val="TOC1"/>
            <w:tabs>
              <w:tab w:val="left" w:pos="440"/>
              <w:tab w:val="right" w:leader="dot" w:pos="9060"/>
            </w:tabs>
            <w:rPr>
              <w:rFonts w:eastAsiaTheme="minorEastAsia" w:cstheme="minorBidi"/>
              <w:b w:val="0"/>
              <w:bCs w:val="0"/>
              <w:caps w:val="0"/>
              <w:noProof/>
              <w:sz w:val="22"/>
              <w:szCs w:val="22"/>
              <w:lang w:eastAsia="en-GB" w:bidi="ar-SA"/>
            </w:rPr>
          </w:pPr>
          <w:hyperlink w:anchor="_Toc87860022" w:history="1">
            <w:r w:rsidR="001F39CB" w:rsidRPr="00715739">
              <w:rPr>
                <w:rStyle w:val="Hyperlink"/>
                <w:noProof/>
              </w:rPr>
              <w:t>6</w:t>
            </w:r>
            <w:r w:rsidR="001F39CB">
              <w:rPr>
                <w:rFonts w:eastAsiaTheme="minorEastAsia" w:cstheme="minorBidi"/>
                <w:b w:val="0"/>
                <w:bCs w:val="0"/>
                <w:caps w:val="0"/>
                <w:noProof/>
                <w:sz w:val="22"/>
                <w:szCs w:val="22"/>
                <w:lang w:eastAsia="en-GB" w:bidi="ar-SA"/>
              </w:rPr>
              <w:tab/>
            </w:r>
            <w:r w:rsidR="001F39CB" w:rsidRPr="00715739">
              <w:rPr>
                <w:rStyle w:val="Hyperlink"/>
                <w:noProof/>
              </w:rPr>
              <w:t>Commodity consumption patterns</w:t>
            </w:r>
            <w:r w:rsidR="001F39CB">
              <w:rPr>
                <w:noProof/>
                <w:webHidden/>
              </w:rPr>
              <w:tab/>
            </w:r>
            <w:r w:rsidR="001F39CB">
              <w:rPr>
                <w:noProof/>
                <w:webHidden/>
              </w:rPr>
              <w:fldChar w:fldCharType="begin"/>
            </w:r>
            <w:r w:rsidR="001F39CB">
              <w:rPr>
                <w:noProof/>
                <w:webHidden/>
              </w:rPr>
              <w:instrText xml:space="preserve"> PAGEREF _Toc87860022 \h </w:instrText>
            </w:r>
            <w:r w:rsidR="001F39CB">
              <w:rPr>
                <w:noProof/>
                <w:webHidden/>
              </w:rPr>
            </w:r>
            <w:r w:rsidR="001F39CB">
              <w:rPr>
                <w:noProof/>
                <w:webHidden/>
              </w:rPr>
              <w:fldChar w:fldCharType="separate"/>
            </w:r>
            <w:r w:rsidR="00A952A2">
              <w:rPr>
                <w:noProof/>
                <w:webHidden/>
              </w:rPr>
              <w:t>33</w:t>
            </w:r>
            <w:r w:rsidR="001F39CB">
              <w:rPr>
                <w:noProof/>
                <w:webHidden/>
              </w:rPr>
              <w:fldChar w:fldCharType="end"/>
            </w:r>
          </w:hyperlink>
        </w:p>
        <w:p w14:paraId="58734FC2" w14:textId="6458B3C9" w:rsidR="001F39CB" w:rsidRDefault="00C97803">
          <w:pPr>
            <w:pStyle w:val="TOC1"/>
            <w:tabs>
              <w:tab w:val="left" w:pos="440"/>
              <w:tab w:val="right" w:leader="dot" w:pos="9060"/>
            </w:tabs>
            <w:rPr>
              <w:rFonts w:eastAsiaTheme="minorEastAsia" w:cstheme="minorBidi"/>
              <w:b w:val="0"/>
              <w:bCs w:val="0"/>
              <w:caps w:val="0"/>
              <w:noProof/>
              <w:sz w:val="22"/>
              <w:szCs w:val="22"/>
              <w:lang w:eastAsia="en-GB" w:bidi="ar-SA"/>
            </w:rPr>
          </w:pPr>
          <w:hyperlink w:anchor="_Toc87860023" w:history="1">
            <w:r w:rsidR="001F39CB" w:rsidRPr="00715739">
              <w:rPr>
                <w:rStyle w:val="Hyperlink"/>
                <w:noProof/>
              </w:rPr>
              <w:t>7</w:t>
            </w:r>
            <w:r w:rsidR="001F39CB">
              <w:rPr>
                <w:rFonts w:eastAsiaTheme="minorEastAsia" w:cstheme="minorBidi"/>
                <w:b w:val="0"/>
                <w:bCs w:val="0"/>
                <w:caps w:val="0"/>
                <w:noProof/>
                <w:sz w:val="22"/>
                <w:szCs w:val="22"/>
                <w:lang w:eastAsia="en-GB" w:bidi="ar-SA"/>
              </w:rPr>
              <w:tab/>
            </w:r>
            <w:r w:rsidR="001F39CB" w:rsidRPr="00715739">
              <w:rPr>
                <w:rStyle w:val="Hyperlink"/>
                <w:noProof/>
              </w:rPr>
              <w:t>Microbial hazard characteristics</w:t>
            </w:r>
            <w:r w:rsidR="001F39CB">
              <w:rPr>
                <w:noProof/>
                <w:webHidden/>
              </w:rPr>
              <w:tab/>
            </w:r>
            <w:r w:rsidR="001F39CB">
              <w:rPr>
                <w:noProof/>
                <w:webHidden/>
              </w:rPr>
              <w:fldChar w:fldCharType="begin"/>
            </w:r>
            <w:r w:rsidR="001F39CB">
              <w:rPr>
                <w:noProof/>
                <w:webHidden/>
              </w:rPr>
              <w:instrText xml:space="preserve"> PAGEREF _Toc87860023 \h </w:instrText>
            </w:r>
            <w:r w:rsidR="001F39CB">
              <w:rPr>
                <w:noProof/>
                <w:webHidden/>
              </w:rPr>
            </w:r>
            <w:r w:rsidR="001F39CB">
              <w:rPr>
                <w:noProof/>
                <w:webHidden/>
              </w:rPr>
              <w:fldChar w:fldCharType="separate"/>
            </w:r>
            <w:r w:rsidR="00A952A2">
              <w:rPr>
                <w:noProof/>
                <w:webHidden/>
              </w:rPr>
              <w:t>34</w:t>
            </w:r>
            <w:r w:rsidR="001F39CB">
              <w:rPr>
                <w:noProof/>
                <w:webHidden/>
              </w:rPr>
              <w:fldChar w:fldCharType="end"/>
            </w:r>
          </w:hyperlink>
        </w:p>
        <w:p w14:paraId="5AC7B32C" w14:textId="307BE908" w:rsidR="001F39CB" w:rsidRDefault="00C97803">
          <w:pPr>
            <w:pStyle w:val="TOC1"/>
            <w:tabs>
              <w:tab w:val="left" w:pos="440"/>
              <w:tab w:val="right" w:leader="dot" w:pos="9060"/>
            </w:tabs>
            <w:rPr>
              <w:rFonts w:eastAsiaTheme="minorEastAsia" w:cstheme="minorBidi"/>
              <w:b w:val="0"/>
              <w:bCs w:val="0"/>
              <w:caps w:val="0"/>
              <w:noProof/>
              <w:sz w:val="22"/>
              <w:szCs w:val="22"/>
              <w:lang w:eastAsia="en-GB" w:bidi="ar-SA"/>
            </w:rPr>
          </w:pPr>
          <w:hyperlink w:anchor="_Toc87860024" w:history="1">
            <w:r w:rsidR="001F39CB" w:rsidRPr="00715739">
              <w:rPr>
                <w:rStyle w:val="Hyperlink"/>
                <w:noProof/>
              </w:rPr>
              <w:t>8</w:t>
            </w:r>
            <w:r w:rsidR="001F39CB">
              <w:rPr>
                <w:rFonts w:eastAsiaTheme="minorEastAsia" w:cstheme="minorBidi"/>
                <w:b w:val="0"/>
                <w:bCs w:val="0"/>
                <w:caps w:val="0"/>
                <w:noProof/>
                <w:sz w:val="22"/>
                <w:szCs w:val="22"/>
                <w:lang w:eastAsia="en-GB" w:bidi="ar-SA"/>
              </w:rPr>
              <w:tab/>
            </w:r>
            <w:r w:rsidR="001F39CB" w:rsidRPr="00715739">
              <w:rPr>
                <w:rStyle w:val="Hyperlink"/>
                <w:noProof/>
              </w:rPr>
              <w:t>Commodity characteristics</w:t>
            </w:r>
            <w:r w:rsidR="001F39CB">
              <w:rPr>
                <w:noProof/>
                <w:webHidden/>
              </w:rPr>
              <w:tab/>
            </w:r>
            <w:r w:rsidR="001F39CB">
              <w:rPr>
                <w:noProof/>
                <w:webHidden/>
              </w:rPr>
              <w:fldChar w:fldCharType="begin"/>
            </w:r>
            <w:r w:rsidR="001F39CB">
              <w:rPr>
                <w:noProof/>
                <w:webHidden/>
              </w:rPr>
              <w:instrText xml:space="preserve"> PAGEREF _Toc87860024 \h </w:instrText>
            </w:r>
            <w:r w:rsidR="001F39CB">
              <w:rPr>
                <w:noProof/>
                <w:webHidden/>
              </w:rPr>
            </w:r>
            <w:r w:rsidR="001F39CB">
              <w:rPr>
                <w:noProof/>
                <w:webHidden/>
              </w:rPr>
              <w:fldChar w:fldCharType="separate"/>
            </w:r>
            <w:r w:rsidR="00A952A2">
              <w:rPr>
                <w:noProof/>
                <w:webHidden/>
              </w:rPr>
              <w:t>35</w:t>
            </w:r>
            <w:r w:rsidR="001F39CB">
              <w:rPr>
                <w:noProof/>
                <w:webHidden/>
              </w:rPr>
              <w:fldChar w:fldCharType="end"/>
            </w:r>
          </w:hyperlink>
        </w:p>
        <w:p w14:paraId="3A3175D4" w14:textId="652D42A8"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25" w:history="1">
            <w:r w:rsidR="001F39CB" w:rsidRPr="00715739">
              <w:rPr>
                <w:rStyle w:val="Hyperlink"/>
                <w:noProof/>
              </w:rPr>
              <w:t>8.1</w:t>
            </w:r>
            <w:r w:rsidR="001F39CB">
              <w:rPr>
                <w:rFonts w:eastAsiaTheme="minorEastAsia" w:cstheme="minorBidi"/>
                <w:smallCaps w:val="0"/>
                <w:noProof/>
                <w:sz w:val="22"/>
                <w:szCs w:val="22"/>
                <w:lang w:eastAsia="en-GB" w:bidi="ar-SA"/>
              </w:rPr>
              <w:tab/>
            </w:r>
            <w:r w:rsidR="001F39CB" w:rsidRPr="00715739">
              <w:rPr>
                <w:rStyle w:val="Hyperlink"/>
                <w:noProof/>
              </w:rPr>
              <w:t>Leafy vegetables</w:t>
            </w:r>
            <w:r w:rsidR="001F39CB">
              <w:rPr>
                <w:noProof/>
                <w:webHidden/>
              </w:rPr>
              <w:tab/>
            </w:r>
            <w:r w:rsidR="001F39CB">
              <w:rPr>
                <w:noProof/>
                <w:webHidden/>
              </w:rPr>
              <w:fldChar w:fldCharType="begin"/>
            </w:r>
            <w:r w:rsidR="001F39CB">
              <w:rPr>
                <w:noProof/>
                <w:webHidden/>
              </w:rPr>
              <w:instrText xml:space="preserve"> PAGEREF _Toc87860025 \h </w:instrText>
            </w:r>
            <w:r w:rsidR="001F39CB">
              <w:rPr>
                <w:noProof/>
                <w:webHidden/>
              </w:rPr>
            </w:r>
            <w:r w:rsidR="001F39CB">
              <w:rPr>
                <w:noProof/>
                <w:webHidden/>
              </w:rPr>
              <w:fldChar w:fldCharType="separate"/>
            </w:r>
            <w:r w:rsidR="00A952A2">
              <w:rPr>
                <w:noProof/>
                <w:webHidden/>
              </w:rPr>
              <w:t>35</w:t>
            </w:r>
            <w:r w:rsidR="001F39CB">
              <w:rPr>
                <w:noProof/>
                <w:webHidden/>
              </w:rPr>
              <w:fldChar w:fldCharType="end"/>
            </w:r>
          </w:hyperlink>
        </w:p>
        <w:p w14:paraId="16820D80" w14:textId="376142F3"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26" w:history="1">
            <w:r w:rsidR="001F39CB" w:rsidRPr="00715739">
              <w:rPr>
                <w:rStyle w:val="Hyperlink"/>
                <w:noProof/>
              </w:rPr>
              <w:t>8.2</w:t>
            </w:r>
            <w:r w:rsidR="001F39CB">
              <w:rPr>
                <w:rFonts w:eastAsiaTheme="minorEastAsia" w:cstheme="minorBidi"/>
                <w:smallCaps w:val="0"/>
                <w:noProof/>
                <w:sz w:val="22"/>
                <w:szCs w:val="22"/>
                <w:lang w:eastAsia="en-GB" w:bidi="ar-SA"/>
              </w:rPr>
              <w:tab/>
            </w:r>
            <w:r w:rsidR="001F39CB" w:rsidRPr="00715739">
              <w:rPr>
                <w:rStyle w:val="Hyperlink"/>
                <w:noProof/>
              </w:rPr>
              <w:t>Berries</w:t>
            </w:r>
            <w:r w:rsidR="001F39CB">
              <w:rPr>
                <w:noProof/>
                <w:webHidden/>
              </w:rPr>
              <w:tab/>
            </w:r>
            <w:r w:rsidR="001F39CB">
              <w:rPr>
                <w:noProof/>
                <w:webHidden/>
              </w:rPr>
              <w:fldChar w:fldCharType="begin"/>
            </w:r>
            <w:r w:rsidR="001F39CB">
              <w:rPr>
                <w:noProof/>
                <w:webHidden/>
              </w:rPr>
              <w:instrText xml:space="preserve"> PAGEREF _Toc87860026 \h </w:instrText>
            </w:r>
            <w:r w:rsidR="001F39CB">
              <w:rPr>
                <w:noProof/>
                <w:webHidden/>
              </w:rPr>
            </w:r>
            <w:r w:rsidR="001F39CB">
              <w:rPr>
                <w:noProof/>
                <w:webHidden/>
              </w:rPr>
              <w:fldChar w:fldCharType="separate"/>
            </w:r>
            <w:r w:rsidR="00A952A2">
              <w:rPr>
                <w:noProof/>
                <w:webHidden/>
              </w:rPr>
              <w:t>38</w:t>
            </w:r>
            <w:r w:rsidR="001F39CB">
              <w:rPr>
                <w:noProof/>
                <w:webHidden/>
              </w:rPr>
              <w:fldChar w:fldCharType="end"/>
            </w:r>
          </w:hyperlink>
        </w:p>
        <w:p w14:paraId="164CA5EB" w14:textId="50E9D04E"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27" w:history="1">
            <w:r w:rsidR="001F39CB" w:rsidRPr="00715739">
              <w:rPr>
                <w:rStyle w:val="Hyperlink"/>
                <w:noProof/>
              </w:rPr>
              <w:t>8.3</w:t>
            </w:r>
            <w:r w:rsidR="001F39CB">
              <w:rPr>
                <w:rFonts w:eastAsiaTheme="minorEastAsia" w:cstheme="minorBidi"/>
                <w:smallCaps w:val="0"/>
                <w:noProof/>
                <w:sz w:val="22"/>
                <w:szCs w:val="22"/>
                <w:lang w:eastAsia="en-GB" w:bidi="ar-SA"/>
              </w:rPr>
              <w:tab/>
            </w:r>
            <w:r w:rsidR="001F39CB" w:rsidRPr="00715739">
              <w:rPr>
                <w:rStyle w:val="Hyperlink"/>
                <w:noProof/>
              </w:rPr>
              <w:t>Melons</w:t>
            </w:r>
            <w:r w:rsidR="001F39CB">
              <w:rPr>
                <w:noProof/>
                <w:webHidden/>
              </w:rPr>
              <w:tab/>
            </w:r>
            <w:r w:rsidR="001F39CB">
              <w:rPr>
                <w:noProof/>
                <w:webHidden/>
              </w:rPr>
              <w:fldChar w:fldCharType="begin"/>
            </w:r>
            <w:r w:rsidR="001F39CB">
              <w:rPr>
                <w:noProof/>
                <w:webHidden/>
              </w:rPr>
              <w:instrText xml:space="preserve"> PAGEREF _Toc87860027 \h </w:instrText>
            </w:r>
            <w:r w:rsidR="001F39CB">
              <w:rPr>
                <w:noProof/>
                <w:webHidden/>
              </w:rPr>
            </w:r>
            <w:r w:rsidR="001F39CB">
              <w:rPr>
                <w:noProof/>
                <w:webHidden/>
              </w:rPr>
              <w:fldChar w:fldCharType="separate"/>
            </w:r>
            <w:r w:rsidR="00A952A2">
              <w:rPr>
                <w:noProof/>
                <w:webHidden/>
              </w:rPr>
              <w:t>40</w:t>
            </w:r>
            <w:r w:rsidR="001F39CB">
              <w:rPr>
                <w:noProof/>
                <w:webHidden/>
              </w:rPr>
              <w:fldChar w:fldCharType="end"/>
            </w:r>
          </w:hyperlink>
        </w:p>
        <w:p w14:paraId="1585E79D" w14:textId="6FB789D5" w:rsidR="001F39CB" w:rsidRDefault="00C97803">
          <w:pPr>
            <w:pStyle w:val="TOC1"/>
            <w:tabs>
              <w:tab w:val="left" w:pos="440"/>
              <w:tab w:val="right" w:leader="dot" w:pos="9060"/>
            </w:tabs>
            <w:rPr>
              <w:rFonts w:eastAsiaTheme="minorEastAsia" w:cstheme="minorBidi"/>
              <w:b w:val="0"/>
              <w:bCs w:val="0"/>
              <w:caps w:val="0"/>
              <w:noProof/>
              <w:sz w:val="22"/>
              <w:szCs w:val="22"/>
              <w:lang w:eastAsia="en-GB" w:bidi="ar-SA"/>
            </w:rPr>
          </w:pPr>
          <w:hyperlink w:anchor="_Toc87860028" w:history="1">
            <w:r w:rsidR="001F39CB" w:rsidRPr="00715739">
              <w:rPr>
                <w:rStyle w:val="Hyperlink"/>
                <w:noProof/>
              </w:rPr>
              <w:t>9</w:t>
            </w:r>
            <w:r w:rsidR="001F39CB">
              <w:rPr>
                <w:rFonts w:eastAsiaTheme="minorEastAsia" w:cstheme="minorBidi"/>
                <w:b w:val="0"/>
                <w:bCs w:val="0"/>
                <w:caps w:val="0"/>
                <w:noProof/>
                <w:sz w:val="22"/>
                <w:szCs w:val="22"/>
                <w:lang w:eastAsia="en-GB" w:bidi="ar-SA"/>
              </w:rPr>
              <w:tab/>
            </w:r>
            <w:r w:rsidR="001F39CB" w:rsidRPr="00715739">
              <w:rPr>
                <w:rStyle w:val="Hyperlink"/>
                <w:noProof/>
              </w:rPr>
              <w:t>Primary production environment risk factors</w:t>
            </w:r>
            <w:r w:rsidR="001F39CB">
              <w:rPr>
                <w:noProof/>
                <w:webHidden/>
              </w:rPr>
              <w:tab/>
            </w:r>
            <w:r w:rsidR="001F39CB">
              <w:rPr>
                <w:noProof/>
                <w:webHidden/>
              </w:rPr>
              <w:fldChar w:fldCharType="begin"/>
            </w:r>
            <w:r w:rsidR="001F39CB">
              <w:rPr>
                <w:noProof/>
                <w:webHidden/>
              </w:rPr>
              <w:instrText xml:space="preserve"> PAGEREF _Toc87860028 \h </w:instrText>
            </w:r>
            <w:r w:rsidR="001F39CB">
              <w:rPr>
                <w:noProof/>
                <w:webHidden/>
              </w:rPr>
            </w:r>
            <w:r w:rsidR="001F39CB">
              <w:rPr>
                <w:noProof/>
                <w:webHidden/>
              </w:rPr>
              <w:fldChar w:fldCharType="separate"/>
            </w:r>
            <w:r w:rsidR="00A952A2">
              <w:rPr>
                <w:noProof/>
                <w:webHidden/>
              </w:rPr>
              <w:t>42</w:t>
            </w:r>
            <w:r w:rsidR="001F39CB">
              <w:rPr>
                <w:noProof/>
                <w:webHidden/>
              </w:rPr>
              <w:fldChar w:fldCharType="end"/>
            </w:r>
          </w:hyperlink>
        </w:p>
        <w:p w14:paraId="4D133133" w14:textId="13037C66"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29" w:history="1">
            <w:r w:rsidR="001F39CB" w:rsidRPr="00715739">
              <w:rPr>
                <w:rStyle w:val="Hyperlink"/>
                <w:noProof/>
              </w:rPr>
              <w:t>9.1</w:t>
            </w:r>
            <w:r w:rsidR="001F39CB">
              <w:rPr>
                <w:rFonts w:eastAsiaTheme="minorEastAsia" w:cstheme="minorBidi"/>
                <w:smallCaps w:val="0"/>
                <w:noProof/>
                <w:sz w:val="22"/>
                <w:szCs w:val="22"/>
                <w:lang w:eastAsia="en-GB" w:bidi="ar-SA"/>
              </w:rPr>
              <w:tab/>
            </w:r>
            <w:r w:rsidR="001F39CB" w:rsidRPr="00715739">
              <w:rPr>
                <w:rStyle w:val="Hyperlink"/>
                <w:noProof/>
              </w:rPr>
              <w:t>Animals, wildlife, and livestock</w:t>
            </w:r>
            <w:r w:rsidR="001F39CB">
              <w:rPr>
                <w:noProof/>
                <w:webHidden/>
              </w:rPr>
              <w:tab/>
            </w:r>
            <w:r w:rsidR="001F39CB">
              <w:rPr>
                <w:noProof/>
                <w:webHidden/>
              </w:rPr>
              <w:fldChar w:fldCharType="begin"/>
            </w:r>
            <w:r w:rsidR="001F39CB">
              <w:rPr>
                <w:noProof/>
                <w:webHidden/>
              </w:rPr>
              <w:instrText xml:space="preserve"> PAGEREF _Toc87860029 \h </w:instrText>
            </w:r>
            <w:r w:rsidR="001F39CB">
              <w:rPr>
                <w:noProof/>
                <w:webHidden/>
              </w:rPr>
            </w:r>
            <w:r w:rsidR="001F39CB">
              <w:rPr>
                <w:noProof/>
                <w:webHidden/>
              </w:rPr>
              <w:fldChar w:fldCharType="separate"/>
            </w:r>
            <w:r w:rsidR="00A952A2">
              <w:rPr>
                <w:noProof/>
                <w:webHidden/>
              </w:rPr>
              <w:t>42</w:t>
            </w:r>
            <w:r w:rsidR="001F39CB">
              <w:rPr>
                <w:noProof/>
                <w:webHidden/>
              </w:rPr>
              <w:fldChar w:fldCharType="end"/>
            </w:r>
          </w:hyperlink>
        </w:p>
        <w:p w14:paraId="74535015" w14:textId="22ADFC0B"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30" w:history="1">
            <w:r w:rsidR="001F39CB" w:rsidRPr="00715739">
              <w:rPr>
                <w:rStyle w:val="Hyperlink"/>
                <w:noProof/>
              </w:rPr>
              <w:t>9.1.1</w:t>
            </w:r>
            <w:r w:rsidR="001F39CB">
              <w:rPr>
                <w:rFonts w:eastAsiaTheme="minorEastAsia" w:cstheme="minorBidi"/>
                <w:i w:val="0"/>
                <w:iCs w:val="0"/>
                <w:noProof/>
                <w:sz w:val="22"/>
                <w:szCs w:val="22"/>
                <w:lang w:eastAsia="en-GB" w:bidi="ar-SA"/>
              </w:rPr>
              <w:tab/>
            </w:r>
            <w:r w:rsidR="001F39CB" w:rsidRPr="00715739">
              <w:rPr>
                <w:rStyle w:val="Hyperlink"/>
                <w:noProof/>
              </w:rPr>
              <w:t>Available data</w:t>
            </w:r>
            <w:r w:rsidR="001F39CB">
              <w:rPr>
                <w:noProof/>
                <w:webHidden/>
              </w:rPr>
              <w:tab/>
            </w:r>
            <w:r w:rsidR="001F39CB">
              <w:rPr>
                <w:noProof/>
                <w:webHidden/>
              </w:rPr>
              <w:fldChar w:fldCharType="begin"/>
            </w:r>
            <w:r w:rsidR="001F39CB">
              <w:rPr>
                <w:noProof/>
                <w:webHidden/>
              </w:rPr>
              <w:instrText xml:space="preserve"> PAGEREF _Toc87860030 \h </w:instrText>
            </w:r>
            <w:r w:rsidR="001F39CB">
              <w:rPr>
                <w:noProof/>
                <w:webHidden/>
              </w:rPr>
            </w:r>
            <w:r w:rsidR="001F39CB">
              <w:rPr>
                <w:noProof/>
                <w:webHidden/>
              </w:rPr>
              <w:fldChar w:fldCharType="separate"/>
            </w:r>
            <w:r w:rsidR="00A952A2">
              <w:rPr>
                <w:noProof/>
                <w:webHidden/>
              </w:rPr>
              <w:t>42</w:t>
            </w:r>
            <w:r w:rsidR="001F39CB">
              <w:rPr>
                <w:noProof/>
                <w:webHidden/>
              </w:rPr>
              <w:fldChar w:fldCharType="end"/>
            </w:r>
          </w:hyperlink>
        </w:p>
        <w:p w14:paraId="3B343EAC" w14:textId="4362D6EC"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31" w:history="1">
            <w:r w:rsidR="001F39CB" w:rsidRPr="00715739">
              <w:rPr>
                <w:rStyle w:val="Hyperlink"/>
                <w:noProof/>
              </w:rPr>
              <w:t>9.1.2</w:t>
            </w:r>
            <w:r w:rsidR="001F39CB">
              <w:rPr>
                <w:rFonts w:eastAsiaTheme="minorEastAsia" w:cstheme="minorBidi"/>
                <w:i w:val="0"/>
                <w:iCs w:val="0"/>
                <w:noProof/>
                <w:sz w:val="22"/>
                <w:szCs w:val="22"/>
                <w:lang w:eastAsia="en-GB" w:bidi="ar-SA"/>
              </w:rPr>
              <w:tab/>
            </w:r>
            <w:r w:rsidR="001F39CB" w:rsidRPr="00715739">
              <w:rPr>
                <w:rStyle w:val="Hyperlink"/>
                <w:noProof/>
              </w:rPr>
              <w:t>Conclusions, uncertainty, and data gaps</w:t>
            </w:r>
            <w:r w:rsidR="001F39CB">
              <w:rPr>
                <w:noProof/>
                <w:webHidden/>
              </w:rPr>
              <w:tab/>
            </w:r>
            <w:r w:rsidR="001F39CB">
              <w:rPr>
                <w:noProof/>
                <w:webHidden/>
              </w:rPr>
              <w:fldChar w:fldCharType="begin"/>
            </w:r>
            <w:r w:rsidR="001F39CB">
              <w:rPr>
                <w:noProof/>
                <w:webHidden/>
              </w:rPr>
              <w:instrText xml:space="preserve"> PAGEREF _Toc87860031 \h </w:instrText>
            </w:r>
            <w:r w:rsidR="001F39CB">
              <w:rPr>
                <w:noProof/>
                <w:webHidden/>
              </w:rPr>
            </w:r>
            <w:r w:rsidR="001F39CB">
              <w:rPr>
                <w:noProof/>
                <w:webHidden/>
              </w:rPr>
              <w:fldChar w:fldCharType="separate"/>
            </w:r>
            <w:r w:rsidR="00A952A2">
              <w:rPr>
                <w:noProof/>
                <w:webHidden/>
              </w:rPr>
              <w:t>44</w:t>
            </w:r>
            <w:r w:rsidR="001F39CB">
              <w:rPr>
                <w:noProof/>
                <w:webHidden/>
              </w:rPr>
              <w:fldChar w:fldCharType="end"/>
            </w:r>
          </w:hyperlink>
        </w:p>
        <w:p w14:paraId="5E552EDD" w14:textId="2C1E7475"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32" w:history="1">
            <w:r w:rsidR="001F39CB" w:rsidRPr="00715739">
              <w:rPr>
                <w:rStyle w:val="Hyperlink"/>
                <w:noProof/>
              </w:rPr>
              <w:t>9.1.3</w:t>
            </w:r>
            <w:r w:rsidR="001F39CB">
              <w:rPr>
                <w:rFonts w:eastAsiaTheme="minorEastAsia" w:cstheme="minorBidi"/>
                <w:i w:val="0"/>
                <w:iCs w:val="0"/>
                <w:noProof/>
                <w:sz w:val="22"/>
                <w:szCs w:val="22"/>
                <w:lang w:eastAsia="en-GB" w:bidi="ar-SA"/>
              </w:rPr>
              <w:tab/>
            </w:r>
            <w:r w:rsidR="001F39CB" w:rsidRPr="00715739">
              <w:rPr>
                <w:rStyle w:val="Hyperlink"/>
                <w:noProof/>
              </w:rPr>
              <w:t>Mitigation measures</w:t>
            </w:r>
            <w:r w:rsidR="001F39CB">
              <w:rPr>
                <w:noProof/>
                <w:webHidden/>
              </w:rPr>
              <w:tab/>
            </w:r>
            <w:r w:rsidR="001F39CB">
              <w:rPr>
                <w:noProof/>
                <w:webHidden/>
              </w:rPr>
              <w:fldChar w:fldCharType="begin"/>
            </w:r>
            <w:r w:rsidR="001F39CB">
              <w:rPr>
                <w:noProof/>
                <w:webHidden/>
              </w:rPr>
              <w:instrText xml:space="preserve"> PAGEREF _Toc87860032 \h </w:instrText>
            </w:r>
            <w:r w:rsidR="001F39CB">
              <w:rPr>
                <w:noProof/>
                <w:webHidden/>
              </w:rPr>
            </w:r>
            <w:r w:rsidR="001F39CB">
              <w:rPr>
                <w:noProof/>
                <w:webHidden/>
              </w:rPr>
              <w:fldChar w:fldCharType="separate"/>
            </w:r>
            <w:r w:rsidR="00A952A2">
              <w:rPr>
                <w:noProof/>
                <w:webHidden/>
              </w:rPr>
              <w:t>45</w:t>
            </w:r>
            <w:r w:rsidR="001F39CB">
              <w:rPr>
                <w:noProof/>
                <w:webHidden/>
              </w:rPr>
              <w:fldChar w:fldCharType="end"/>
            </w:r>
          </w:hyperlink>
        </w:p>
        <w:p w14:paraId="04F3C116" w14:textId="22ACF61C"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33" w:history="1">
            <w:r w:rsidR="001F39CB" w:rsidRPr="00715739">
              <w:rPr>
                <w:rStyle w:val="Hyperlink"/>
                <w:noProof/>
              </w:rPr>
              <w:t>9.2</w:t>
            </w:r>
            <w:r w:rsidR="001F39CB">
              <w:rPr>
                <w:rFonts w:eastAsiaTheme="minorEastAsia" w:cstheme="minorBidi"/>
                <w:smallCaps w:val="0"/>
                <w:noProof/>
                <w:sz w:val="22"/>
                <w:szCs w:val="22"/>
                <w:lang w:eastAsia="en-GB" w:bidi="ar-SA"/>
              </w:rPr>
              <w:tab/>
            </w:r>
            <w:r w:rsidR="001F39CB" w:rsidRPr="00715739">
              <w:rPr>
                <w:rStyle w:val="Hyperlink"/>
                <w:noProof/>
              </w:rPr>
              <w:t>Characteristics of the production site</w:t>
            </w:r>
            <w:r w:rsidR="001F39CB">
              <w:rPr>
                <w:noProof/>
                <w:webHidden/>
              </w:rPr>
              <w:tab/>
            </w:r>
            <w:r w:rsidR="001F39CB">
              <w:rPr>
                <w:noProof/>
                <w:webHidden/>
              </w:rPr>
              <w:fldChar w:fldCharType="begin"/>
            </w:r>
            <w:r w:rsidR="001F39CB">
              <w:rPr>
                <w:noProof/>
                <w:webHidden/>
              </w:rPr>
              <w:instrText xml:space="preserve"> PAGEREF _Toc87860033 \h </w:instrText>
            </w:r>
            <w:r w:rsidR="001F39CB">
              <w:rPr>
                <w:noProof/>
                <w:webHidden/>
              </w:rPr>
            </w:r>
            <w:r w:rsidR="001F39CB">
              <w:rPr>
                <w:noProof/>
                <w:webHidden/>
              </w:rPr>
              <w:fldChar w:fldCharType="separate"/>
            </w:r>
            <w:r w:rsidR="00A952A2">
              <w:rPr>
                <w:noProof/>
                <w:webHidden/>
              </w:rPr>
              <w:t>45</w:t>
            </w:r>
            <w:r w:rsidR="001F39CB">
              <w:rPr>
                <w:noProof/>
                <w:webHidden/>
              </w:rPr>
              <w:fldChar w:fldCharType="end"/>
            </w:r>
          </w:hyperlink>
        </w:p>
        <w:p w14:paraId="16431295" w14:textId="69C2F12E"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34" w:history="1">
            <w:r w:rsidR="001F39CB" w:rsidRPr="00715739">
              <w:rPr>
                <w:rStyle w:val="Hyperlink"/>
                <w:noProof/>
              </w:rPr>
              <w:t>9.2.1</w:t>
            </w:r>
            <w:r w:rsidR="001F39CB">
              <w:rPr>
                <w:rFonts w:eastAsiaTheme="minorEastAsia" w:cstheme="minorBidi"/>
                <w:i w:val="0"/>
                <w:iCs w:val="0"/>
                <w:noProof/>
                <w:sz w:val="22"/>
                <w:szCs w:val="22"/>
                <w:lang w:eastAsia="en-GB" w:bidi="ar-SA"/>
              </w:rPr>
              <w:tab/>
            </w:r>
            <w:r w:rsidR="001F39CB" w:rsidRPr="00715739">
              <w:rPr>
                <w:rStyle w:val="Hyperlink"/>
                <w:noProof/>
              </w:rPr>
              <w:t>Available data</w:t>
            </w:r>
            <w:r w:rsidR="001F39CB">
              <w:rPr>
                <w:noProof/>
                <w:webHidden/>
              </w:rPr>
              <w:tab/>
            </w:r>
            <w:r w:rsidR="001F39CB">
              <w:rPr>
                <w:noProof/>
                <w:webHidden/>
              </w:rPr>
              <w:fldChar w:fldCharType="begin"/>
            </w:r>
            <w:r w:rsidR="001F39CB">
              <w:rPr>
                <w:noProof/>
                <w:webHidden/>
              </w:rPr>
              <w:instrText xml:space="preserve"> PAGEREF _Toc87860034 \h </w:instrText>
            </w:r>
            <w:r w:rsidR="001F39CB">
              <w:rPr>
                <w:noProof/>
                <w:webHidden/>
              </w:rPr>
            </w:r>
            <w:r w:rsidR="001F39CB">
              <w:rPr>
                <w:noProof/>
                <w:webHidden/>
              </w:rPr>
              <w:fldChar w:fldCharType="separate"/>
            </w:r>
            <w:r w:rsidR="00A952A2">
              <w:rPr>
                <w:noProof/>
                <w:webHidden/>
              </w:rPr>
              <w:t>46</w:t>
            </w:r>
            <w:r w:rsidR="001F39CB">
              <w:rPr>
                <w:noProof/>
                <w:webHidden/>
              </w:rPr>
              <w:fldChar w:fldCharType="end"/>
            </w:r>
          </w:hyperlink>
        </w:p>
        <w:p w14:paraId="262C8A57" w14:textId="25C5E327"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35" w:history="1">
            <w:r w:rsidR="001F39CB" w:rsidRPr="00715739">
              <w:rPr>
                <w:rStyle w:val="Hyperlink"/>
                <w:noProof/>
              </w:rPr>
              <w:t>9.2.2</w:t>
            </w:r>
            <w:r w:rsidR="001F39CB">
              <w:rPr>
                <w:rFonts w:eastAsiaTheme="minorEastAsia" w:cstheme="minorBidi"/>
                <w:i w:val="0"/>
                <w:iCs w:val="0"/>
                <w:noProof/>
                <w:sz w:val="22"/>
                <w:szCs w:val="22"/>
                <w:lang w:eastAsia="en-GB" w:bidi="ar-SA"/>
              </w:rPr>
              <w:tab/>
            </w:r>
            <w:r w:rsidR="001F39CB" w:rsidRPr="00715739">
              <w:rPr>
                <w:rStyle w:val="Hyperlink"/>
                <w:noProof/>
              </w:rPr>
              <w:t>Conclusions, uncertainty, and data gaps</w:t>
            </w:r>
            <w:r w:rsidR="001F39CB">
              <w:rPr>
                <w:noProof/>
                <w:webHidden/>
              </w:rPr>
              <w:tab/>
            </w:r>
            <w:r w:rsidR="001F39CB">
              <w:rPr>
                <w:noProof/>
                <w:webHidden/>
              </w:rPr>
              <w:fldChar w:fldCharType="begin"/>
            </w:r>
            <w:r w:rsidR="001F39CB">
              <w:rPr>
                <w:noProof/>
                <w:webHidden/>
              </w:rPr>
              <w:instrText xml:space="preserve"> PAGEREF _Toc87860035 \h </w:instrText>
            </w:r>
            <w:r w:rsidR="001F39CB">
              <w:rPr>
                <w:noProof/>
                <w:webHidden/>
              </w:rPr>
            </w:r>
            <w:r w:rsidR="001F39CB">
              <w:rPr>
                <w:noProof/>
                <w:webHidden/>
              </w:rPr>
              <w:fldChar w:fldCharType="separate"/>
            </w:r>
            <w:r w:rsidR="00A952A2">
              <w:rPr>
                <w:noProof/>
                <w:webHidden/>
              </w:rPr>
              <w:t>48</w:t>
            </w:r>
            <w:r w:rsidR="001F39CB">
              <w:rPr>
                <w:noProof/>
                <w:webHidden/>
              </w:rPr>
              <w:fldChar w:fldCharType="end"/>
            </w:r>
          </w:hyperlink>
        </w:p>
        <w:p w14:paraId="15C3E587" w14:textId="53BE9478"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36" w:history="1">
            <w:r w:rsidR="001F39CB" w:rsidRPr="00715739">
              <w:rPr>
                <w:rStyle w:val="Hyperlink"/>
                <w:noProof/>
              </w:rPr>
              <w:t>9.2.3</w:t>
            </w:r>
            <w:r w:rsidR="001F39CB">
              <w:rPr>
                <w:rFonts w:eastAsiaTheme="minorEastAsia" w:cstheme="minorBidi"/>
                <w:i w:val="0"/>
                <w:iCs w:val="0"/>
                <w:noProof/>
                <w:sz w:val="22"/>
                <w:szCs w:val="22"/>
                <w:lang w:eastAsia="en-GB" w:bidi="ar-SA"/>
              </w:rPr>
              <w:tab/>
            </w:r>
            <w:r w:rsidR="001F39CB" w:rsidRPr="00715739">
              <w:rPr>
                <w:rStyle w:val="Hyperlink"/>
                <w:noProof/>
              </w:rPr>
              <w:t>Mitigation measures</w:t>
            </w:r>
            <w:r w:rsidR="001F39CB">
              <w:rPr>
                <w:noProof/>
                <w:webHidden/>
              </w:rPr>
              <w:tab/>
            </w:r>
            <w:r w:rsidR="001F39CB">
              <w:rPr>
                <w:noProof/>
                <w:webHidden/>
              </w:rPr>
              <w:fldChar w:fldCharType="begin"/>
            </w:r>
            <w:r w:rsidR="001F39CB">
              <w:rPr>
                <w:noProof/>
                <w:webHidden/>
              </w:rPr>
              <w:instrText xml:space="preserve"> PAGEREF _Toc87860036 \h </w:instrText>
            </w:r>
            <w:r w:rsidR="001F39CB">
              <w:rPr>
                <w:noProof/>
                <w:webHidden/>
              </w:rPr>
            </w:r>
            <w:r w:rsidR="001F39CB">
              <w:rPr>
                <w:noProof/>
                <w:webHidden/>
              </w:rPr>
              <w:fldChar w:fldCharType="separate"/>
            </w:r>
            <w:r w:rsidR="00A952A2">
              <w:rPr>
                <w:noProof/>
                <w:webHidden/>
              </w:rPr>
              <w:t>49</w:t>
            </w:r>
            <w:r w:rsidR="001F39CB">
              <w:rPr>
                <w:noProof/>
                <w:webHidden/>
              </w:rPr>
              <w:fldChar w:fldCharType="end"/>
            </w:r>
          </w:hyperlink>
        </w:p>
        <w:p w14:paraId="17492F2E" w14:textId="69CC3DDF"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37" w:history="1">
            <w:r w:rsidR="001F39CB" w:rsidRPr="00715739">
              <w:rPr>
                <w:rStyle w:val="Hyperlink"/>
                <w:noProof/>
              </w:rPr>
              <w:t>9.3</w:t>
            </w:r>
            <w:r w:rsidR="001F39CB">
              <w:rPr>
                <w:rFonts w:eastAsiaTheme="minorEastAsia" w:cstheme="minorBidi"/>
                <w:smallCaps w:val="0"/>
                <w:noProof/>
                <w:sz w:val="22"/>
                <w:szCs w:val="22"/>
                <w:lang w:eastAsia="en-GB" w:bidi="ar-SA"/>
              </w:rPr>
              <w:tab/>
            </w:r>
            <w:r w:rsidR="001F39CB" w:rsidRPr="00715739">
              <w:rPr>
                <w:rStyle w:val="Hyperlink"/>
                <w:noProof/>
              </w:rPr>
              <w:t>Extreme weather events</w:t>
            </w:r>
            <w:r w:rsidR="001F39CB">
              <w:rPr>
                <w:noProof/>
                <w:webHidden/>
              </w:rPr>
              <w:tab/>
            </w:r>
            <w:r w:rsidR="001F39CB">
              <w:rPr>
                <w:noProof/>
                <w:webHidden/>
              </w:rPr>
              <w:fldChar w:fldCharType="begin"/>
            </w:r>
            <w:r w:rsidR="001F39CB">
              <w:rPr>
                <w:noProof/>
                <w:webHidden/>
              </w:rPr>
              <w:instrText xml:space="preserve"> PAGEREF _Toc87860037 \h </w:instrText>
            </w:r>
            <w:r w:rsidR="001F39CB">
              <w:rPr>
                <w:noProof/>
                <w:webHidden/>
              </w:rPr>
            </w:r>
            <w:r w:rsidR="001F39CB">
              <w:rPr>
                <w:noProof/>
                <w:webHidden/>
              </w:rPr>
              <w:fldChar w:fldCharType="separate"/>
            </w:r>
            <w:r w:rsidR="00A952A2">
              <w:rPr>
                <w:noProof/>
                <w:webHidden/>
              </w:rPr>
              <w:t>49</w:t>
            </w:r>
            <w:r w:rsidR="001F39CB">
              <w:rPr>
                <w:noProof/>
                <w:webHidden/>
              </w:rPr>
              <w:fldChar w:fldCharType="end"/>
            </w:r>
          </w:hyperlink>
        </w:p>
        <w:p w14:paraId="6DA3C7F5" w14:textId="3AC8E435"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38" w:history="1">
            <w:r w:rsidR="001F39CB" w:rsidRPr="00715739">
              <w:rPr>
                <w:rStyle w:val="Hyperlink"/>
                <w:noProof/>
              </w:rPr>
              <w:t>9.3.1</w:t>
            </w:r>
            <w:r w:rsidR="001F39CB">
              <w:rPr>
                <w:rFonts w:eastAsiaTheme="minorEastAsia" w:cstheme="minorBidi"/>
                <w:i w:val="0"/>
                <w:iCs w:val="0"/>
                <w:noProof/>
                <w:sz w:val="22"/>
                <w:szCs w:val="22"/>
                <w:lang w:eastAsia="en-GB" w:bidi="ar-SA"/>
              </w:rPr>
              <w:tab/>
            </w:r>
            <w:r w:rsidR="001F39CB" w:rsidRPr="00715739">
              <w:rPr>
                <w:rStyle w:val="Hyperlink"/>
                <w:noProof/>
              </w:rPr>
              <w:t>Available data</w:t>
            </w:r>
            <w:r w:rsidR="001F39CB">
              <w:rPr>
                <w:noProof/>
                <w:webHidden/>
              </w:rPr>
              <w:tab/>
            </w:r>
            <w:r w:rsidR="001F39CB">
              <w:rPr>
                <w:noProof/>
                <w:webHidden/>
              </w:rPr>
              <w:fldChar w:fldCharType="begin"/>
            </w:r>
            <w:r w:rsidR="001F39CB">
              <w:rPr>
                <w:noProof/>
                <w:webHidden/>
              </w:rPr>
              <w:instrText xml:space="preserve"> PAGEREF _Toc87860038 \h </w:instrText>
            </w:r>
            <w:r w:rsidR="001F39CB">
              <w:rPr>
                <w:noProof/>
                <w:webHidden/>
              </w:rPr>
            </w:r>
            <w:r w:rsidR="001F39CB">
              <w:rPr>
                <w:noProof/>
                <w:webHidden/>
              </w:rPr>
              <w:fldChar w:fldCharType="separate"/>
            </w:r>
            <w:r w:rsidR="00A952A2">
              <w:rPr>
                <w:noProof/>
                <w:webHidden/>
              </w:rPr>
              <w:t>49</w:t>
            </w:r>
            <w:r w:rsidR="001F39CB">
              <w:rPr>
                <w:noProof/>
                <w:webHidden/>
              </w:rPr>
              <w:fldChar w:fldCharType="end"/>
            </w:r>
          </w:hyperlink>
        </w:p>
        <w:p w14:paraId="3F3AF073" w14:textId="1A4DFEB9"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39" w:history="1">
            <w:r w:rsidR="001F39CB" w:rsidRPr="00715739">
              <w:rPr>
                <w:rStyle w:val="Hyperlink"/>
                <w:noProof/>
              </w:rPr>
              <w:t>9.3.2</w:t>
            </w:r>
            <w:r w:rsidR="001F39CB">
              <w:rPr>
                <w:rFonts w:eastAsiaTheme="minorEastAsia" w:cstheme="minorBidi"/>
                <w:i w:val="0"/>
                <w:iCs w:val="0"/>
                <w:noProof/>
                <w:sz w:val="22"/>
                <w:szCs w:val="22"/>
                <w:lang w:eastAsia="en-GB" w:bidi="ar-SA"/>
              </w:rPr>
              <w:tab/>
            </w:r>
            <w:r w:rsidR="001F39CB" w:rsidRPr="00715739">
              <w:rPr>
                <w:rStyle w:val="Hyperlink"/>
                <w:noProof/>
              </w:rPr>
              <w:t>Conclusions, uncertainty, and data gaps</w:t>
            </w:r>
            <w:r w:rsidR="001F39CB">
              <w:rPr>
                <w:noProof/>
                <w:webHidden/>
              </w:rPr>
              <w:tab/>
            </w:r>
            <w:r w:rsidR="001F39CB">
              <w:rPr>
                <w:noProof/>
                <w:webHidden/>
              </w:rPr>
              <w:fldChar w:fldCharType="begin"/>
            </w:r>
            <w:r w:rsidR="001F39CB">
              <w:rPr>
                <w:noProof/>
                <w:webHidden/>
              </w:rPr>
              <w:instrText xml:space="preserve"> PAGEREF _Toc87860039 \h </w:instrText>
            </w:r>
            <w:r w:rsidR="001F39CB">
              <w:rPr>
                <w:noProof/>
                <w:webHidden/>
              </w:rPr>
            </w:r>
            <w:r w:rsidR="001F39CB">
              <w:rPr>
                <w:noProof/>
                <w:webHidden/>
              </w:rPr>
              <w:fldChar w:fldCharType="separate"/>
            </w:r>
            <w:r w:rsidR="00A952A2">
              <w:rPr>
                <w:noProof/>
                <w:webHidden/>
              </w:rPr>
              <w:t>52</w:t>
            </w:r>
            <w:r w:rsidR="001F39CB">
              <w:rPr>
                <w:noProof/>
                <w:webHidden/>
              </w:rPr>
              <w:fldChar w:fldCharType="end"/>
            </w:r>
          </w:hyperlink>
        </w:p>
        <w:p w14:paraId="53273BBA" w14:textId="38D41BE6"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40" w:history="1">
            <w:r w:rsidR="001F39CB" w:rsidRPr="00715739">
              <w:rPr>
                <w:rStyle w:val="Hyperlink"/>
                <w:noProof/>
              </w:rPr>
              <w:t>9.3.3</w:t>
            </w:r>
            <w:r w:rsidR="001F39CB">
              <w:rPr>
                <w:rFonts w:eastAsiaTheme="minorEastAsia" w:cstheme="minorBidi"/>
                <w:i w:val="0"/>
                <w:iCs w:val="0"/>
                <w:noProof/>
                <w:sz w:val="22"/>
                <w:szCs w:val="22"/>
                <w:lang w:eastAsia="en-GB" w:bidi="ar-SA"/>
              </w:rPr>
              <w:tab/>
            </w:r>
            <w:r w:rsidR="001F39CB" w:rsidRPr="00715739">
              <w:rPr>
                <w:rStyle w:val="Hyperlink"/>
                <w:noProof/>
              </w:rPr>
              <w:t>Mitigation measures</w:t>
            </w:r>
            <w:r w:rsidR="001F39CB">
              <w:rPr>
                <w:noProof/>
                <w:webHidden/>
              </w:rPr>
              <w:tab/>
            </w:r>
            <w:r w:rsidR="001F39CB">
              <w:rPr>
                <w:noProof/>
                <w:webHidden/>
              </w:rPr>
              <w:fldChar w:fldCharType="begin"/>
            </w:r>
            <w:r w:rsidR="001F39CB">
              <w:rPr>
                <w:noProof/>
                <w:webHidden/>
              </w:rPr>
              <w:instrText xml:space="preserve"> PAGEREF _Toc87860040 \h </w:instrText>
            </w:r>
            <w:r w:rsidR="001F39CB">
              <w:rPr>
                <w:noProof/>
                <w:webHidden/>
              </w:rPr>
            </w:r>
            <w:r w:rsidR="001F39CB">
              <w:rPr>
                <w:noProof/>
                <w:webHidden/>
              </w:rPr>
              <w:fldChar w:fldCharType="separate"/>
            </w:r>
            <w:r w:rsidR="00A952A2">
              <w:rPr>
                <w:noProof/>
                <w:webHidden/>
              </w:rPr>
              <w:t>53</w:t>
            </w:r>
            <w:r w:rsidR="001F39CB">
              <w:rPr>
                <w:noProof/>
                <w:webHidden/>
              </w:rPr>
              <w:fldChar w:fldCharType="end"/>
            </w:r>
          </w:hyperlink>
        </w:p>
        <w:p w14:paraId="232B2125" w14:textId="5C68D8C2"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41" w:history="1">
            <w:r w:rsidR="001F39CB" w:rsidRPr="00715739">
              <w:rPr>
                <w:rStyle w:val="Hyperlink"/>
                <w:noProof/>
              </w:rPr>
              <w:t>9.4</w:t>
            </w:r>
            <w:r w:rsidR="001F39CB">
              <w:rPr>
                <w:rFonts w:eastAsiaTheme="minorEastAsia" w:cstheme="minorBidi"/>
                <w:smallCaps w:val="0"/>
                <w:noProof/>
                <w:sz w:val="22"/>
                <w:szCs w:val="22"/>
                <w:lang w:eastAsia="en-GB" w:bidi="ar-SA"/>
              </w:rPr>
              <w:tab/>
            </w:r>
            <w:r w:rsidR="001F39CB" w:rsidRPr="00715739">
              <w:rPr>
                <w:rStyle w:val="Hyperlink"/>
                <w:noProof/>
              </w:rPr>
              <w:t>Seeds and seedlings</w:t>
            </w:r>
            <w:r w:rsidR="001F39CB">
              <w:rPr>
                <w:noProof/>
                <w:webHidden/>
              </w:rPr>
              <w:tab/>
            </w:r>
            <w:r w:rsidR="001F39CB">
              <w:rPr>
                <w:noProof/>
                <w:webHidden/>
              </w:rPr>
              <w:fldChar w:fldCharType="begin"/>
            </w:r>
            <w:r w:rsidR="001F39CB">
              <w:rPr>
                <w:noProof/>
                <w:webHidden/>
              </w:rPr>
              <w:instrText xml:space="preserve"> PAGEREF _Toc87860041 \h </w:instrText>
            </w:r>
            <w:r w:rsidR="001F39CB">
              <w:rPr>
                <w:noProof/>
                <w:webHidden/>
              </w:rPr>
            </w:r>
            <w:r w:rsidR="001F39CB">
              <w:rPr>
                <w:noProof/>
                <w:webHidden/>
              </w:rPr>
              <w:fldChar w:fldCharType="separate"/>
            </w:r>
            <w:r w:rsidR="00A952A2">
              <w:rPr>
                <w:noProof/>
                <w:webHidden/>
              </w:rPr>
              <w:t>54</w:t>
            </w:r>
            <w:r w:rsidR="001F39CB">
              <w:rPr>
                <w:noProof/>
                <w:webHidden/>
              </w:rPr>
              <w:fldChar w:fldCharType="end"/>
            </w:r>
          </w:hyperlink>
        </w:p>
        <w:p w14:paraId="48A3425C" w14:textId="53D41EAE"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42" w:history="1">
            <w:r w:rsidR="001F39CB" w:rsidRPr="00715739">
              <w:rPr>
                <w:rStyle w:val="Hyperlink"/>
                <w:noProof/>
              </w:rPr>
              <w:t>9.4.1</w:t>
            </w:r>
            <w:r w:rsidR="001F39CB">
              <w:rPr>
                <w:rFonts w:eastAsiaTheme="minorEastAsia" w:cstheme="minorBidi"/>
                <w:i w:val="0"/>
                <w:iCs w:val="0"/>
                <w:noProof/>
                <w:sz w:val="22"/>
                <w:szCs w:val="22"/>
                <w:lang w:eastAsia="en-GB" w:bidi="ar-SA"/>
              </w:rPr>
              <w:tab/>
            </w:r>
            <w:r w:rsidR="001F39CB" w:rsidRPr="00715739">
              <w:rPr>
                <w:rStyle w:val="Hyperlink"/>
                <w:noProof/>
              </w:rPr>
              <w:t>Available data</w:t>
            </w:r>
            <w:r w:rsidR="001F39CB">
              <w:rPr>
                <w:noProof/>
                <w:webHidden/>
              </w:rPr>
              <w:tab/>
            </w:r>
            <w:r w:rsidR="001F39CB">
              <w:rPr>
                <w:noProof/>
                <w:webHidden/>
              </w:rPr>
              <w:fldChar w:fldCharType="begin"/>
            </w:r>
            <w:r w:rsidR="001F39CB">
              <w:rPr>
                <w:noProof/>
                <w:webHidden/>
              </w:rPr>
              <w:instrText xml:space="preserve"> PAGEREF _Toc87860042 \h </w:instrText>
            </w:r>
            <w:r w:rsidR="001F39CB">
              <w:rPr>
                <w:noProof/>
                <w:webHidden/>
              </w:rPr>
            </w:r>
            <w:r w:rsidR="001F39CB">
              <w:rPr>
                <w:noProof/>
                <w:webHidden/>
              </w:rPr>
              <w:fldChar w:fldCharType="separate"/>
            </w:r>
            <w:r w:rsidR="00A952A2">
              <w:rPr>
                <w:noProof/>
                <w:webHidden/>
              </w:rPr>
              <w:t>55</w:t>
            </w:r>
            <w:r w:rsidR="001F39CB">
              <w:rPr>
                <w:noProof/>
                <w:webHidden/>
              </w:rPr>
              <w:fldChar w:fldCharType="end"/>
            </w:r>
          </w:hyperlink>
        </w:p>
        <w:p w14:paraId="3A35ACEC" w14:textId="0BA83BB1"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43" w:history="1">
            <w:r w:rsidR="001F39CB" w:rsidRPr="00715739">
              <w:rPr>
                <w:rStyle w:val="Hyperlink"/>
                <w:noProof/>
              </w:rPr>
              <w:t>9.4.2</w:t>
            </w:r>
            <w:r w:rsidR="001F39CB">
              <w:rPr>
                <w:rFonts w:eastAsiaTheme="minorEastAsia" w:cstheme="minorBidi"/>
                <w:i w:val="0"/>
                <w:iCs w:val="0"/>
                <w:noProof/>
                <w:sz w:val="22"/>
                <w:szCs w:val="22"/>
                <w:lang w:eastAsia="en-GB" w:bidi="ar-SA"/>
              </w:rPr>
              <w:tab/>
            </w:r>
            <w:r w:rsidR="001F39CB" w:rsidRPr="00715739">
              <w:rPr>
                <w:rStyle w:val="Hyperlink"/>
                <w:noProof/>
              </w:rPr>
              <w:t>Conclusions, uncertainty, and data gaps</w:t>
            </w:r>
            <w:r w:rsidR="001F39CB">
              <w:rPr>
                <w:noProof/>
                <w:webHidden/>
              </w:rPr>
              <w:tab/>
            </w:r>
            <w:r w:rsidR="001F39CB">
              <w:rPr>
                <w:noProof/>
                <w:webHidden/>
              </w:rPr>
              <w:fldChar w:fldCharType="begin"/>
            </w:r>
            <w:r w:rsidR="001F39CB">
              <w:rPr>
                <w:noProof/>
                <w:webHidden/>
              </w:rPr>
              <w:instrText xml:space="preserve"> PAGEREF _Toc87860043 \h </w:instrText>
            </w:r>
            <w:r w:rsidR="001F39CB">
              <w:rPr>
                <w:noProof/>
                <w:webHidden/>
              </w:rPr>
            </w:r>
            <w:r w:rsidR="001F39CB">
              <w:rPr>
                <w:noProof/>
                <w:webHidden/>
              </w:rPr>
              <w:fldChar w:fldCharType="separate"/>
            </w:r>
            <w:r w:rsidR="00A952A2">
              <w:rPr>
                <w:noProof/>
                <w:webHidden/>
              </w:rPr>
              <w:t>57</w:t>
            </w:r>
            <w:r w:rsidR="001F39CB">
              <w:rPr>
                <w:noProof/>
                <w:webHidden/>
              </w:rPr>
              <w:fldChar w:fldCharType="end"/>
            </w:r>
          </w:hyperlink>
        </w:p>
        <w:p w14:paraId="3837A9FC" w14:textId="2D88094F"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44" w:history="1">
            <w:r w:rsidR="001F39CB" w:rsidRPr="00715739">
              <w:rPr>
                <w:rStyle w:val="Hyperlink"/>
                <w:noProof/>
              </w:rPr>
              <w:t>9.4.3</w:t>
            </w:r>
            <w:r w:rsidR="001F39CB">
              <w:rPr>
                <w:rFonts w:eastAsiaTheme="minorEastAsia" w:cstheme="minorBidi"/>
                <w:i w:val="0"/>
                <w:iCs w:val="0"/>
                <w:noProof/>
                <w:sz w:val="22"/>
                <w:szCs w:val="22"/>
                <w:lang w:eastAsia="en-GB" w:bidi="ar-SA"/>
              </w:rPr>
              <w:tab/>
            </w:r>
            <w:r w:rsidR="001F39CB" w:rsidRPr="00715739">
              <w:rPr>
                <w:rStyle w:val="Hyperlink"/>
                <w:noProof/>
              </w:rPr>
              <w:t>Mitigation measures</w:t>
            </w:r>
            <w:r w:rsidR="001F39CB">
              <w:rPr>
                <w:noProof/>
                <w:webHidden/>
              </w:rPr>
              <w:tab/>
            </w:r>
            <w:r w:rsidR="001F39CB">
              <w:rPr>
                <w:noProof/>
                <w:webHidden/>
              </w:rPr>
              <w:fldChar w:fldCharType="begin"/>
            </w:r>
            <w:r w:rsidR="001F39CB">
              <w:rPr>
                <w:noProof/>
                <w:webHidden/>
              </w:rPr>
              <w:instrText xml:space="preserve"> PAGEREF _Toc87860044 \h </w:instrText>
            </w:r>
            <w:r w:rsidR="001F39CB">
              <w:rPr>
                <w:noProof/>
                <w:webHidden/>
              </w:rPr>
            </w:r>
            <w:r w:rsidR="001F39CB">
              <w:rPr>
                <w:noProof/>
                <w:webHidden/>
              </w:rPr>
              <w:fldChar w:fldCharType="separate"/>
            </w:r>
            <w:r w:rsidR="00A952A2">
              <w:rPr>
                <w:noProof/>
                <w:webHidden/>
              </w:rPr>
              <w:t>58</w:t>
            </w:r>
            <w:r w:rsidR="001F39CB">
              <w:rPr>
                <w:noProof/>
                <w:webHidden/>
              </w:rPr>
              <w:fldChar w:fldCharType="end"/>
            </w:r>
          </w:hyperlink>
        </w:p>
        <w:p w14:paraId="4A80F0A1" w14:textId="7E12F5D3"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45" w:history="1">
            <w:r w:rsidR="001F39CB" w:rsidRPr="00715739">
              <w:rPr>
                <w:rStyle w:val="Hyperlink"/>
                <w:rFonts w:eastAsiaTheme="minorHAnsi"/>
                <w:noProof/>
              </w:rPr>
              <w:t>9.5</w:t>
            </w:r>
            <w:r w:rsidR="001F39CB">
              <w:rPr>
                <w:rFonts w:eastAsiaTheme="minorEastAsia" w:cstheme="minorBidi"/>
                <w:smallCaps w:val="0"/>
                <w:noProof/>
                <w:sz w:val="22"/>
                <w:szCs w:val="22"/>
                <w:lang w:eastAsia="en-GB" w:bidi="ar-SA"/>
              </w:rPr>
              <w:tab/>
            </w:r>
            <w:r w:rsidR="001F39CB" w:rsidRPr="00715739">
              <w:rPr>
                <w:rStyle w:val="Hyperlink"/>
                <w:noProof/>
              </w:rPr>
              <w:t>Soil, soil amendments, and fertilisers</w:t>
            </w:r>
            <w:r w:rsidR="001F39CB">
              <w:rPr>
                <w:noProof/>
                <w:webHidden/>
              </w:rPr>
              <w:tab/>
            </w:r>
            <w:r w:rsidR="001F39CB">
              <w:rPr>
                <w:noProof/>
                <w:webHidden/>
              </w:rPr>
              <w:fldChar w:fldCharType="begin"/>
            </w:r>
            <w:r w:rsidR="001F39CB">
              <w:rPr>
                <w:noProof/>
                <w:webHidden/>
              </w:rPr>
              <w:instrText xml:space="preserve"> PAGEREF _Toc87860045 \h </w:instrText>
            </w:r>
            <w:r w:rsidR="001F39CB">
              <w:rPr>
                <w:noProof/>
                <w:webHidden/>
              </w:rPr>
            </w:r>
            <w:r w:rsidR="001F39CB">
              <w:rPr>
                <w:noProof/>
                <w:webHidden/>
              </w:rPr>
              <w:fldChar w:fldCharType="separate"/>
            </w:r>
            <w:r w:rsidR="00A952A2">
              <w:rPr>
                <w:noProof/>
                <w:webHidden/>
              </w:rPr>
              <w:t>58</w:t>
            </w:r>
            <w:r w:rsidR="001F39CB">
              <w:rPr>
                <w:noProof/>
                <w:webHidden/>
              </w:rPr>
              <w:fldChar w:fldCharType="end"/>
            </w:r>
          </w:hyperlink>
        </w:p>
        <w:p w14:paraId="4F9C2049" w14:textId="60C8643C"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46" w:history="1">
            <w:r w:rsidR="001F39CB" w:rsidRPr="00715739">
              <w:rPr>
                <w:rStyle w:val="Hyperlink"/>
                <w:noProof/>
              </w:rPr>
              <w:t>9.5.1</w:t>
            </w:r>
            <w:r w:rsidR="001F39CB">
              <w:rPr>
                <w:rFonts w:eastAsiaTheme="minorEastAsia" w:cstheme="minorBidi"/>
                <w:i w:val="0"/>
                <w:iCs w:val="0"/>
                <w:noProof/>
                <w:sz w:val="22"/>
                <w:szCs w:val="22"/>
                <w:lang w:eastAsia="en-GB" w:bidi="ar-SA"/>
              </w:rPr>
              <w:tab/>
            </w:r>
            <w:r w:rsidR="001F39CB" w:rsidRPr="00715739">
              <w:rPr>
                <w:rStyle w:val="Hyperlink"/>
                <w:noProof/>
              </w:rPr>
              <w:t>Available data</w:t>
            </w:r>
            <w:r w:rsidR="001F39CB">
              <w:rPr>
                <w:noProof/>
                <w:webHidden/>
              </w:rPr>
              <w:tab/>
            </w:r>
            <w:r w:rsidR="001F39CB">
              <w:rPr>
                <w:noProof/>
                <w:webHidden/>
              </w:rPr>
              <w:fldChar w:fldCharType="begin"/>
            </w:r>
            <w:r w:rsidR="001F39CB">
              <w:rPr>
                <w:noProof/>
                <w:webHidden/>
              </w:rPr>
              <w:instrText xml:space="preserve"> PAGEREF _Toc87860046 \h </w:instrText>
            </w:r>
            <w:r w:rsidR="001F39CB">
              <w:rPr>
                <w:noProof/>
                <w:webHidden/>
              </w:rPr>
            </w:r>
            <w:r w:rsidR="001F39CB">
              <w:rPr>
                <w:noProof/>
                <w:webHidden/>
              </w:rPr>
              <w:fldChar w:fldCharType="separate"/>
            </w:r>
            <w:r w:rsidR="00A952A2">
              <w:rPr>
                <w:noProof/>
                <w:webHidden/>
              </w:rPr>
              <w:t>58</w:t>
            </w:r>
            <w:r w:rsidR="001F39CB">
              <w:rPr>
                <w:noProof/>
                <w:webHidden/>
              </w:rPr>
              <w:fldChar w:fldCharType="end"/>
            </w:r>
          </w:hyperlink>
        </w:p>
        <w:p w14:paraId="338F7B85" w14:textId="3DC0E003"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47" w:history="1">
            <w:r w:rsidR="001F39CB" w:rsidRPr="00715739">
              <w:rPr>
                <w:rStyle w:val="Hyperlink"/>
                <w:noProof/>
              </w:rPr>
              <w:t>9.5.2</w:t>
            </w:r>
            <w:r w:rsidR="001F39CB">
              <w:rPr>
                <w:rFonts w:eastAsiaTheme="minorEastAsia" w:cstheme="minorBidi"/>
                <w:i w:val="0"/>
                <w:iCs w:val="0"/>
                <w:noProof/>
                <w:sz w:val="22"/>
                <w:szCs w:val="22"/>
                <w:lang w:eastAsia="en-GB" w:bidi="ar-SA"/>
              </w:rPr>
              <w:tab/>
            </w:r>
            <w:r w:rsidR="001F39CB" w:rsidRPr="00715739">
              <w:rPr>
                <w:rStyle w:val="Hyperlink"/>
                <w:noProof/>
              </w:rPr>
              <w:t>Conclusions, uncertainty, and data gaps</w:t>
            </w:r>
            <w:r w:rsidR="001F39CB">
              <w:rPr>
                <w:noProof/>
                <w:webHidden/>
              </w:rPr>
              <w:tab/>
            </w:r>
            <w:r w:rsidR="001F39CB">
              <w:rPr>
                <w:noProof/>
                <w:webHidden/>
              </w:rPr>
              <w:fldChar w:fldCharType="begin"/>
            </w:r>
            <w:r w:rsidR="001F39CB">
              <w:rPr>
                <w:noProof/>
                <w:webHidden/>
              </w:rPr>
              <w:instrText xml:space="preserve"> PAGEREF _Toc87860047 \h </w:instrText>
            </w:r>
            <w:r w:rsidR="001F39CB">
              <w:rPr>
                <w:noProof/>
                <w:webHidden/>
              </w:rPr>
            </w:r>
            <w:r w:rsidR="001F39CB">
              <w:rPr>
                <w:noProof/>
                <w:webHidden/>
              </w:rPr>
              <w:fldChar w:fldCharType="separate"/>
            </w:r>
            <w:r w:rsidR="00A952A2">
              <w:rPr>
                <w:noProof/>
                <w:webHidden/>
              </w:rPr>
              <w:t>64</w:t>
            </w:r>
            <w:r w:rsidR="001F39CB">
              <w:rPr>
                <w:noProof/>
                <w:webHidden/>
              </w:rPr>
              <w:fldChar w:fldCharType="end"/>
            </w:r>
          </w:hyperlink>
        </w:p>
        <w:p w14:paraId="22825F7B" w14:textId="6B1CE3A0"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48" w:history="1">
            <w:r w:rsidR="001F39CB" w:rsidRPr="00715739">
              <w:rPr>
                <w:rStyle w:val="Hyperlink"/>
                <w:noProof/>
              </w:rPr>
              <w:t>9.5.3</w:t>
            </w:r>
            <w:r w:rsidR="001F39CB">
              <w:rPr>
                <w:rFonts w:eastAsiaTheme="minorEastAsia" w:cstheme="minorBidi"/>
                <w:i w:val="0"/>
                <w:iCs w:val="0"/>
                <w:noProof/>
                <w:sz w:val="22"/>
                <w:szCs w:val="22"/>
                <w:lang w:eastAsia="en-GB" w:bidi="ar-SA"/>
              </w:rPr>
              <w:tab/>
            </w:r>
            <w:r w:rsidR="001F39CB" w:rsidRPr="00715739">
              <w:rPr>
                <w:rStyle w:val="Hyperlink"/>
                <w:noProof/>
              </w:rPr>
              <w:t>Mitigation measures</w:t>
            </w:r>
            <w:r w:rsidR="001F39CB">
              <w:rPr>
                <w:noProof/>
                <w:webHidden/>
              </w:rPr>
              <w:tab/>
            </w:r>
            <w:r w:rsidR="001F39CB">
              <w:rPr>
                <w:noProof/>
                <w:webHidden/>
              </w:rPr>
              <w:fldChar w:fldCharType="begin"/>
            </w:r>
            <w:r w:rsidR="001F39CB">
              <w:rPr>
                <w:noProof/>
                <w:webHidden/>
              </w:rPr>
              <w:instrText xml:space="preserve"> PAGEREF _Toc87860048 \h </w:instrText>
            </w:r>
            <w:r w:rsidR="001F39CB">
              <w:rPr>
                <w:noProof/>
                <w:webHidden/>
              </w:rPr>
            </w:r>
            <w:r w:rsidR="001F39CB">
              <w:rPr>
                <w:noProof/>
                <w:webHidden/>
              </w:rPr>
              <w:fldChar w:fldCharType="separate"/>
            </w:r>
            <w:r w:rsidR="00A952A2">
              <w:rPr>
                <w:noProof/>
                <w:webHidden/>
              </w:rPr>
              <w:t>65</w:t>
            </w:r>
            <w:r w:rsidR="001F39CB">
              <w:rPr>
                <w:noProof/>
                <w:webHidden/>
              </w:rPr>
              <w:fldChar w:fldCharType="end"/>
            </w:r>
          </w:hyperlink>
        </w:p>
        <w:p w14:paraId="7E95B411" w14:textId="3A436ACE"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49" w:history="1">
            <w:r w:rsidR="001F39CB" w:rsidRPr="00715739">
              <w:rPr>
                <w:rStyle w:val="Hyperlink"/>
                <w:noProof/>
              </w:rPr>
              <w:t>9.6</w:t>
            </w:r>
            <w:r w:rsidR="001F39CB">
              <w:rPr>
                <w:rFonts w:eastAsiaTheme="minorEastAsia" w:cstheme="minorBidi"/>
                <w:smallCaps w:val="0"/>
                <w:noProof/>
                <w:sz w:val="22"/>
                <w:szCs w:val="22"/>
                <w:lang w:eastAsia="en-GB" w:bidi="ar-SA"/>
              </w:rPr>
              <w:tab/>
            </w:r>
            <w:r w:rsidR="001F39CB" w:rsidRPr="00715739">
              <w:rPr>
                <w:rStyle w:val="Hyperlink"/>
                <w:noProof/>
              </w:rPr>
              <w:t>Water</w:t>
            </w:r>
            <w:r w:rsidR="001F39CB">
              <w:rPr>
                <w:noProof/>
                <w:webHidden/>
              </w:rPr>
              <w:tab/>
            </w:r>
            <w:r w:rsidR="001F39CB">
              <w:rPr>
                <w:noProof/>
                <w:webHidden/>
              </w:rPr>
              <w:fldChar w:fldCharType="begin"/>
            </w:r>
            <w:r w:rsidR="001F39CB">
              <w:rPr>
                <w:noProof/>
                <w:webHidden/>
              </w:rPr>
              <w:instrText xml:space="preserve"> PAGEREF _Toc87860049 \h </w:instrText>
            </w:r>
            <w:r w:rsidR="001F39CB">
              <w:rPr>
                <w:noProof/>
                <w:webHidden/>
              </w:rPr>
            </w:r>
            <w:r w:rsidR="001F39CB">
              <w:rPr>
                <w:noProof/>
                <w:webHidden/>
              </w:rPr>
              <w:fldChar w:fldCharType="separate"/>
            </w:r>
            <w:r w:rsidR="00A952A2">
              <w:rPr>
                <w:noProof/>
                <w:webHidden/>
              </w:rPr>
              <w:t>67</w:t>
            </w:r>
            <w:r w:rsidR="001F39CB">
              <w:rPr>
                <w:noProof/>
                <w:webHidden/>
              </w:rPr>
              <w:fldChar w:fldCharType="end"/>
            </w:r>
          </w:hyperlink>
        </w:p>
        <w:p w14:paraId="5029EDD4" w14:textId="0F7AC830"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50" w:history="1">
            <w:r w:rsidR="001F39CB" w:rsidRPr="00715739">
              <w:rPr>
                <w:rStyle w:val="Hyperlink"/>
                <w:noProof/>
              </w:rPr>
              <w:t>9.6.1</w:t>
            </w:r>
            <w:r w:rsidR="001F39CB">
              <w:rPr>
                <w:rFonts w:eastAsiaTheme="minorEastAsia" w:cstheme="minorBidi"/>
                <w:i w:val="0"/>
                <w:iCs w:val="0"/>
                <w:noProof/>
                <w:sz w:val="22"/>
                <w:szCs w:val="22"/>
                <w:lang w:eastAsia="en-GB" w:bidi="ar-SA"/>
              </w:rPr>
              <w:tab/>
            </w:r>
            <w:r w:rsidR="001F39CB" w:rsidRPr="00715739">
              <w:rPr>
                <w:rStyle w:val="Hyperlink"/>
                <w:noProof/>
              </w:rPr>
              <w:t>Available data</w:t>
            </w:r>
            <w:r w:rsidR="001F39CB">
              <w:rPr>
                <w:noProof/>
                <w:webHidden/>
              </w:rPr>
              <w:tab/>
            </w:r>
            <w:r w:rsidR="001F39CB">
              <w:rPr>
                <w:noProof/>
                <w:webHidden/>
              </w:rPr>
              <w:fldChar w:fldCharType="begin"/>
            </w:r>
            <w:r w:rsidR="001F39CB">
              <w:rPr>
                <w:noProof/>
                <w:webHidden/>
              </w:rPr>
              <w:instrText xml:space="preserve"> PAGEREF _Toc87860050 \h </w:instrText>
            </w:r>
            <w:r w:rsidR="001F39CB">
              <w:rPr>
                <w:noProof/>
                <w:webHidden/>
              </w:rPr>
            </w:r>
            <w:r w:rsidR="001F39CB">
              <w:rPr>
                <w:noProof/>
                <w:webHidden/>
              </w:rPr>
              <w:fldChar w:fldCharType="separate"/>
            </w:r>
            <w:r w:rsidR="00A952A2">
              <w:rPr>
                <w:noProof/>
                <w:webHidden/>
              </w:rPr>
              <w:t>67</w:t>
            </w:r>
            <w:r w:rsidR="001F39CB">
              <w:rPr>
                <w:noProof/>
                <w:webHidden/>
              </w:rPr>
              <w:fldChar w:fldCharType="end"/>
            </w:r>
          </w:hyperlink>
        </w:p>
        <w:p w14:paraId="7395CF61" w14:textId="6E0833DF"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51" w:history="1">
            <w:r w:rsidR="001F39CB" w:rsidRPr="00715739">
              <w:rPr>
                <w:rStyle w:val="Hyperlink"/>
                <w:noProof/>
              </w:rPr>
              <w:t>9.6.2</w:t>
            </w:r>
            <w:r w:rsidR="001F39CB">
              <w:rPr>
                <w:rFonts w:eastAsiaTheme="minorEastAsia" w:cstheme="minorBidi"/>
                <w:i w:val="0"/>
                <w:iCs w:val="0"/>
                <w:noProof/>
                <w:sz w:val="22"/>
                <w:szCs w:val="22"/>
                <w:lang w:eastAsia="en-GB" w:bidi="ar-SA"/>
              </w:rPr>
              <w:tab/>
            </w:r>
            <w:r w:rsidR="001F39CB" w:rsidRPr="00715739">
              <w:rPr>
                <w:rStyle w:val="Hyperlink"/>
                <w:noProof/>
              </w:rPr>
              <w:t>Conclusions, uncertainty, and data gaps</w:t>
            </w:r>
            <w:r w:rsidR="001F39CB">
              <w:rPr>
                <w:noProof/>
                <w:webHidden/>
              </w:rPr>
              <w:tab/>
            </w:r>
            <w:r w:rsidR="001F39CB">
              <w:rPr>
                <w:noProof/>
                <w:webHidden/>
              </w:rPr>
              <w:fldChar w:fldCharType="begin"/>
            </w:r>
            <w:r w:rsidR="001F39CB">
              <w:rPr>
                <w:noProof/>
                <w:webHidden/>
              </w:rPr>
              <w:instrText xml:space="preserve"> PAGEREF _Toc87860051 \h </w:instrText>
            </w:r>
            <w:r w:rsidR="001F39CB">
              <w:rPr>
                <w:noProof/>
                <w:webHidden/>
              </w:rPr>
            </w:r>
            <w:r w:rsidR="001F39CB">
              <w:rPr>
                <w:noProof/>
                <w:webHidden/>
              </w:rPr>
              <w:fldChar w:fldCharType="separate"/>
            </w:r>
            <w:r w:rsidR="00A952A2">
              <w:rPr>
                <w:noProof/>
                <w:webHidden/>
              </w:rPr>
              <w:t>72</w:t>
            </w:r>
            <w:r w:rsidR="001F39CB">
              <w:rPr>
                <w:noProof/>
                <w:webHidden/>
              </w:rPr>
              <w:fldChar w:fldCharType="end"/>
            </w:r>
          </w:hyperlink>
        </w:p>
        <w:p w14:paraId="5541B59F" w14:textId="5AA95F3B"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52" w:history="1">
            <w:r w:rsidR="001F39CB" w:rsidRPr="00715739">
              <w:rPr>
                <w:rStyle w:val="Hyperlink"/>
                <w:noProof/>
              </w:rPr>
              <w:t>9.6.3</w:t>
            </w:r>
            <w:r w:rsidR="001F39CB">
              <w:rPr>
                <w:rFonts w:eastAsiaTheme="minorEastAsia" w:cstheme="minorBidi"/>
                <w:i w:val="0"/>
                <w:iCs w:val="0"/>
                <w:noProof/>
                <w:sz w:val="22"/>
                <w:szCs w:val="22"/>
                <w:lang w:eastAsia="en-GB" w:bidi="ar-SA"/>
              </w:rPr>
              <w:tab/>
            </w:r>
            <w:r w:rsidR="001F39CB" w:rsidRPr="00715739">
              <w:rPr>
                <w:rStyle w:val="Hyperlink"/>
                <w:noProof/>
              </w:rPr>
              <w:t>Mitigation measures</w:t>
            </w:r>
            <w:r w:rsidR="001F39CB">
              <w:rPr>
                <w:noProof/>
                <w:webHidden/>
              </w:rPr>
              <w:tab/>
            </w:r>
            <w:r w:rsidR="001F39CB">
              <w:rPr>
                <w:noProof/>
                <w:webHidden/>
              </w:rPr>
              <w:fldChar w:fldCharType="begin"/>
            </w:r>
            <w:r w:rsidR="001F39CB">
              <w:rPr>
                <w:noProof/>
                <w:webHidden/>
              </w:rPr>
              <w:instrText xml:space="preserve"> PAGEREF _Toc87860052 \h </w:instrText>
            </w:r>
            <w:r w:rsidR="001F39CB">
              <w:rPr>
                <w:noProof/>
                <w:webHidden/>
              </w:rPr>
            </w:r>
            <w:r w:rsidR="001F39CB">
              <w:rPr>
                <w:noProof/>
                <w:webHidden/>
              </w:rPr>
              <w:fldChar w:fldCharType="separate"/>
            </w:r>
            <w:r w:rsidR="00A952A2">
              <w:rPr>
                <w:noProof/>
                <w:webHidden/>
              </w:rPr>
              <w:t>74</w:t>
            </w:r>
            <w:r w:rsidR="001F39CB">
              <w:rPr>
                <w:noProof/>
                <w:webHidden/>
              </w:rPr>
              <w:fldChar w:fldCharType="end"/>
            </w:r>
          </w:hyperlink>
        </w:p>
        <w:p w14:paraId="54E1787E" w14:textId="47377DC3"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53" w:history="1">
            <w:r w:rsidR="001F39CB" w:rsidRPr="00715739">
              <w:rPr>
                <w:rStyle w:val="Hyperlink"/>
                <w:noProof/>
              </w:rPr>
              <w:t>9.7</w:t>
            </w:r>
            <w:r w:rsidR="001F39CB">
              <w:rPr>
                <w:rFonts w:eastAsiaTheme="minorEastAsia" w:cstheme="minorBidi"/>
                <w:smallCaps w:val="0"/>
                <w:noProof/>
                <w:sz w:val="22"/>
                <w:szCs w:val="22"/>
                <w:lang w:eastAsia="en-GB" w:bidi="ar-SA"/>
              </w:rPr>
              <w:tab/>
            </w:r>
            <w:r w:rsidR="001F39CB" w:rsidRPr="00715739">
              <w:rPr>
                <w:rStyle w:val="Hyperlink"/>
                <w:noProof/>
              </w:rPr>
              <w:t>Production systems</w:t>
            </w:r>
            <w:r w:rsidR="001F39CB">
              <w:rPr>
                <w:noProof/>
                <w:webHidden/>
              </w:rPr>
              <w:tab/>
            </w:r>
            <w:r w:rsidR="001F39CB">
              <w:rPr>
                <w:noProof/>
                <w:webHidden/>
              </w:rPr>
              <w:fldChar w:fldCharType="begin"/>
            </w:r>
            <w:r w:rsidR="001F39CB">
              <w:rPr>
                <w:noProof/>
                <w:webHidden/>
              </w:rPr>
              <w:instrText xml:space="preserve"> PAGEREF _Toc87860053 \h </w:instrText>
            </w:r>
            <w:r w:rsidR="001F39CB">
              <w:rPr>
                <w:noProof/>
                <w:webHidden/>
              </w:rPr>
            </w:r>
            <w:r w:rsidR="001F39CB">
              <w:rPr>
                <w:noProof/>
                <w:webHidden/>
              </w:rPr>
              <w:fldChar w:fldCharType="separate"/>
            </w:r>
            <w:r w:rsidR="00A952A2">
              <w:rPr>
                <w:noProof/>
                <w:webHidden/>
              </w:rPr>
              <w:t>75</w:t>
            </w:r>
            <w:r w:rsidR="001F39CB">
              <w:rPr>
                <w:noProof/>
                <w:webHidden/>
              </w:rPr>
              <w:fldChar w:fldCharType="end"/>
            </w:r>
          </w:hyperlink>
        </w:p>
        <w:p w14:paraId="68D84A8B" w14:textId="5E79A26C"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54" w:history="1">
            <w:r w:rsidR="001F39CB" w:rsidRPr="00715739">
              <w:rPr>
                <w:rStyle w:val="Hyperlink"/>
                <w:noProof/>
              </w:rPr>
              <w:t>9.7.1</w:t>
            </w:r>
            <w:r w:rsidR="001F39CB">
              <w:rPr>
                <w:rFonts w:eastAsiaTheme="minorEastAsia" w:cstheme="minorBidi"/>
                <w:i w:val="0"/>
                <w:iCs w:val="0"/>
                <w:noProof/>
                <w:sz w:val="22"/>
                <w:szCs w:val="22"/>
                <w:lang w:eastAsia="en-GB" w:bidi="ar-SA"/>
              </w:rPr>
              <w:tab/>
            </w:r>
            <w:r w:rsidR="001F39CB" w:rsidRPr="00715739">
              <w:rPr>
                <w:rStyle w:val="Hyperlink"/>
                <w:noProof/>
              </w:rPr>
              <w:t>Available data</w:t>
            </w:r>
            <w:r w:rsidR="001F39CB">
              <w:rPr>
                <w:noProof/>
                <w:webHidden/>
              </w:rPr>
              <w:tab/>
            </w:r>
            <w:r w:rsidR="001F39CB">
              <w:rPr>
                <w:noProof/>
                <w:webHidden/>
              </w:rPr>
              <w:fldChar w:fldCharType="begin"/>
            </w:r>
            <w:r w:rsidR="001F39CB">
              <w:rPr>
                <w:noProof/>
                <w:webHidden/>
              </w:rPr>
              <w:instrText xml:space="preserve"> PAGEREF _Toc87860054 \h </w:instrText>
            </w:r>
            <w:r w:rsidR="001F39CB">
              <w:rPr>
                <w:noProof/>
                <w:webHidden/>
              </w:rPr>
            </w:r>
            <w:r w:rsidR="001F39CB">
              <w:rPr>
                <w:noProof/>
                <w:webHidden/>
              </w:rPr>
              <w:fldChar w:fldCharType="separate"/>
            </w:r>
            <w:r w:rsidR="00A952A2">
              <w:rPr>
                <w:noProof/>
                <w:webHidden/>
              </w:rPr>
              <w:t>75</w:t>
            </w:r>
            <w:r w:rsidR="001F39CB">
              <w:rPr>
                <w:noProof/>
                <w:webHidden/>
              </w:rPr>
              <w:fldChar w:fldCharType="end"/>
            </w:r>
          </w:hyperlink>
        </w:p>
        <w:p w14:paraId="4CB0AF5B" w14:textId="1ED7E160"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55" w:history="1">
            <w:r w:rsidR="001F39CB" w:rsidRPr="00715739">
              <w:rPr>
                <w:rStyle w:val="Hyperlink"/>
                <w:noProof/>
              </w:rPr>
              <w:t>9.7.2</w:t>
            </w:r>
            <w:r w:rsidR="001F39CB">
              <w:rPr>
                <w:rFonts w:eastAsiaTheme="minorEastAsia" w:cstheme="minorBidi"/>
                <w:i w:val="0"/>
                <w:iCs w:val="0"/>
                <w:noProof/>
                <w:sz w:val="22"/>
                <w:szCs w:val="22"/>
                <w:lang w:eastAsia="en-GB" w:bidi="ar-SA"/>
              </w:rPr>
              <w:tab/>
            </w:r>
            <w:r w:rsidR="001F39CB" w:rsidRPr="00715739">
              <w:rPr>
                <w:rStyle w:val="Hyperlink"/>
                <w:noProof/>
              </w:rPr>
              <w:t>Conclusions, uncertainty, and data gaps</w:t>
            </w:r>
            <w:r w:rsidR="001F39CB">
              <w:rPr>
                <w:noProof/>
                <w:webHidden/>
              </w:rPr>
              <w:tab/>
            </w:r>
            <w:r w:rsidR="001F39CB">
              <w:rPr>
                <w:noProof/>
                <w:webHidden/>
              </w:rPr>
              <w:fldChar w:fldCharType="begin"/>
            </w:r>
            <w:r w:rsidR="001F39CB">
              <w:rPr>
                <w:noProof/>
                <w:webHidden/>
              </w:rPr>
              <w:instrText xml:space="preserve"> PAGEREF _Toc87860055 \h </w:instrText>
            </w:r>
            <w:r w:rsidR="001F39CB">
              <w:rPr>
                <w:noProof/>
                <w:webHidden/>
              </w:rPr>
            </w:r>
            <w:r w:rsidR="001F39CB">
              <w:rPr>
                <w:noProof/>
                <w:webHidden/>
              </w:rPr>
              <w:fldChar w:fldCharType="separate"/>
            </w:r>
            <w:r w:rsidR="00A952A2">
              <w:rPr>
                <w:noProof/>
                <w:webHidden/>
              </w:rPr>
              <w:t>77</w:t>
            </w:r>
            <w:r w:rsidR="001F39CB">
              <w:rPr>
                <w:noProof/>
                <w:webHidden/>
              </w:rPr>
              <w:fldChar w:fldCharType="end"/>
            </w:r>
          </w:hyperlink>
        </w:p>
        <w:p w14:paraId="31440F60" w14:textId="72366554" w:rsidR="001F39CB" w:rsidRDefault="00C97803">
          <w:pPr>
            <w:pStyle w:val="TOC3"/>
            <w:tabs>
              <w:tab w:val="left" w:pos="1100"/>
              <w:tab w:val="right" w:leader="dot" w:pos="9060"/>
            </w:tabs>
            <w:rPr>
              <w:rFonts w:eastAsiaTheme="minorEastAsia" w:cstheme="minorBidi"/>
              <w:i w:val="0"/>
              <w:iCs w:val="0"/>
              <w:noProof/>
              <w:sz w:val="22"/>
              <w:szCs w:val="22"/>
              <w:lang w:eastAsia="en-GB" w:bidi="ar-SA"/>
            </w:rPr>
          </w:pPr>
          <w:hyperlink w:anchor="_Toc87860056" w:history="1">
            <w:r w:rsidR="001F39CB" w:rsidRPr="00715739">
              <w:rPr>
                <w:rStyle w:val="Hyperlink"/>
                <w:noProof/>
              </w:rPr>
              <w:t>9.7.3</w:t>
            </w:r>
            <w:r w:rsidR="001F39CB">
              <w:rPr>
                <w:rFonts w:eastAsiaTheme="minorEastAsia" w:cstheme="minorBidi"/>
                <w:i w:val="0"/>
                <w:iCs w:val="0"/>
                <w:noProof/>
                <w:sz w:val="22"/>
                <w:szCs w:val="22"/>
                <w:lang w:eastAsia="en-GB" w:bidi="ar-SA"/>
              </w:rPr>
              <w:tab/>
            </w:r>
            <w:r w:rsidR="001F39CB" w:rsidRPr="00715739">
              <w:rPr>
                <w:rStyle w:val="Hyperlink"/>
                <w:noProof/>
              </w:rPr>
              <w:t>Mitigation measures</w:t>
            </w:r>
            <w:r w:rsidR="001F39CB">
              <w:rPr>
                <w:noProof/>
                <w:webHidden/>
              </w:rPr>
              <w:tab/>
            </w:r>
            <w:r w:rsidR="001F39CB">
              <w:rPr>
                <w:noProof/>
                <w:webHidden/>
              </w:rPr>
              <w:fldChar w:fldCharType="begin"/>
            </w:r>
            <w:r w:rsidR="001F39CB">
              <w:rPr>
                <w:noProof/>
                <w:webHidden/>
              </w:rPr>
              <w:instrText xml:space="preserve"> PAGEREF _Toc87860056 \h </w:instrText>
            </w:r>
            <w:r w:rsidR="001F39CB">
              <w:rPr>
                <w:noProof/>
                <w:webHidden/>
              </w:rPr>
            </w:r>
            <w:r w:rsidR="001F39CB">
              <w:rPr>
                <w:noProof/>
                <w:webHidden/>
              </w:rPr>
              <w:fldChar w:fldCharType="separate"/>
            </w:r>
            <w:r w:rsidR="00A952A2">
              <w:rPr>
                <w:noProof/>
                <w:webHidden/>
              </w:rPr>
              <w:t>77</w:t>
            </w:r>
            <w:r w:rsidR="001F39CB">
              <w:rPr>
                <w:noProof/>
                <w:webHidden/>
              </w:rPr>
              <w:fldChar w:fldCharType="end"/>
            </w:r>
          </w:hyperlink>
        </w:p>
        <w:p w14:paraId="1B0E9D22" w14:textId="6E158593" w:rsidR="001F39CB" w:rsidRDefault="00C97803">
          <w:pPr>
            <w:pStyle w:val="TOC1"/>
            <w:tabs>
              <w:tab w:val="left" w:pos="440"/>
              <w:tab w:val="right" w:leader="dot" w:pos="9060"/>
            </w:tabs>
            <w:rPr>
              <w:rFonts w:eastAsiaTheme="minorEastAsia" w:cstheme="minorBidi"/>
              <w:b w:val="0"/>
              <w:bCs w:val="0"/>
              <w:caps w:val="0"/>
              <w:noProof/>
              <w:sz w:val="22"/>
              <w:szCs w:val="22"/>
              <w:lang w:eastAsia="en-GB" w:bidi="ar-SA"/>
            </w:rPr>
          </w:pPr>
          <w:hyperlink w:anchor="_Toc87860057" w:history="1">
            <w:r w:rsidR="001F39CB" w:rsidRPr="00715739">
              <w:rPr>
                <w:rStyle w:val="Hyperlink"/>
                <w:noProof/>
              </w:rPr>
              <w:t>10</w:t>
            </w:r>
            <w:r w:rsidR="001F39CB">
              <w:rPr>
                <w:rFonts w:eastAsiaTheme="minorEastAsia" w:cstheme="minorBidi"/>
                <w:b w:val="0"/>
                <w:bCs w:val="0"/>
                <w:caps w:val="0"/>
                <w:noProof/>
                <w:sz w:val="22"/>
                <w:szCs w:val="22"/>
                <w:lang w:eastAsia="en-GB" w:bidi="ar-SA"/>
              </w:rPr>
              <w:tab/>
            </w:r>
            <w:r w:rsidR="001F39CB" w:rsidRPr="00715739">
              <w:rPr>
                <w:rStyle w:val="Hyperlink"/>
                <w:noProof/>
              </w:rPr>
              <w:t>Harvest and field packing risk factors</w:t>
            </w:r>
            <w:r w:rsidR="001F39CB">
              <w:rPr>
                <w:noProof/>
                <w:webHidden/>
              </w:rPr>
              <w:tab/>
            </w:r>
            <w:r w:rsidR="001F39CB">
              <w:rPr>
                <w:noProof/>
                <w:webHidden/>
              </w:rPr>
              <w:fldChar w:fldCharType="begin"/>
            </w:r>
            <w:r w:rsidR="001F39CB">
              <w:rPr>
                <w:noProof/>
                <w:webHidden/>
              </w:rPr>
              <w:instrText xml:space="preserve"> PAGEREF _Toc87860057 \h </w:instrText>
            </w:r>
            <w:r w:rsidR="001F39CB">
              <w:rPr>
                <w:noProof/>
                <w:webHidden/>
              </w:rPr>
            </w:r>
            <w:r w:rsidR="001F39CB">
              <w:rPr>
                <w:noProof/>
                <w:webHidden/>
              </w:rPr>
              <w:fldChar w:fldCharType="separate"/>
            </w:r>
            <w:r w:rsidR="00A952A2">
              <w:rPr>
                <w:noProof/>
                <w:webHidden/>
              </w:rPr>
              <w:t>78</w:t>
            </w:r>
            <w:r w:rsidR="001F39CB">
              <w:rPr>
                <w:noProof/>
                <w:webHidden/>
              </w:rPr>
              <w:fldChar w:fldCharType="end"/>
            </w:r>
          </w:hyperlink>
        </w:p>
        <w:p w14:paraId="1AAEF13A" w14:textId="33B9899E"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58" w:history="1">
            <w:r w:rsidR="001F39CB" w:rsidRPr="00715739">
              <w:rPr>
                <w:rStyle w:val="Hyperlink"/>
                <w:noProof/>
              </w:rPr>
              <w:t>10.1</w:t>
            </w:r>
            <w:r w:rsidR="001F39CB">
              <w:rPr>
                <w:rFonts w:eastAsiaTheme="minorEastAsia" w:cstheme="minorBidi"/>
                <w:smallCaps w:val="0"/>
                <w:noProof/>
                <w:sz w:val="22"/>
                <w:szCs w:val="22"/>
                <w:lang w:eastAsia="en-GB" w:bidi="ar-SA"/>
              </w:rPr>
              <w:tab/>
            </w:r>
            <w:r w:rsidR="001F39CB" w:rsidRPr="00715739">
              <w:rPr>
                <w:rStyle w:val="Hyperlink"/>
                <w:noProof/>
              </w:rPr>
              <w:t>Available data</w:t>
            </w:r>
            <w:r w:rsidR="001F39CB">
              <w:rPr>
                <w:noProof/>
                <w:webHidden/>
              </w:rPr>
              <w:tab/>
            </w:r>
            <w:r w:rsidR="001F39CB">
              <w:rPr>
                <w:noProof/>
                <w:webHidden/>
              </w:rPr>
              <w:fldChar w:fldCharType="begin"/>
            </w:r>
            <w:r w:rsidR="001F39CB">
              <w:rPr>
                <w:noProof/>
                <w:webHidden/>
              </w:rPr>
              <w:instrText xml:space="preserve"> PAGEREF _Toc87860058 \h </w:instrText>
            </w:r>
            <w:r w:rsidR="001F39CB">
              <w:rPr>
                <w:noProof/>
                <w:webHidden/>
              </w:rPr>
            </w:r>
            <w:r w:rsidR="001F39CB">
              <w:rPr>
                <w:noProof/>
                <w:webHidden/>
              </w:rPr>
              <w:fldChar w:fldCharType="separate"/>
            </w:r>
            <w:r w:rsidR="00A952A2">
              <w:rPr>
                <w:noProof/>
                <w:webHidden/>
              </w:rPr>
              <w:t>78</w:t>
            </w:r>
            <w:r w:rsidR="001F39CB">
              <w:rPr>
                <w:noProof/>
                <w:webHidden/>
              </w:rPr>
              <w:fldChar w:fldCharType="end"/>
            </w:r>
          </w:hyperlink>
        </w:p>
        <w:p w14:paraId="446909AC" w14:textId="2CE3E3A0" w:rsidR="001F39CB" w:rsidRDefault="00C97803">
          <w:pPr>
            <w:pStyle w:val="TOC3"/>
            <w:tabs>
              <w:tab w:val="left" w:pos="1320"/>
              <w:tab w:val="right" w:leader="dot" w:pos="9060"/>
            </w:tabs>
            <w:rPr>
              <w:rFonts w:eastAsiaTheme="minorEastAsia" w:cstheme="minorBidi"/>
              <w:i w:val="0"/>
              <w:iCs w:val="0"/>
              <w:noProof/>
              <w:sz w:val="22"/>
              <w:szCs w:val="22"/>
              <w:lang w:eastAsia="en-GB" w:bidi="ar-SA"/>
            </w:rPr>
          </w:pPr>
          <w:hyperlink w:anchor="_Toc87860059" w:history="1">
            <w:r w:rsidR="001F39CB" w:rsidRPr="00715739">
              <w:rPr>
                <w:rStyle w:val="Hyperlink"/>
                <w:noProof/>
              </w:rPr>
              <w:t>10.1.1</w:t>
            </w:r>
            <w:r w:rsidR="001F39CB">
              <w:rPr>
                <w:rFonts w:eastAsiaTheme="minorEastAsia" w:cstheme="minorBidi"/>
                <w:i w:val="0"/>
                <w:iCs w:val="0"/>
                <w:noProof/>
                <w:sz w:val="22"/>
                <w:szCs w:val="22"/>
                <w:lang w:eastAsia="en-GB" w:bidi="ar-SA"/>
              </w:rPr>
              <w:tab/>
            </w:r>
            <w:r w:rsidR="001F39CB" w:rsidRPr="00715739">
              <w:rPr>
                <w:rStyle w:val="Hyperlink"/>
                <w:noProof/>
              </w:rPr>
              <w:t>Leafy vegetables</w:t>
            </w:r>
            <w:r w:rsidR="001F39CB">
              <w:rPr>
                <w:noProof/>
                <w:webHidden/>
              </w:rPr>
              <w:tab/>
            </w:r>
            <w:r w:rsidR="001F39CB">
              <w:rPr>
                <w:noProof/>
                <w:webHidden/>
              </w:rPr>
              <w:fldChar w:fldCharType="begin"/>
            </w:r>
            <w:r w:rsidR="001F39CB">
              <w:rPr>
                <w:noProof/>
                <w:webHidden/>
              </w:rPr>
              <w:instrText xml:space="preserve"> PAGEREF _Toc87860059 \h </w:instrText>
            </w:r>
            <w:r w:rsidR="001F39CB">
              <w:rPr>
                <w:noProof/>
                <w:webHidden/>
              </w:rPr>
            </w:r>
            <w:r w:rsidR="001F39CB">
              <w:rPr>
                <w:noProof/>
                <w:webHidden/>
              </w:rPr>
              <w:fldChar w:fldCharType="separate"/>
            </w:r>
            <w:r w:rsidR="00A952A2">
              <w:rPr>
                <w:noProof/>
                <w:webHidden/>
              </w:rPr>
              <w:t>78</w:t>
            </w:r>
            <w:r w:rsidR="001F39CB">
              <w:rPr>
                <w:noProof/>
                <w:webHidden/>
              </w:rPr>
              <w:fldChar w:fldCharType="end"/>
            </w:r>
          </w:hyperlink>
        </w:p>
        <w:p w14:paraId="0CA4EFE4" w14:textId="45A8A299" w:rsidR="001F39CB" w:rsidRDefault="00C97803">
          <w:pPr>
            <w:pStyle w:val="TOC3"/>
            <w:tabs>
              <w:tab w:val="left" w:pos="1320"/>
              <w:tab w:val="right" w:leader="dot" w:pos="9060"/>
            </w:tabs>
            <w:rPr>
              <w:rFonts w:eastAsiaTheme="minorEastAsia" w:cstheme="minorBidi"/>
              <w:i w:val="0"/>
              <w:iCs w:val="0"/>
              <w:noProof/>
              <w:sz w:val="22"/>
              <w:szCs w:val="22"/>
              <w:lang w:eastAsia="en-GB" w:bidi="ar-SA"/>
            </w:rPr>
          </w:pPr>
          <w:hyperlink w:anchor="_Toc87860060" w:history="1">
            <w:r w:rsidR="001F39CB" w:rsidRPr="00715739">
              <w:rPr>
                <w:rStyle w:val="Hyperlink"/>
                <w:rFonts w:cs="Arial"/>
                <w:noProof/>
              </w:rPr>
              <w:t>10.1.2</w:t>
            </w:r>
            <w:r w:rsidR="001F39CB">
              <w:rPr>
                <w:rFonts w:eastAsiaTheme="minorEastAsia" w:cstheme="minorBidi"/>
                <w:i w:val="0"/>
                <w:iCs w:val="0"/>
                <w:noProof/>
                <w:sz w:val="22"/>
                <w:szCs w:val="22"/>
                <w:lang w:eastAsia="en-GB" w:bidi="ar-SA"/>
              </w:rPr>
              <w:tab/>
            </w:r>
            <w:r w:rsidR="001F39CB" w:rsidRPr="00715739">
              <w:rPr>
                <w:rStyle w:val="Hyperlink"/>
                <w:noProof/>
              </w:rPr>
              <w:t>Berries</w:t>
            </w:r>
            <w:r w:rsidR="001F39CB">
              <w:rPr>
                <w:noProof/>
                <w:webHidden/>
              </w:rPr>
              <w:tab/>
            </w:r>
            <w:r w:rsidR="001F39CB">
              <w:rPr>
                <w:noProof/>
                <w:webHidden/>
              </w:rPr>
              <w:fldChar w:fldCharType="begin"/>
            </w:r>
            <w:r w:rsidR="001F39CB">
              <w:rPr>
                <w:noProof/>
                <w:webHidden/>
              </w:rPr>
              <w:instrText xml:space="preserve"> PAGEREF _Toc87860060 \h </w:instrText>
            </w:r>
            <w:r w:rsidR="001F39CB">
              <w:rPr>
                <w:noProof/>
                <w:webHidden/>
              </w:rPr>
            </w:r>
            <w:r w:rsidR="001F39CB">
              <w:rPr>
                <w:noProof/>
                <w:webHidden/>
              </w:rPr>
              <w:fldChar w:fldCharType="separate"/>
            </w:r>
            <w:r w:rsidR="00A952A2">
              <w:rPr>
                <w:noProof/>
                <w:webHidden/>
              </w:rPr>
              <w:t>80</w:t>
            </w:r>
            <w:r w:rsidR="001F39CB">
              <w:rPr>
                <w:noProof/>
                <w:webHidden/>
              </w:rPr>
              <w:fldChar w:fldCharType="end"/>
            </w:r>
          </w:hyperlink>
        </w:p>
        <w:p w14:paraId="2E93C097" w14:textId="54E406B3" w:rsidR="001F39CB" w:rsidRDefault="00C97803">
          <w:pPr>
            <w:pStyle w:val="TOC3"/>
            <w:tabs>
              <w:tab w:val="left" w:pos="1320"/>
              <w:tab w:val="right" w:leader="dot" w:pos="9060"/>
            </w:tabs>
            <w:rPr>
              <w:rFonts w:eastAsiaTheme="minorEastAsia" w:cstheme="minorBidi"/>
              <w:i w:val="0"/>
              <w:iCs w:val="0"/>
              <w:noProof/>
              <w:sz w:val="22"/>
              <w:szCs w:val="22"/>
              <w:lang w:eastAsia="en-GB" w:bidi="ar-SA"/>
            </w:rPr>
          </w:pPr>
          <w:hyperlink w:anchor="_Toc87860061" w:history="1">
            <w:r w:rsidR="001F39CB" w:rsidRPr="00715739">
              <w:rPr>
                <w:rStyle w:val="Hyperlink"/>
                <w:noProof/>
              </w:rPr>
              <w:t>10.1.3</w:t>
            </w:r>
            <w:r w:rsidR="001F39CB">
              <w:rPr>
                <w:rFonts w:eastAsiaTheme="minorEastAsia" w:cstheme="minorBidi"/>
                <w:i w:val="0"/>
                <w:iCs w:val="0"/>
                <w:noProof/>
                <w:sz w:val="22"/>
                <w:szCs w:val="22"/>
                <w:lang w:eastAsia="en-GB" w:bidi="ar-SA"/>
              </w:rPr>
              <w:tab/>
            </w:r>
            <w:r w:rsidR="001F39CB" w:rsidRPr="00715739">
              <w:rPr>
                <w:rStyle w:val="Hyperlink"/>
                <w:noProof/>
              </w:rPr>
              <w:t>Melons</w:t>
            </w:r>
            <w:r w:rsidR="001F39CB">
              <w:rPr>
                <w:noProof/>
                <w:webHidden/>
              </w:rPr>
              <w:tab/>
            </w:r>
            <w:r w:rsidR="001F39CB">
              <w:rPr>
                <w:noProof/>
                <w:webHidden/>
              </w:rPr>
              <w:fldChar w:fldCharType="begin"/>
            </w:r>
            <w:r w:rsidR="001F39CB">
              <w:rPr>
                <w:noProof/>
                <w:webHidden/>
              </w:rPr>
              <w:instrText xml:space="preserve"> PAGEREF _Toc87860061 \h </w:instrText>
            </w:r>
            <w:r w:rsidR="001F39CB">
              <w:rPr>
                <w:noProof/>
                <w:webHidden/>
              </w:rPr>
            </w:r>
            <w:r w:rsidR="001F39CB">
              <w:rPr>
                <w:noProof/>
                <w:webHidden/>
              </w:rPr>
              <w:fldChar w:fldCharType="separate"/>
            </w:r>
            <w:r w:rsidR="00A952A2">
              <w:rPr>
                <w:noProof/>
                <w:webHidden/>
              </w:rPr>
              <w:t>81</w:t>
            </w:r>
            <w:r w:rsidR="001F39CB">
              <w:rPr>
                <w:noProof/>
                <w:webHidden/>
              </w:rPr>
              <w:fldChar w:fldCharType="end"/>
            </w:r>
          </w:hyperlink>
        </w:p>
        <w:p w14:paraId="7550349F" w14:textId="574B34A9"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62" w:history="1">
            <w:r w:rsidR="001F39CB" w:rsidRPr="00715739">
              <w:rPr>
                <w:rStyle w:val="Hyperlink"/>
                <w:noProof/>
              </w:rPr>
              <w:t>10.2</w:t>
            </w:r>
            <w:r w:rsidR="001F39CB">
              <w:rPr>
                <w:rFonts w:eastAsiaTheme="minorEastAsia" w:cstheme="minorBidi"/>
                <w:smallCaps w:val="0"/>
                <w:noProof/>
                <w:sz w:val="22"/>
                <w:szCs w:val="22"/>
                <w:lang w:eastAsia="en-GB" w:bidi="ar-SA"/>
              </w:rPr>
              <w:tab/>
            </w:r>
            <w:r w:rsidR="001F39CB" w:rsidRPr="00715739">
              <w:rPr>
                <w:rStyle w:val="Hyperlink"/>
                <w:noProof/>
              </w:rPr>
              <w:t>Conclusions, uncertainty, and data gaps</w:t>
            </w:r>
            <w:r w:rsidR="001F39CB">
              <w:rPr>
                <w:noProof/>
                <w:webHidden/>
              </w:rPr>
              <w:tab/>
            </w:r>
            <w:r w:rsidR="001F39CB">
              <w:rPr>
                <w:noProof/>
                <w:webHidden/>
              </w:rPr>
              <w:fldChar w:fldCharType="begin"/>
            </w:r>
            <w:r w:rsidR="001F39CB">
              <w:rPr>
                <w:noProof/>
                <w:webHidden/>
              </w:rPr>
              <w:instrText xml:space="preserve"> PAGEREF _Toc87860062 \h </w:instrText>
            </w:r>
            <w:r w:rsidR="001F39CB">
              <w:rPr>
                <w:noProof/>
                <w:webHidden/>
              </w:rPr>
            </w:r>
            <w:r w:rsidR="001F39CB">
              <w:rPr>
                <w:noProof/>
                <w:webHidden/>
              </w:rPr>
              <w:fldChar w:fldCharType="separate"/>
            </w:r>
            <w:r w:rsidR="00A952A2">
              <w:rPr>
                <w:noProof/>
                <w:webHidden/>
              </w:rPr>
              <w:t>82</w:t>
            </w:r>
            <w:r w:rsidR="001F39CB">
              <w:rPr>
                <w:noProof/>
                <w:webHidden/>
              </w:rPr>
              <w:fldChar w:fldCharType="end"/>
            </w:r>
          </w:hyperlink>
        </w:p>
        <w:p w14:paraId="20FFBAD0" w14:textId="01DD90C3"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63" w:history="1">
            <w:r w:rsidR="001F39CB" w:rsidRPr="00715739">
              <w:rPr>
                <w:rStyle w:val="Hyperlink"/>
                <w:noProof/>
              </w:rPr>
              <w:t>10.3</w:t>
            </w:r>
            <w:r w:rsidR="001F39CB">
              <w:rPr>
                <w:rFonts w:eastAsiaTheme="minorEastAsia" w:cstheme="minorBidi"/>
                <w:smallCaps w:val="0"/>
                <w:noProof/>
                <w:sz w:val="22"/>
                <w:szCs w:val="22"/>
                <w:lang w:eastAsia="en-GB" w:bidi="ar-SA"/>
              </w:rPr>
              <w:tab/>
            </w:r>
            <w:r w:rsidR="001F39CB" w:rsidRPr="00715739">
              <w:rPr>
                <w:rStyle w:val="Hyperlink"/>
                <w:noProof/>
              </w:rPr>
              <w:t>Mitigation measures</w:t>
            </w:r>
            <w:r w:rsidR="001F39CB">
              <w:rPr>
                <w:noProof/>
                <w:webHidden/>
              </w:rPr>
              <w:tab/>
            </w:r>
            <w:r w:rsidR="001F39CB">
              <w:rPr>
                <w:noProof/>
                <w:webHidden/>
              </w:rPr>
              <w:fldChar w:fldCharType="begin"/>
            </w:r>
            <w:r w:rsidR="001F39CB">
              <w:rPr>
                <w:noProof/>
                <w:webHidden/>
              </w:rPr>
              <w:instrText xml:space="preserve"> PAGEREF _Toc87860063 \h </w:instrText>
            </w:r>
            <w:r w:rsidR="001F39CB">
              <w:rPr>
                <w:noProof/>
                <w:webHidden/>
              </w:rPr>
            </w:r>
            <w:r w:rsidR="001F39CB">
              <w:rPr>
                <w:noProof/>
                <w:webHidden/>
              </w:rPr>
              <w:fldChar w:fldCharType="separate"/>
            </w:r>
            <w:r w:rsidR="00A952A2">
              <w:rPr>
                <w:noProof/>
                <w:webHidden/>
              </w:rPr>
              <w:t>84</w:t>
            </w:r>
            <w:r w:rsidR="001F39CB">
              <w:rPr>
                <w:noProof/>
                <w:webHidden/>
              </w:rPr>
              <w:fldChar w:fldCharType="end"/>
            </w:r>
          </w:hyperlink>
        </w:p>
        <w:p w14:paraId="0DAE8B91" w14:textId="2ACA5650" w:rsidR="001F39CB" w:rsidRDefault="00C97803">
          <w:pPr>
            <w:pStyle w:val="TOC1"/>
            <w:tabs>
              <w:tab w:val="left" w:pos="440"/>
              <w:tab w:val="right" w:leader="dot" w:pos="9060"/>
            </w:tabs>
            <w:rPr>
              <w:rFonts w:eastAsiaTheme="minorEastAsia" w:cstheme="minorBidi"/>
              <w:b w:val="0"/>
              <w:bCs w:val="0"/>
              <w:caps w:val="0"/>
              <w:noProof/>
              <w:sz w:val="22"/>
              <w:szCs w:val="22"/>
              <w:lang w:eastAsia="en-GB" w:bidi="ar-SA"/>
            </w:rPr>
          </w:pPr>
          <w:hyperlink w:anchor="_Toc87860064" w:history="1">
            <w:r w:rsidR="001F39CB" w:rsidRPr="00715739">
              <w:rPr>
                <w:rStyle w:val="Hyperlink"/>
                <w:noProof/>
              </w:rPr>
              <w:t>11</w:t>
            </w:r>
            <w:r w:rsidR="001F39CB">
              <w:rPr>
                <w:rFonts w:eastAsiaTheme="minorEastAsia" w:cstheme="minorBidi"/>
                <w:b w:val="0"/>
                <w:bCs w:val="0"/>
                <w:caps w:val="0"/>
                <w:noProof/>
                <w:sz w:val="22"/>
                <w:szCs w:val="22"/>
                <w:lang w:eastAsia="en-GB" w:bidi="ar-SA"/>
              </w:rPr>
              <w:tab/>
            </w:r>
            <w:r w:rsidR="001F39CB" w:rsidRPr="00715739">
              <w:rPr>
                <w:rStyle w:val="Hyperlink"/>
                <w:noProof/>
              </w:rPr>
              <w:t>Packhouse and postharvest processing risk factors</w:t>
            </w:r>
            <w:r w:rsidR="001F39CB">
              <w:rPr>
                <w:noProof/>
                <w:webHidden/>
              </w:rPr>
              <w:tab/>
            </w:r>
            <w:r w:rsidR="001F39CB">
              <w:rPr>
                <w:noProof/>
                <w:webHidden/>
              </w:rPr>
              <w:fldChar w:fldCharType="begin"/>
            </w:r>
            <w:r w:rsidR="001F39CB">
              <w:rPr>
                <w:noProof/>
                <w:webHidden/>
              </w:rPr>
              <w:instrText xml:space="preserve"> PAGEREF _Toc87860064 \h </w:instrText>
            </w:r>
            <w:r w:rsidR="001F39CB">
              <w:rPr>
                <w:noProof/>
                <w:webHidden/>
              </w:rPr>
            </w:r>
            <w:r w:rsidR="001F39CB">
              <w:rPr>
                <w:noProof/>
                <w:webHidden/>
              </w:rPr>
              <w:fldChar w:fldCharType="separate"/>
            </w:r>
            <w:r w:rsidR="00A952A2">
              <w:rPr>
                <w:noProof/>
                <w:webHidden/>
              </w:rPr>
              <w:t>86</w:t>
            </w:r>
            <w:r w:rsidR="001F39CB">
              <w:rPr>
                <w:noProof/>
                <w:webHidden/>
              </w:rPr>
              <w:fldChar w:fldCharType="end"/>
            </w:r>
          </w:hyperlink>
        </w:p>
        <w:p w14:paraId="7C2CF085" w14:textId="42C2C83A"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65" w:history="1">
            <w:r w:rsidR="001F39CB" w:rsidRPr="00715739">
              <w:rPr>
                <w:rStyle w:val="Hyperlink"/>
                <w:noProof/>
              </w:rPr>
              <w:t>11.1</w:t>
            </w:r>
            <w:r w:rsidR="001F39CB">
              <w:rPr>
                <w:rFonts w:eastAsiaTheme="minorEastAsia" w:cstheme="minorBidi"/>
                <w:smallCaps w:val="0"/>
                <w:noProof/>
                <w:sz w:val="22"/>
                <w:szCs w:val="22"/>
                <w:lang w:eastAsia="en-GB" w:bidi="ar-SA"/>
              </w:rPr>
              <w:tab/>
            </w:r>
            <w:r w:rsidR="001F39CB" w:rsidRPr="00715739">
              <w:rPr>
                <w:rStyle w:val="Hyperlink"/>
                <w:noProof/>
              </w:rPr>
              <w:t>Packhouses and postharvest processing</w:t>
            </w:r>
            <w:r w:rsidR="001F39CB">
              <w:rPr>
                <w:noProof/>
                <w:webHidden/>
              </w:rPr>
              <w:tab/>
            </w:r>
            <w:r w:rsidR="001F39CB">
              <w:rPr>
                <w:noProof/>
                <w:webHidden/>
              </w:rPr>
              <w:fldChar w:fldCharType="begin"/>
            </w:r>
            <w:r w:rsidR="001F39CB">
              <w:rPr>
                <w:noProof/>
                <w:webHidden/>
              </w:rPr>
              <w:instrText xml:space="preserve"> PAGEREF _Toc87860065 \h </w:instrText>
            </w:r>
            <w:r w:rsidR="001F39CB">
              <w:rPr>
                <w:noProof/>
                <w:webHidden/>
              </w:rPr>
            </w:r>
            <w:r w:rsidR="001F39CB">
              <w:rPr>
                <w:noProof/>
                <w:webHidden/>
              </w:rPr>
              <w:fldChar w:fldCharType="separate"/>
            </w:r>
            <w:r w:rsidR="00A952A2">
              <w:rPr>
                <w:noProof/>
                <w:webHidden/>
              </w:rPr>
              <w:t>86</w:t>
            </w:r>
            <w:r w:rsidR="001F39CB">
              <w:rPr>
                <w:noProof/>
                <w:webHidden/>
              </w:rPr>
              <w:fldChar w:fldCharType="end"/>
            </w:r>
          </w:hyperlink>
        </w:p>
        <w:p w14:paraId="63141D05" w14:textId="13699997" w:rsidR="001F39CB" w:rsidRDefault="00C97803">
          <w:pPr>
            <w:pStyle w:val="TOC3"/>
            <w:tabs>
              <w:tab w:val="left" w:pos="1320"/>
              <w:tab w:val="right" w:leader="dot" w:pos="9060"/>
            </w:tabs>
            <w:rPr>
              <w:rFonts w:eastAsiaTheme="minorEastAsia" w:cstheme="minorBidi"/>
              <w:i w:val="0"/>
              <w:iCs w:val="0"/>
              <w:noProof/>
              <w:sz w:val="22"/>
              <w:szCs w:val="22"/>
              <w:lang w:eastAsia="en-GB" w:bidi="ar-SA"/>
            </w:rPr>
          </w:pPr>
          <w:hyperlink w:anchor="_Toc87860066" w:history="1">
            <w:r w:rsidR="001F39CB" w:rsidRPr="00715739">
              <w:rPr>
                <w:rStyle w:val="Hyperlink"/>
                <w:noProof/>
              </w:rPr>
              <w:t>11.1.1</w:t>
            </w:r>
            <w:r w:rsidR="001F39CB">
              <w:rPr>
                <w:rFonts w:eastAsiaTheme="minorEastAsia" w:cstheme="minorBidi"/>
                <w:i w:val="0"/>
                <w:iCs w:val="0"/>
                <w:noProof/>
                <w:sz w:val="22"/>
                <w:szCs w:val="22"/>
                <w:lang w:eastAsia="en-GB" w:bidi="ar-SA"/>
              </w:rPr>
              <w:tab/>
            </w:r>
            <w:r w:rsidR="001F39CB" w:rsidRPr="00715739">
              <w:rPr>
                <w:rStyle w:val="Hyperlink"/>
                <w:noProof/>
              </w:rPr>
              <w:t>Available data</w:t>
            </w:r>
            <w:r w:rsidR="001F39CB">
              <w:rPr>
                <w:noProof/>
                <w:webHidden/>
              </w:rPr>
              <w:tab/>
            </w:r>
            <w:r w:rsidR="001F39CB">
              <w:rPr>
                <w:noProof/>
                <w:webHidden/>
              </w:rPr>
              <w:fldChar w:fldCharType="begin"/>
            </w:r>
            <w:r w:rsidR="001F39CB">
              <w:rPr>
                <w:noProof/>
                <w:webHidden/>
              </w:rPr>
              <w:instrText xml:space="preserve"> PAGEREF _Toc87860066 \h </w:instrText>
            </w:r>
            <w:r w:rsidR="001F39CB">
              <w:rPr>
                <w:noProof/>
                <w:webHidden/>
              </w:rPr>
            </w:r>
            <w:r w:rsidR="001F39CB">
              <w:rPr>
                <w:noProof/>
                <w:webHidden/>
              </w:rPr>
              <w:fldChar w:fldCharType="separate"/>
            </w:r>
            <w:r w:rsidR="00A952A2">
              <w:rPr>
                <w:noProof/>
                <w:webHidden/>
              </w:rPr>
              <w:t>86</w:t>
            </w:r>
            <w:r w:rsidR="001F39CB">
              <w:rPr>
                <w:noProof/>
                <w:webHidden/>
              </w:rPr>
              <w:fldChar w:fldCharType="end"/>
            </w:r>
          </w:hyperlink>
        </w:p>
        <w:p w14:paraId="15AA28A7" w14:textId="103C93F1"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67" w:history="1">
            <w:r w:rsidR="001F39CB" w:rsidRPr="00715739">
              <w:rPr>
                <w:rStyle w:val="Hyperlink"/>
                <w:noProof/>
              </w:rPr>
              <w:t>11.2</w:t>
            </w:r>
            <w:r w:rsidR="001F39CB">
              <w:rPr>
                <w:rFonts w:eastAsiaTheme="minorEastAsia" w:cstheme="minorBidi"/>
                <w:smallCaps w:val="0"/>
                <w:noProof/>
                <w:sz w:val="22"/>
                <w:szCs w:val="22"/>
                <w:lang w:eastAsia="en-GB" w:bidi="ar-SA"/>
              </w:rPr>
              <w:tab/>
            </w:r>
            <w:r w:rsidR="001F39CB" w:rsidRPr="00715739">
              <w:rPr>
                <w:rStyle w:val="Hyperlink"/>
                <w:noProof/>
              </w:rPr>
              <w:t>Conclusions, uncertainty, and data gaps</w:t>
            </w:r>
            <w:r w:rsidR="001F39CB">
              <w:rPr>
                <w:noProof/>
                <w:webHidden/>
              </w:rPr>
              <w:tab/>
            </w:r>
            <w:r w:rsidR="001F39CB">
              <w:rPr>
                <w:noProof/>
                <w:webHidden/>
              </w:rPr>
              <w:fldChar w:fldCharType="begin"/>
            </w:r>
            <w:r w:rsidR="001F39CB">
              <w:rPr>
                <w:noProof/>
                <w:webHidden/>
              </w:rPr>
              <w:instrText xml:space="preserve"> PAGEREF _Toc87860067 \h </w:instrText>
            </w:r>
            <w:r w:rsidR="001F39CB">
              <w:rPr>
                <w:noProof/>
                <w:webHidden/>
              </w:rPr>
            </w:r>
            <w:r w:rsidR="001F39CB">
              <w:rPr>
                <w:noProof/>
                <w:webHidden/>
              </w:rPr>
              <w:fldChar w:fldCharType="separate"/>
            </w:r>
            <w:r w:rsidR="00A952A2">
              <w:rPr>
                <w:noProof/>
                <w:webHidden/>
              </w:rPr>
              <w:t>91</w:t>
            </w:r>
            <w:r w:rsidR="001F39CB">
              <w:rPr>
                <w:noProof/>
                <w:webHidden/>
              </w:rPr>
              <w:fldChar w:fldCharType="end"/>
            </w:r>
          </w:hyperlink>
        </w:p>
        <w:p w14:paraId="3BE64E5C" w14:textId="61AF41A6"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68" w:history="1">
            <w:r w:rsidR="001F39CB" w:rsidRPr="00715739">
              <w:rPr>
                <w:rStyle w:val="Hyperlink"/>
                <w:noProof/>
              </w:rPr>
              <w:t>11.3</w:t>
            </w:r>
            <w:r w:rsidR="001F39CB">
              <w:rPr>
                <w:rFonts w:eastAsiaTheme="minorEastAsia" w:cstheme="minorBidi"/>
                <w:smallCaps w:val="0"/>
                <w:noProof/>
                <w:sz w:val="22"/>
                <w:szCs w:val="22"/>
                <w:lang w:eastAsia="en-GB" w:bidi="ar-SA"/>
              </w:rPr>
              <w:tab/>
            </w:r>
            <w:r w:rsidR="001F39CB" w:rsidRPr="00715739">
              <w:rPr>
                <w:rStyle w:val="Hyperlink"/>
                <w:noProof/>
              </w:rPr>
              <w:t>Mitigation measures</w:t>
            </w:r>
            <w:r w:rsidR="001F39CB">
              <w:rPr>
                <w:noProof/>
                <w:webHidden/>
              </w:rPr>
              <w:tab/>
            </w:r>
            <w:r w:rsidR="001F39CB">
              <w:rPr>
                <w:noProof/>
                <w:webHidden/>
              </w:rPr>
              <w:fldChar w:fldCharType="begin"/>
            </w:r>
            <w:r w:rsidR="001F39CB">
              <w:rPr>
                <w:noProof/>
                <w:webHidden/>
              </w:rPr>
              <w:instrText xml:space="preserve"> PAGEREF _Toc87860068 \h </w:instrText>
            </w:r>
            <w:r w:rsidR="001F39CB">
              <w:rPr>
                <w:noProof/>
                <w:webHidden/>
              </w:rPr>
            </w:r>
            <w:r w:rsidR="001F39CB">
              <w:rPr>
                <w:noProof/>
                <w:webHidden/>
              </w:rPr>
              <w:fldChar w:fldCharType="separate"/>
            </w:r>
            <w:r w:rsidR="00A952A2">
              <w:rPr>
                <w:noProof/>
                <w:webHidden/>
              </w:rPr>
              <w:t>92</w:t>
            </w:r>
            <w:r w:rsidR="001F39CB">
              <w:rPr>
                <w:noProof/>
                <w:webHidden/>
              </w:rPr>
              <w:fldChar w:fldCharType="end"/>
            </w:r>
          </w:hyperlink>
        </w:p>
        <w:p w14:paraId="0D58E209" w14:textId="2B357BD9"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69" w:history="1">
            <w:r w:rsidR="001F39CB" w:rsidRPr="00715739">
              <w:rPr>
                <w:rStyle w:val="Hyperlink"/>
                <w:noProof/>
              </w:rPr>
              <w:t>11.4</w:t>
            </w:r>
            <w:r w:rsidR="001F39CB">
              <w:rPr>
                <w:rFonts w:eastAsiaTheme="minorEastAsia" w:cstheme="minorBidi"/>
                <w:smallCaps w:val="0"/>
                <w:noProof/>
                <w:sz w:val="22"/>
                <w:szCs w:val="22"/>
                <w:lang w:eastAsia="en-GB" w:bidi="ar-SA"/>
              </w:rPr>
              <w:tab/>
            </w:r>
            <w:r w:rsidR="001F39CB" w:rsidRPr="00715739">
              <w:rPr>
                <w:rStyle w:val="Hyperlink"/>
                <w:noProof/>
              </w:rPr>
              <w:t>Washing and sanitising produce</w:t>
            </w:r>
            <w:r w:rsidR="001F39CB">
              <w:rPr>
                <w:noProof/>
                <w:webHidden/>
              </w:rPr>
              <w:tab/>
            </w:r>
            <w:r w:rsidR="001F39CB">
              <w:rPr>
                <w:noProof/>
                <w:webHidden/>
              </w:rPr>
              <w:fldChar w:fldCharType="begin"/>
            </w:r>
            <w:r w:rsidR="001F39CB">
              <w:rPr>
                <w:noProof/>
                <w:webHidden/>
              </w:rPr>
              <w:instrText xml:space="preserve"> PAGEREF _Toc87860069 \h </w:instrText>
            </w:r>
            <w:r w:rsidR="001F39CB">
              <w:rPr>
                <w:noProof/>
                <w:webHidden/>
              </w:rPr>
            </w:r>
            <w:r w:rsidR="001F39CB">
              <w:rPr>
                <w:noProof/>
                <w:webHidden/>
              </w:rPr>
              <w:fldChar w:fldCharType="separate"/>
            </w:r>
            <w:r w:rsidR="00A952A2">
              <w:rPr>
                <w:noProof/>
                <w:webHidden/>
              </w:rPr>
              <w:t>92</w:t>
            </w:r>
            <w:r w:rsidR="001F39CB">
              <w:rPr>
                <w:noProof/>
                <w:webHidden/>
              </w:rPr>
              <w:fldChar w:fldCharType="end"/>
            </w:r>
          </w:hyperlink>
        </w:p>
        <w:p w14:paraId="25E4391B" w14:textId="63FAD5CF" w:rsidR="001F39CB" w:rsidRDefault="00C97803">
          <w:pPr>
            <w:pStyle w:val="TOC3"/>
            <w:tabs>
              <w:tab w:val="left" w:pos="1320"/>
              <w:tab w:val="right" w:leader="dot" w:pos="9060"/>
            </w:tabs>
            <w:rPr>
              <w:rFonts w:eastAsiaTheme="minorEastAsia" w:cstheme="minorBidi"/>
              <w:i w:val="0"/>
              <w:iCs w:val="0"/>
              <w:noProof/>
              <w:sz w:val="22"/>
              <w:szCs w:val="22"/>
              <w:lang w:eastAsia="en-GB" w:bidi="ar-SA"/>
            </w:rPr>
          </w:pPr>
          <w:hyperlink w:anchor="_Toc87860070" w:history="1">
            <w:r w:rsidR="001F39CB" w:rsidRPr="00715739">
              <w:rPr>
                <w:rStyle w:val="Hyperlink"/>
                <w:noProof/>
              </w:rPr>
              <w:t>11.4.1</w:t>
            </w:r>
            <w:r w:rsidR="001F39CB">
              <w:rPr>
                <w:rFonts w:eastAsiaTheme="minorEastAsia" w:cstheme="minorBidi"/>
                <w:i w:val="0"/>
                <w:iCs w:val="0"/>
                <w:noProof/>
                <w:sz w:val="22"/>
                <w:szCs w:val="22"/>
                <w:lang w:eastAsia="en-GB" w:bidi="ar-SA"/>
              </w:rPr>
              <w:tab/>
            </w:r>
            <w:r w:rsidR="001F39CB" w:rsidRPr="00715739">
              <w:rPr>
                <w:rStyle w:val="Hyperlink"/>
                <w:noProof/>
              </w:rPr>
              <w:t>Available data</w:t>
            </w:r>
            <w:r w:rsidR="001F39CB">
              <w:rPr>
                <w:noProof/>
                <w:webHidden/>
              </w:rPr>
              <w:tab/>
            </w:r>
            <w:r w:rsidR="001F39CB">
              <w:rPr>
                <w:noProof/>
                <w:webHidden/>
              </w:rPr>
              <w:fldChar w:fldCharType="begin"/>
            </w:r>
            <w:r w:rsidR="001F39CB">
              <w:rPr>
                <w:noProof/>
                <w:webHidden/>
              </w:rPr>
              <w:instrText xml:space="preserve"> PAGEREF _Toc87860070 \h </w:instrText>
            </w:r>
            <w:r w:rsidR="001F39CB">
              <w:rPr>
                <w:noProof/>
                <w:webHidden/>
              </w:rPr>
            </w:r>
            <w:r w:rsidR="001F39CB">
              <w:rPr>
                <w:noProof/>
                <w:webHidden/>
              </w:rPr>
              <w:fldChar w:fldCharType="separate"/>
            </w:r>
            <w:r w:rsidR="00A952A2">
              <w:rPr>
                <w:noProof/>
                <w:webHidden/>
              </w:rPr>
              <w:t>93</w:t>
            </w:r>
            <w:r w:rsidR="001F39CB">
              <w:rPr>
                <w:noProof/>
                <w:webHidden/>
              </w:rPr>
              <w:fldChar w:fldCharType="end"/>
            </w:r>
          </w:hyperlink>
        </w:p>
        <w:p w14:paraId="3F6F7F60" w14:textId="1C3598AA" w:rsidR="001F39CB" w:rsidRDefault="00C97803">
          <w:pPr>
            <w:pStyle w:val="TOC3"/>
            <w:tabs>
              <w:tab w:val="left" w:pos="1320"/>
              <w:tab w:val="right" w:leader="dot" w:pos="9060"/>
            </w:tabs>
            <w:rPr>
              <w:rFonts w:eastAsiaTheme="minorEastAsia" w:cstheme="minorBidi"/>
              <w:i w:val="0"/>
              <w:iCs w:val="0"/>
              <w:noProof/>
              <w:sz w:val="22"/>
              <w:szCs w:val="22"/>
              <w:lang w:eastAsia="en-GB" w:bidi="ar-SA"/>
            </w:rPr>
          </w:pPr>
          <w:hyperlink w:anchor="_Toc87860071" w:history="1">
            <w:r w:rsidR="001F39CB" w:rsidRPr="00715739">
              <w:rPr>
                <w:rStyle w:val="Hyperlink"/>
                <w:noProof/>
              </w:rPr>
              <w:t>11.4.2</w:t>
            </w:r>
            <w:r w:rsidR="001F39CB">
              <w:rPr>
                <w:rFonts w:eastAsiaTheme="minorEastAsia" w:cstheme="minorBidi"/>
                <w:i w:val="0"/>
                <w:iCs w:val="0"/>
                <w:noProof/>
                <w:sz w:val="22"/>
                <w:szCs w:val="22"/>
                <w:lang w:eastAsia="en-GB" w:bidi="ar-SA"/>
              </w:rPr>
              <w:tab/>
            </w:r>
            <w:r w:rsidR="001F39CB" w:rsidRPr="00715739">
              <w:rPr>
                <w:rStyle w:val="Hyperlink"/>
                <w:noProof/>
              </w:rPr>
              <w:t>Conclusions, uncertainty and data gaps</w:t>
            </w:r>
            <w:r w:rsidR="001F39CB">
              <w:rPr>
                <w:noProof/>
                <w:webHidden/>
              </w:rPr>
              <w:tab/>
            </w:r>
            <w:r w:rsidR="001F39CB">
              <w:rPr>
                <w:noProof/>
                <w:webHidden/>
              </w:rPr>
              <w:fldChar w:fldCharType="begin"/>
            </w:r>
            <w:r w:rsidR="001F39CB">
              <w:rPr>
                <w:noProof/>
                <w:webHidden/>
              </w:rPr>
              <w:instrText xml:space="preserve"> PAGEREF _Toc87860071 \h </w:instrText>
            </w:r>
            <w:r w:rsidR="001F39CB">
              <w:rPr>
                <w:noProof/>
                <w:webHidden/>
              </w:rPr>
            </w:r>
            <w:r w:rsidR="001F39CB">
              <w:rPr>
                <w:noProof/>
                <w:webHidden/>
              </w:rPr>
              <w:fldChar w:fldCharType="separate"/>
            </w:r>
            <w:r w:rsidR="00A952A2">
              <w:rPr>
                <w:noProof/>
                <w:webHidden/>
              </w:rPr>
              <w:t>98</w:t>
            </w:r>
            <w:r w:rsidR="001F39CB">
              <w:rPr>
                <w:noProof/>
                <w:webHidden/>
              </w:rPr>
              <w:fldChar w:fldCharType="end"/>
            </w:r>
          </w:hyperlink>
        </w:p>
        <w:p w14:paraId="3376530D" w14:textId="4192849B" w:rsidR="001F39CB" w:rsidRDefault="00C97803">
          <w:pPr>
            <w:pStyle w:val="TOC3"/>
            <w:tabs>
              <w:tab w:val="left" w:pos="1320"/>
              <w:tab w:val="right" w:leader="dot" w:pos="9060"/>
            </w:tabs>
            <w:rPr>
              <w:rFonts w:eastAsiaTheme="minorEastAsia" w:cstheme="minorBidi"/>
              <w:i w:val="0"/>
              <w:iCs w:val="0"/>
              <w:noProof/>
              <w:sz w:val="22"/>
              <w:szCs w:val="22"/>
              <w:lang w:eastAsia="en-GB" w:bidi="ar-SA"/>
            </w:rPr>
          </w:pPr>
          <w:hyperlink w:anchor="_Toc87860072" w:history="1">
            <w:r w:rsidR="001F39CB" w:rsidRPr="00715739">
              <w:rPr>
                <w:rStyle w:val="Hyperlink"/>
                <w:noProof/>
              </w:rPr>
              <w:t>11.4.3</w:t>
            </w:r>
            <w:r w:rsidR="001F39CB">
              <w:rPr>
                <w:rFonts w:eastAsiaTheme="minorEastAsia" w:cstheme="minorBidi"/>
                <w:i w:val="0"/>
                <w:iCs w:val="0"/>
                <w:noProof/>
                <w:sz w:val="22"/>
                <w:szCs w:val="22"/>
                <w:lang w:eastAsia="en-GB" w:bidi="ar-SA"/>
              </w:rPr>
              <w:tab/>
            </w:r>
            <w:r w:rsidR="001F39CB" w:rsidRPr="00715739">
              <w:rPr>
                <w:rStyle w:val="Hyperlink"/>
                <w:noProof/>
              </w:rPr>
              <w:t>Mitigation measures</w:t>
            </w:r>
            <w:r w:rsidR="001F39CB">
              <w:rPr>
                <w:noProof/>
                <w:webHidden/>
              </w:rPr>
              <w:tab/>
            </w:r>
            <w:r w:rsidR="001F39CB">
              <w:rPr>
                <w:noProof/>
                <w:webHidden/>
              </w:rPr>
              <w:fldChar w:fldCharType="begin"/>
            </w:r>
            <w:r w:rsidR="001F39CB">
              <w:rPr>
                <w:noProof/>
                <w:webHidden/>
              </w:rPr>
              <w:instrText xml:space="preserve"> PAGEREF _Toc87860072 \h </w:instrText>
            </w:r>
            <w:r w:rsidR="001F39CB">
              <w:rPr>
                <w:noProof/>
                <w:webHidden/>
              </w:rPr>
            </w:r>
            <w:r w:rsidR="001F39CB">
              <w:rPr>
                <w:noProof/>
                <w:webHidden/>
              </w:rPr>
              <w:fldChar w:fldCharType="separate"/>
            </w:r>
            <w:r w:rsidR="00A952A2">
              <w:rPr>
                <w:noProof/>
                <w:webHidden/>
              </w:rPr>
              <w:t>100</w:t>
            </w:r>
            <w:r w:rsidR="001F39CB">
              <w:rPr>
                <w:noProof/>
                <w:webHidden/>
              </w:rPr>
              <w:fldChar w:fldCharType="end"/>
            </w:r>
          </w:hyperlink>
        </w:p>
        <w:p w14:paraId="5D5CF702" w14:textId="78160F48" w:rsidR="001F39CB" w:rsidRDefault="00C97803">
          <w:pPr>
            <w:pStyle w:val="TOC1"/>
            <w:tabs>
              <w:tab w:val="left" w:pos="440"/>
              <w:tab w:val="right" w:leader="dot" w:pos="9060"/>
            </w:tabs>
            <w:rPr>
              <w:rFonts w:eastAsiaTheme="minorEastAsia" w:cstheme="minorBidi"/>
              <w:b w:val="0"/>
              <w:bCs w:val="0"/>
              <w:caps w:val="0"/>
              <w:noProof/>
              <w:sz w:val="22"/>
              <w:szCs w:val="22"/>
              <w:lang w:eastAsia="en-GB" w:bidi="ar-SA"/>
            </w:rPr>
          </w:pPr>
          <w:hyperlink w:anchor="_Toc87860073" w:history="1">
            <w:r w:rsidR="001F39CB" w:rsidRPr="00715739">
              <w:rPr>
                <w:rStyle w:val="Hyperlink"/>
                <w:noProof/>
              </w:rPr>
              <w:t>12</w:t>
            </w:r>
            <w:r w:rsidR="001F39CB">
              <w:rPr>
                <w:rFonts w:eastAsiaTheme="minorEastAsia" w:cstheme="minorBidi"/>
                <w:b w:val="0"/>
                <w:bCs w:val="0"/>
                <w:caps w:val="0"/>
                <w:noProof/>
                <w:sz w:val="22"/>
                <w:szCs w:val="22"/>
                <w:lang w:eastAsia="en-GB" w:bidi="ar-SA"/>
              </w:rPr>
              <w:tab/>
            </w:r>
            <w:r w:rsidR="001F39CB" w:rsidRPr="00715739">
              <w:rPr>
                <w:rStyle w:val="Hyperlink"/>
                <w:noProof/>
              </w:rPr>
              <w:t>The cold chain</w:t>
            </w:r>
            <w:r w:rsidR="001F39CB">
              <w:rPr>
                <w:noProof/>
                <w:webHidden/>
              </w:rPr>
              <w:tab/>
            </w:r>
            <w:r w:rsidR="001F39CB">
              <w:rPr>
                <w:noProof/>
                <w:webHidden/>
              </w:rPr>
              <w:fldChar w:fldCharType="begin"/>
            </w:r>
            <w:r w:rsidR="001F39CB">
              <w:rPr>
                <w:noProof/>
                <w:webHidden/>
              </w:rPr>
              <w:instrText xml:space="preserve"> PAGEREF _Toc87860073 \h </w:instrText>
            </w:r>
            <w:r w:rsidR="001F39CB">
              <w:rPr>
                <w:noProof/>
                <w:webHidden/>
              </w:rPr>
            </w:r>
            <w:r w:rsidR="001F39CB">
              <w:rPr>
                <w:noProof/>
                <w:webHidden/>
              </w:rPr>
              <w:fldChar w:fldCharType="separate"/>
            </w:r>
            <w:r w:rsidR="00A952A2">
              <w:rPr>
                <w:noProof/>
                <w:webHidden/>
              </w:rPr>
              <w:t>101</w:t>
            </w:r>
            <w:r w:rsidR="001F39CB">
              <w:rPr>
                <w:noProof/>
                <w:webHidden/>
              </w:rPr>
              <w:fldChar w:fldCharType="end"/>
            </w:r>
          </w:hyperlink>
        </w:p>
        <w:p w14:paraId="527CE709" w14:textId="3BA7609F"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74" w:history="1">
            <w:r w:rsidR="001F39CB" w:rsidRPr="00715739">
              <w:rPr>
                <w:rStyle w:val="Hyperlink"/>
                <w:noProof/>
              </w:rPr>
              <w:t>12.1</w:t>
            </w:r>
            <w:r w:rsidR="001F39CB">
              <w:rPr>
                <w:rFonts w:eastAsiaTheme="minorEastAsia" w:cstheme="minorBidi"/>
                <w:smallCaps w:val="0"/>
                <w:noProof/>
                <w:sz w:val="22"/>
                <w:szCs w:val="22"/>
                <w:lang w:eastAsia="en-GB" w:bidi="ar-SA"/>
              </w:rPr>
              <w:tab/>
            </w:r>
            <w:r w:rsidR="001F39CB" w:rsidRPr="00715739">
              <w:rPr>
                <w:rStyle w:val="Hyperlink"/>
                <w:noProof/>
              </w:rPr>
              <w:t>Leafy vegetables</w:t>
            </w:r>
            <w:r w:rsidR="001F39CB">
              <w:rPr>
                <w:noProof/>
                <w:webHidden/>
              </w:rPr>
              <w:tab/>
            </w:r>
            <w:r w:rsidR="001F39CB">
              <w:rPr>
                <w:noProof/>
                <w:webHidden/>
              </w:rPr>
              <w:fldChar w:fldCharType="begin"/>
            </w:r>
            <w:r w:rsidR="001F39CB">
              <w:rPr>
                <w:noProof/>
                <w:webHidden/>
              </w:rPr>
              <w:instrText xml:space="preserve"> PAGEREF _Toc87860074 \h </w:instrText>
            </w:r>
            <w:r w:rsidR="001F39CB">
              <w:rPr>
                <w:noProof/>
                <w:webHidden/>
              </w:rPr>
            </w:r>
            <w:r w:rsidR="001F39CB">
              <w:rPr>
                <w:noProof/>
                <w:webHidden/>
              </w:rPr>
              <w:fldChar w:fldCharType="separate"/>
            </w:r>
            <w:r w:rsidR="00A952A2">
              <w:rPr>
                <w:noProof/>
                <w:webHidden/>
              </w:rPr>
              <w:t>101</w:t>
            </w:r>
            <w:r w:rsidR="001F39CB">
              <w:rPr>
                <w:noProof/>
                <w:webHidden/>
              </w:rPr>
              <w:fldChar w:fldCharType="end"/>
            </w:r>
          </w:hyperlink>
        </w:p>
        <w:p w14:paraId="1CB81FE9" w14:textId="704CD724"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75" w:history="1">
            <w:r w:rsidR="001F39CB" w:rsidRPr="00715739">
              <w:rPr>
                <w:rStyle w:val="Hyperlink"/>
                <w:noProof/>
              </w:rPr>
              <w:t>12.2</w:t>
            </w:r>
            <w:r w:rsidR="001F39CB">
              <w:rPr>
                <w:rFonts w:eastAsiaTheme="minorEastAsia" w:cstheme="minorBidi"/>
                <w:smallCaps w:val="0"/>
                <w:noProof/>
                <w:sz w:val="22"/>
                <w:szCs w:val="22"/>
                <w:lang w:eastAsia="en-GB" w:bidi="ar-SA"/>
              </w:rPr>
              <w:tab/>
            </w:r>
            <w:r w:rsidR="001F39CB" w:rsidRPr="00715739">
              <w:rPr>
                <w:rStyle w:val="Hyperlink"/>
                <w:noProof/>
              </w:rPr>
              <w:t>Berries</w:t>
            </w:r>
            <w:r w:rsidR="001F39CB">
              <w:rPr>
                <w:noProof/>
                <w:webHidden/>
              </w:rPr>
              <w:tab/>
            </w:r>
            <w:r w:rsidR="001F39CB">
              <w:rPr>
                <w:noProof/>
                <w:webHidden/>
              </w:rPr>
              <w:fldChar w:fldCharType="begin"/>
            </w:r>
            <w:r w:rsidR="001F39CB">
              <w:rPr>
                <w:noProof/>
                <w:webHidden/>
              </w:rPr>
              <w:instrText xml:space="preserve"> PAGEREF _Toc87860075 \h </w:instrText>
            </w:r>
            <w:r w:rsidR="001F39CB">
              <w:rPr>
                <w:noProof/>
                <w:webHidden/>
              </w:rPr>
            </w:r>
            <w:r w:rsidR="001F39CB">
              <w:rPr>
                <w:noProof/>
                <w:webHidden/>
              </w:rPr>
              <w:fldChar w:fldCharType="separate"/>
            </w:r>
            <w:r w:rsidR="00A952A2">
              <w:rPr>
                <w:noProof/>
                <w:webHidden/>
              </w:rPr>
              <w:t>101</w:t>
            </w:r>
            <w:r w:rsidR="001F39CB">
              <w:rPr>
                <w:noProof/>
                <w:webHidden/>
              </w:rPr>
              <w:fldChar w:fldCharType="end"/>
            </w:r>
          </w:hyperlink>
        </w:p>
        <w:p w14:paraId="5EACE6BD" w14:textId="79B1F479"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76" w:history="1">
            <w:r w:rsidR="001F39CB" w:rsidRPr="00715739">
              <w:rPr>
                <w:rStyle w:val="Hyperlink"/>
                <w:noProof/>
              </w:rPr>
              <w:t>12.3</w:t>
            </w:r>
            <w:r w:rsidR="001F39CB">
              <w:rPr>
                <w:rFonts w:eastAsiaTheme="minorEastAsia" w:cstheme="minorBidi"/>
                <w:smallCaps w:val="0"/>
                <w:noProof/>
                <w:sz w:val="22"/>
                <w:szCs w:val="22"/>
                <w:lang w:eastAsia="en-GB" w:bidi="ar-SA"/>
              </w:rPr>
              <w:tab/>
            </w:r>
            <w:r w:rsidR="001F39CB" w:rsidRPr="00715739">
              <w:rPr>
                <w:rStyle w:val="Hyperlink"/>
                <w:noProof/>
              </w:rPr>
              <w:t>Melons</w:t>
            </w:r>
            <w:r w:rsidR="001F39CB">
              <w:rPr>
                <w:noProof/>
                <w:webHidden/>
              </w:rPr>
              <w:tab/>
            </w:r>
            <w:r w:rsidR="001F39CB">
              <w:rPr>
                <w:noProof/>
                <w:webHidden/>
              </w:rPr>
              <w:fldChar w:fldCharType="begin"/>
            </w:r>
            <w:r w:rsidR="001F39CB">
              <w:rPr>
                <w:noProof/>
                <w:webHidden/>
              </w:rPr>
              <w:instrText xml:space="preserve"> PAGEREF _Toc87860076 \h </w:instrText>
            </w:r>
            <w:r w:rsidR="001F39CB">
              <w:rPr>
                <w:noProof/>
                <w:webHidden/>
              </w:rPr>
            </w:r>
            <w:r w:rsidR="001F39CB">
              <w:rPr>
                <w:noProof/>
                <w:webHidden/>
              </w:rPr>
              <w:fldChar w:fldCharType="separate"/>
            </w:r>
            <w:r w:rsidR="00A952A2">
              <w:rPr>
                <w:noProof/>
                <w:webHidden/>
              </w:rPr>
              <w:t>101</w:t>
            </w:r>
            <w:r w:rsidR="001F39CB">
              <w:rPr>
                <w:noProof/>
                <w:webHidden/>
              </w:rPr>
              <w:fldChar w:fldCharType="end"/>
            </w:r>
          </w:hyperlink>
        </w:p>
        <w:p w14:paraId="2A1CCA3C" w14:textId="0BE0E060" w:rsidR="001F39CB" w:rsidRDefault="00C97803">
          <w:pPr>
            <w:pStyle w:val="TOC1"/>
            <w:tabs>
              <w:tab w:val="left" w:pos="440"/>
              <w:tab w:val="right" w:leader="dot" w:pos="9060"/>
            </w:tabs>
            <w:rPr>
              <w:rFonts w:eastAsiaTheme="minorEastAsia" w:cstheme="minorBidi"/>
              <w:b w:val="0"/>
              <w:bCs w:val="0"/>
              <w:caps w:val="0"/>
              <w:noProof/>
              <w:sz w:val="22"/>
              <w:szCs w:val="22"/>
              <w:lang w:eastAsia="en-GB" w:bidi="ar-SA"/>
            </w:rPr>
          </w:pPr>
          <w:hyperlink w:anchor="_Toc87860077" w:history="1">
            <w:r w:rsidR="001F39CB" w:rsidRPr="00715739">
              <w:rPr>
                <w:rStyle w:val="Hyperlink"/>
                <w:noProof/>
              </w:rPr>
              <w:t>13</w:t>
            </w:r>
            <w:r w:rsidR="001F39CB">
              <w:rPr>
                <w:rFonts w:eastAsiaTheme="minorEastAsia" w:cstheme="minorBidi"/>
                <w:b w:val="0"/>
                <w:bCs w:val="0"/>
                <w:caps w:val="0"/>
                <w:noProof/>
                <w:sz w:val="22"/>
                <w:szCs w:val="22"/>
                <w:lang w:eastAsia="en-GB" w:bidi="ar-SA"/>
              </w:rPr>
              <w:tab/>
            </w:r>
            <w:r w:rsidR="001F39CB" w:rsidRPr="00715739">
              <w:rPr>
                <w:rStyle w:val="Hyperlink"/>
                <w:noProof/>
              </w:rPr>
              <w:t>Summary of conclusions</w:t>
            </w:r>
            <w:r w:rsidR="001F39CB">
              <w:rPr>
                <w:noProof/>
                <w:webHidden/>
              </w:rPr>
              <w:tab/>
            </w:r>
            <w:r w:rsidR="001F39CB">
              <w:rPr>
                <w:noProof/>
                <w:webHidden/>
              </w:rPr>
              <w:fldChar w:fldCharType="begin"/>
            </w:r>
            <w:r w:rsidR="001F39CB">
              <w:rPr>
                <w:noProof/>
                <w:webHidden/>
              </w:rPr>
              <w:instrText xml:space="preserve"> PAGEREF _Toc87860077 \h </w:instrText>
            </w:r>
            <w:r w:rsidR="001F39CB">
              <w:rPr>
                <w:noProof/>
                <w:webHidden/>
              </w:rPr>
            </w:r>
            <w:r w:rsidR="001F39CB">
              <w:rPr>
                <w:noProof/>
                <w:webHidden/>
              </w:rPr>
              <w:fldChar w:fldCharType="separate"/>
            </w:r>
            <w:r w:rsidR="00A952A2">
              <w:rPr>
                <w:noProof/>
                <w:webHidden/>
              </w:rPr>
              <w:t>103</w:t>
            </w:r>
            <w:r w:rsidR="001F39CB">
              <w:rPr>
                <w:noProof/>
                <w:webHidden/>
              </w:rPr>
              <w:fldChar w:fldCharType="end"/>
            </w:r>
          </w:hyperlink>
        </w:p>
        <w:p w14:paraId="2D873704" w14:textId="72A0C6CE"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78" w:history="1">
            <w:r w:rsidR="001F39CB" w:rsidRPr="00715739">
              <w:rPr>
                <w:rStyle w:val="Hyperlink"/>
                <w:noProof/>
              </w:rPr>
              <w:t>13.1</w:t>
            </w:r>
            <w:r w:rsidR="001F39CB">
              <w:rPr>
                <w:rFonts w:eastAsiaTheme="minorEastAsia" w:cstheme="minorBidi"/>
                <w:smallCaps w:val="0"/>
                <w:noProof/>
                <w:sz w:val="22"/>
                <w:szCs w:val="22"/>
                <w:lang w:eastAsia="en-GB" w:bidi="ar-SA"/>
              </w:rPr>
              <w:tab/>
            </w:r>
            <w:r w:rsidR="001F39CB" w:rsidRPr="00715739">
              <w:rPr>
                <w:rStyle w:val="Hyperlink"/>
                <w:noProof/>
              </w:rPr>
              <w:t>Key risk factors that apply broadly to all commodities</w:t>
            </w:r>
            <w:r w:rsidR="001F39CB">
              <w:rPr>
                <w:noProof/>
                <w:webHidden/>
              </w:rPr>
              <w:tab/>
            </w:r>
            <w:r w:rsidR="001F39CB">
              <w:rPr>
                <w:noProof/>
                <w:webHidden/>
              </w:rPr>
              <w:fldChar w:fldCharType="begin"/>
            </w:r>
            <w:r w:rsidR="001F39CB">
              <w:rPr>
                <w:noProof/>
                <w:webHidden/>
              </w:rPr>
              <w:instrText xml:space="preserve"> PAGEREF _Toc87860078 \h </w:instrText>
            </w:r>
            <w:r w:rsidR="001F39CB">
              <w:rPr>
                <w:noProof/>
                <w:webHidden/>
              </w:rPr>
            </w:r>
            <w:r w:rsidR="001F39CB">
              <w:rPr>
                <w:noProof/>
                <w:webHidden/>
              </w:rPr>
              <w:fldChar w:fldCharType="separate"/>
            </w:r>
            <w:r w:rsidR="00A952A2">
              <w:rPr>
                <w:noProof/>
                <w:webHidden/>
              </w:rPr>
              <w:t>103</w:t>
            </w:r>
            <w:r w:rsidR="001F39CB">
              <w:rPr>
                <w:noProof/>
                <w:webHidden/>
              </w:rPr>
              <w:fldChar w:fldCharType="end"/>
            </w:r>
          </w:hyperlink>
        </w:p>
        <w:p w14:paraId="3756586A" w14:textId="65E15413"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79" w:history="1">
            <w:r w:rsidR="001F39CB" w:rsidRPr="00715739">
              <w:rPr>
                <w:rStyle w:val="Hyperlink"/>
                <w:noProof/>
              </w:rPr>
              <w:t>13.2</w:t>
            </w:r>
            <w:r w:rsidR="001F39CB">
              <w:rPr>
                <w:rFonts w:eastAsiaTheme="minorEastAsia" w:cstheme="minorBidi"/>
                <w:smallCaps w:val="0"/>
                <w:noProof/>
                <w:sz w:val="22"/>
                <w:szCs w:val="22"/>
                <w:lang w:eastAsia="en-GB" w:bidi="ar-SA"/>
              </w:rPr>
              <w:tab/>
            </w:r>
            <w:r w:rsidR="001F39CB" w:rsidRPr="00715739">
              <w:rPr>
                <w:rStyle w:val="Hyperlink"/>
                <w:noProof/>
              </w:rPr>
              <w:t>Mitigations</w:t>
            </w:r>
            <w:r w:rsidR="001F39CB">
              <w:rPr>
                <w:noProof/>
                <w:webHidden/>
              </w:rPr>
              <w:tab/>
            </w:r>
            <w:r w:rsidR="001F39CB">
              <w:rPr>
                <w:noProof/>
                <w:webHidden/>
              </w:rPr>
              <w:fldChar w:fldCharType="begin"/>
            </w:r>
            <w:r w:rsidR="001F39CB">
              <w:rPr>
                <w:noProof/>
                <w:webHidden/>
              </w:rPr>
              <w:instrText xml:space="preserve"> PAGEREF _Toc87860079 \h </w:instrText>
            </w:r>
            <w:r w:rsidR="001F39CB">
              <w:rPr>
                <w:noProof/>
                <w:webHidden/>
              </w:rPr>
            </w:r>
            <w:r w:rsidR="001F39CB">
              <w:rPr>
                <w:noProof/>
                <w:webHidden/>
              </w:rPr>
              <w:fldChar w:fldCharType="separate"/>
            </w:r>
            <w:r w:rsidR="00A952A2">
              <w:rPr>
                <w:noProof/>
                <w:webHidden/>
              </w:rPr>
              <w:t>105</w:t>
            </w:r>
            <w:r w:rsidR="001F39CB">
              <w:rPr>
                <w:noProof/>
                <w:webHidden/>
              </w:rPr>
              <w:fldChar w:fldCharType="end"/>
            </w:r>
          </w:hyperlink>
        </w:p>
        <w:p w14:paraId="068AAAAF" w14:textId="4D28DB4D" w:rsidR="001F39CB" w:rsidRDefault="00C97803">
          <w:pPr>
            <w:pStyle w:val="TOC2"/>
            <w:tabs>
              <w:tab w:val="left" w:pos="880"/>
              <w:tab w:val="right" w:leader="dot" w:pos="9060"/>
            </w:tabs>
            <w:rPr>
              <w:rFonts w:eastAsiaTheme="minorEastAsia" w:cstheme="minorBidi"/>
              <w:smallCaps w:val="0"/>
              <w:noProof/>
              <w:sz w:val="22"/>
              <w:szCs w:val="22"/>
              <w:lang w:eastAsia="en-GB" w:bidi="ar-SA"/>
            </w:rPr>
          </w:pPr>
          <w:hyperlink w:anchor="_Toc87860080" w:history="1">
            <w:r w:rsidR="001F39CB" w:rsidRPr="00715739">
              <w:rPr>
                <w:rStyle w:val="Hyperlink"/>
                <w:noProof/>
              </w:rPr>
              <w:t>13.3</w:t>
            </w:r>
            <w:r w:rsidR="001F39CB">
              <w:rPr>
                <w:rFonts w:eastAsiaTheme="minorEastAsia" w:cstheme="minorBidi"/>
                <w:smallCaps w:val="0"/>
                <w:noProof/>
                <w:sz w:val="22"/>
                <w:szCs w:val="22"/>
                <w:lang w:eastAsia="en-GB" w:bidi="ar-SA"/>
              </w:rPr>
              <w:tab/>
            </w:r>
            <w:r w:rsidR="001F39CB" w:rsidRPr="00715739">
              <w:rPr>
                <w:rStyle w:val="Hyperlink"/>
                <w:noProof/>
              </w:rPr>
              <w:t>Commodity-specific risk factors and mitigations</w:t>
            </w:r>
            <w:r w:rsidR="001F39CB">
              <w:rPr>
                <w:noProof/>
                <w:webHidden/>
              </w:rPr>
              <w:tab/>
            </w:r>
            <w:r w:rsidR="001F39CB">
              <w:rPr>
                <w:noProof/>
                <w:webHidden/>
              </w:rPr>
              <w:fldChar w:fldCharType="begin"/>
            </w:r>
            <w:r w:rsidR="001F39CB">
              <w:rPr>
                <w:noProof/>
                <w:webHidden/>
              </w:rPr>
              <w:instrText xml:space="preserve"> PAGEREF _Toc87860080 \h </w:instrText>
            </w:r>
            <w:r w:rsidR="001F39CB">
              <w:rPr>
                <w:noProof/>
                <w:webHidden/>
              </w:rPr>
            </w:r>
            <w:r w:rsidR="001F39CB">
              <w:rPr>
                <w:noProof/>
                <w:webHidden/>
              </w:rPr>
              <w:fldChar w:fldCharType="separate"/>
            </w:r>
            <w:r w:rsidR="00A952A2">
              <w:rPr>
                <w:noProof/>
                <w:webHidden/>
              </w:rPr>
              <w:t>106</w:t>
            </w:r>
            <w:r w:rsidR="001F39CB">
              <w:rPr>
                <w:noProof/>
                <w:webHidden/>
              </w:rPr>
              <w:fldChar w:fldCharType="end"/>
            </w:r>
          </w:hyperlink>
        </w:p>
        <w:p w14:paraId="10C2BCB1" w14:textId="371DB47C" w:rsidR="001F39CB" w:rsidRDefault="00C97803">
          <w:pPr>
            <w:pStyle w:val="TOC3"/>
            <w:tabs>
              <w:tab w:val="left" w:pos="1320"/>
              <w:tab w:val="right" w:leader="dot" w:pos="9060"/>
            </w:tabs>
            <w:rPr>
              <w:rFonts w:eastAsiaTheme="minorEastAsia" w:cstheme="minorBidi"/>
              <w:i w:val="0"/>
              <w:iCs w:val="0"/>
              <w:noProof/>
              <w:sz w:val="22"/>
              <w:szCs w:val="22"/>
              <w:lang w:eastAsia="en-GB" w:bidi="ar-SA"/>
            </w:rPr>
          </w:pPr>
          <w:hyperlink w:anchor="_Toc87860081" w:history="1">
            <w:r w:rsidR="001F39CB" w:rsidRPr="00715739">
              <w:rPr>
                <w:rStyle w:val="Hyperlink"/>
                <w:noProof/>
              </w:rPr>
              <w:t>13.3.1</w:t>
            </w:r>
            <w:r w:rsidR="001F39CB">
              <w:rPr>
                <w:rFonts w:eastAsiaTheme="minorEastAsia" w:cstheme="minorBidi"/>
                <w:i w:val="0"/>
                <w:iCs w:val="0"/>
                <w:noProof/>
                <w:sz w:val="22"/>
                <w:szCs w:val="22"/>
                <w:lang w:eastAsia="en-GB" w:bidi="ar-SA"/>
              </w:rPr>
              <w:tab/>
            </w:r>
            <w:r w:rsidR="001F39CB" w:rsidRPr="00715739">
              <w:rPr>
                <w:rStyle w:val="Hyperlink"/>
                <w:noProof/>
              </w:rPr>
              <w:t>Leafy vegetables</w:t>
            </w:r>
            <w:r w:rsidR="001F39CB">
              <w:rPr>
                <w:noProof/>
                <w:webHidden/>
              </w:rPr>
              <w:tab/>
            </w:r>
            <w:r w:rsidR="001F39CB">
              <w:rPr>
                <w:noProof/>
                <w:webHidden/>
              </w:rPr>
              <w:fldChar w:fldCharType="begin"/>
            </w:r>
            <w:r w:rsidR="001F39CB">
              <w:rPr>
                <w:noProof/>
                <w:webHidden/>
              </w:rPr>
              <w:instrText xml:space="preserve"> PAGEREF _Toc87860081 \h </w:instrText>
            </w:r>
            <w:r w:rsidR="001F39CB">
              <w:rPr>
                <w:noProof/>
                <w:webHidden/>
              </w:rPr>
            </w:r>
            <w:r w:rsidR="001F39CB">
              <w:rPr>
                <w:noProof/>
                <w:webHidden/>
              </w:rPr>
              <w:fldChar w:fldCharType="separate"/>
            </w:r>
            <w:r w:rsidR="00A952A2">
              <w:rPr>
                <w:noProof/>
                <w:webHidden/>
              </w:rPr>
              <w:t>106</w:t>
            </w:r>
            <w:r w:rsidR="001F39CB">
              <w:rPr>
                <w:noProof/>
                <w:webHidden/>
              </w:rPr>
              <w:fldChar w:fldCharType="end"/>
            </w:r>
          </w:hyperlink>
        </w:p>
        <w:p w14:paraId="19CD7FDC" w14:textId="1CC2E711" w:rsidR="001F39CB" w:rsidRDefault="00C97803">
          <w:pPr>
            <w:pStyle w:val="TOC3"/>
            <w:tabs>
              <w:tab w:val="left" w:pos="1320"/>
              <w:tab w:val="right" w:leader="dot" w:pos="9060"/>
            </w:tabs>
            <w:rPr>
              <w:rFonts w:eastAsiaTheme="minorEastAsia" w:cstheme="minorBidi"/>
              <w:i w:val="0"/>
              <w:iCs w:val="0"/>
              <w:noProof/>
              <w:sz w:val="22"/>
              <w:szCs w:val="22"/>
              <w:lang w:eastAsia="en-GB" w:bidi="ar-SA"/>
            </w:rPr>
          </w:pPr>
          <w:hyperlink w:anchor="_Toc87860082" w:history="1">
            <w:r w:rsidR="001F39CB" w:rsidRPr="00715739">
              <w:rPr>
                <w:rStyle w:val="Hyperlink"/>
                <w:noProof/>
              </w:rPr>
              <w:t>13.3.2</w:t>
            </w:r>
            <w:r w:rsidR="001F39CB">
              <w:rPr>
                <w:rFonts w:eastAsiaTheme="minorEastAsia" w:cstheme="minorBidi"/>
                <w:i w:val="0"/>
                <w:iCs w:val="0"/>
                <w:noProof/>
                <w:sz w:val="22"/>
                <w:szCs w:val="22"/>
                <w:lang w:eastAsia="en-GB" w:bidi="ar-SA"/>
              </w:rPr>
              <w:tab/>
            </w:r>
            <w:r w:rsidR="001F39CB" w:rsidRPr="00715739">
              <w:rPr>
                <w:rStyle w:val="Hyperlink"/>
                <w:noProof/>
              </w:rPr>
              <w:t>Berries</w:t>
            </w:r>
            <w:r w:rsidR="001F39CB">
              <w:rPr>
                <w:noProof/>
                <w:webHidden/>
              </w:rPr>
              <w:tab/>
            </w:r>
            <w:r w:rsidR="001F39CB">
              <w:rPr>
                <w:noProof/>
                <w:webHidden/>
              </w:rPr>
              <w:fldChar w:fldCharType="begin"/>
            </w:r>
            <w:r w:rsidR="001F39CB">
              <w:rPr>
                <w:noProof/>
                <w:webHidden/>
              </w:rPr>
              <w:instrText xml:space="preserve"> PAGEREF _Toc87860082 \h </w:instrText>
            </w:r>
            <w:r w:rsidR="001F39CB">
              <w:rPr>
                <w:noProof/>
                <w:webHidden/>
              </w:rPr>
            </w:r>
            <w:r w:rsidR="001F39CB">
              <w:rPr>
                <w:noProof/>
                <w:webHidden/>
              </w:rPr>
              <w:fldChar w:fldCharType="separate"/>
            </w:r>
            <w:r w:rsidR="00A952A2">
              <w:rPr>
                <w:noProof/>
                <w:webHidden/>
              </w:rPr>
              <w:t>107</w:t>
            </w:r>
            <w:r w:rsidR="001F39CB">
              <w:rPr>
                <w:noProof/>
                <w:webHidden/>
              </w:rPr>
              <w:fldChar w:fldCharType="end"/>
            </w:r>
          </w:hyperlink>
        </w:p>
        <w:p w14:paraId="7BAEDF2E" w14:textId="07766501" w:rsidR="001F39CB" w:rsidRDefault="00C97803">
          <w:pPr>
            <w:pStyle w:val="TOC3"/>
            <w:tabs>
              <w:tab w:val="left" w:pos="1320"/>
              <w:tab w:val="right" w:leader="dot" w:pos="9060"/>
            </w:tabs>
            <w:rPr>
              <w:rFonts w:eastAsiaTheme="minorEastAsia" w:cstheme="minorBidi"/>
              <w:i w:val="0"/>
              <w:iCs w:val="0"/>
              <w:noProof/>
              <w:sz w:val="22"/>
              <w:szCs w:val="22"/>
              <w:lang w:eastAsia="en-GB" w:bidi="ar-SA"/>
            </w:rPr>
          </w:pPr>
          <w:hyperlink w:anchor="_Toc87860083" w:history="1">
            <w:r w:rsidR="001F39CB" w:rsidRPr="00715739">
              <w:rPr>
                <w:rStyle w:val="Hyperlink"/>
                <w:noProof/>
              </w:rPr>
              <w:t>13.3.3</w:t>
            </w:r>
            <w:r w:rsidR="001F39CB">
              <w:rPr>
                <w:rFonts w:eastAsiaTheme="minorEastAsia" w:cstheme="minorBidi"/>
                <w:i w:val="0"/>
                <w:iCs w:val="0"/>
                <w:noProof/>
                <w:sz w:val="22"/>
                <w:szCs w:val="22"/>
                <w:lang w:eastAsia="en-GB" w:bidi="ar-SA"/>
              </w:rPr>
              <w:tab/>
            </w:r>
            <w:r w:rsidR="001F39CB" w:rsidRPr="00715739">
              <w:rPr>
                <w:rStyle w:val="Hyperlink"/>
                <w:noProof/>
              </w:rPr>
              <w:t>Melons</w:t>
            </w:r>
            <w:r w:rsidR="001F39CB">
              <w:rPr>
                <w:noProof/>
                <w:webHidden/>
              </w:rPr>
              <w:tab/>
            </w:r>
            <w:r w:rsidR="001F39CB">
              <w:rPr>
                <w:noProof/>
                <w:webHidden/>
              </w:rPr>
              <w:fldChar w:fldCharType="begin"/>
            </w:r>
            <w:r w:rsidR="001F39CB">
              <w:rPr>
                <w:noProof/>
                <w:webHidden/>
              </w:rPr>
              <w:instrText xml:space="preserve"> PAGEREF _Toc87860083 \h </w:instrText>
            </w:r>
            <w:r w:rsidR="001F39CB">
              <w:rPr>
                <w:noProof/>
                <w:webHidden/>
              </w:rPr>
            </w:r>
            <w:r w:rsidR="001F39CB">
              <w:rPr>
                <w:noProof/>
                <w:webHidden/>
              </w:rPr>
              <w:fldChar w:fldCharType="separate"/>
            </w:r>
            <w:r w:rsidR="00A952A2">
              <w:rPr>
                <w:noProof/>
                <w:webHidden/>
              </w:rPr>
              <w:t>109</w:t>
            </w:r>
            <w:r w:rsidR="001F39CB">
              <w:rPr>
                <w:noProof/>
                <w:webHidden/>
              </w:rPr>
              <w:fldChar w:fldCharType="end"/>
            </w:r>
          </w:hyperlink>
        </w:p>
        <w:p w14:paraId="7EB4D3C1" w14:textId="781B1A30" w:rsidR="001F39CB" w:rsidRDefault="00C97803">
          <w:pPr>
            <w:pStyle w:val="TOC1"/>
            <w:tabs>
              <w:tab w:val="left" w:pos="440"/>
              <w:tab w:val="right" w:leader="dot" w:pos="9060"/>
            </w:tabs>
            <w:rPr>
              <w:rFonts w:eastAsiaTheme="minorEastAsia" w:cstheme="minorBidi"/>
              <w:b w:val="0"/>
              <w:bCs w:val="0"/>
              <w:caps w:val="0"/>
              <w:noProof/>
              <w:sz w:val="22"/>
              <w:szCs w:val="22"/>
              <w:lang w:eastAsia="en-GB" w:bidi="ar-SA"/>
            </w:rPr>
          </w:pPr>
          <w:hyperlink w:anchor="_Toc87860084" w:history="1">
            <w:r w:rsidR="001F39CB" w:rsidRPr="00715739">
              <w:rPr>
                <w:rStyle w:val="Hyperlink"/>
                <w:noProof/>
              </w:rPr>
              <w:t>14</w:t>
            </w:r>
            <w:r w:rsidR="001F39CB">
              <w:rPr>
                <w:rFonts w:eastAsiaTheme="minorEastAsia" w:cstheme="minorBidi"/>
                <w:b w:val="0"/>
                <w:bCs w:val="0"/>
                <w:caps w:val="0"/>
                <w:noProof/>
                <w:sz w:val="22"/>
                <w:szCs w:val="22"/>
                <w:lang w:eastAsia="en-GB" w:bidi="ar-SA"/>
              </w:rPr>
              <w:tab/>
            </w:r>
            <w:r w:rsidR="001F39CB" w:rsidRPr="00715739">
              <w:rPr>
                <w:rStyle w:val="Hyperlink"/>
                <w:noProof/>
              </w:rPr>
              <w:t>Limitations</w:t>
            </w:r>
            <w:r w:rsidR="001F39CB">
              <w:rPr>
                <w:noProof/>
                <w:webHidden/>
              </w:rPr>
              <w:tab/>
            </w:r>
            <w:r w:rsidR="001F39CB">
              <w:rPr>
                <w:noProof/>
                <w:webHidden/>
              </w:rPr>
              <w:fldChar w:fldCharType="begin"/>
            </w:r>
            <w:r w:rsidR="001F39CB">
              <w:rPr>
                <w:noProof/>
                <w:webHidden/>
              </w:rPr>
              <w:instrText xml:space="preserve"> PAGEREF _Toc87860084 \h </w:instrText>
            </w:r>
            <w:r w:rsidR="001F39CB">
              <w:rPr>
                <w:noProof/>
                <w:webHidden/>
              </w:rPr>
            </w:r>
            <w:r w:rsidR="001F39CB">
              <w:rPr>
                <w:noProof/>
                <w:webHidden/>
              </w:rPr>
              <w:fldChar w:fldCharType="separate"/>
            </w:r>
            <w:r w:rsidR="00A952A2">
              <w:rPr>
                <w:noProof/>
                <w:webHidden/>
              </w:rPr>
              <w:t>111</w:t>
            </w:r>
            <w:r w:rsidR="001F39CB">
              <w:rPr>
                <w:noProof/>
                <w:webHidden/>
              </w:rPr>
              <w:fldChar w:fldCharType="end"/>
            </w:r>
          </w:hyperlink>
        </w:p>
        <w:p w14:paraId="7A2C909D" w14:textId="22A88574" w:rsidR="001F39CB" w:rsidRDefault="00C97803">
          <w:pPr>
            <w:pStyle w:val="TOC1"/>
            <w:tabs>
              <w:tab w:val="left" w:pos="440"/>
              <w:tab w:val="right" w:leader="dot" w:pos="9060"/>
            </w:tabs>
            <w:rPr>
              <w:rFonts w:eastAsiaTheme="minorEastAsia" w:cstheme="minorBidi"/>
              <w:b w:val="0"/>
              <w:bCs w:val="0"/>
              <w:caps w:val="0"/>
              <w:noProof/>
              <w:sz w:val="22"/>
              <w:szCs w:val="22"/>
              <w:lang w:eastAsia="en-GB" w:bidi="ar-SA"/>
            </w:rPr>
          </w:pPr>
          <w:hyperlink w:anchor="_Toc87860085" w:history="1">
            <w:r w:rsidR="001F39CB" w:rsidRPr="00715739">
              <w:rPr>
                <w:rStyle w:val="Hyperlink"/>
                <w:noProof/>
              </w:rPr>
              <w:t>15</w:t>
            </w:r>
            <w:r w:rsidR="001F39CB">
              <w:rPr>
                <w:rFonts w:eastAsiaTheme="minorEastAsia" w:cstheme="minorBidi"/>
                <w:b w:val="0"/>
                <w:bCs w:val="0"/>
                <w:caps w:val="0"/>
                <w:noProof/>
                <w:sz w:val="22"/>
                <w:szCs w:val="22"/>
                <w:lang w:eastAsia="en-GB" w:bidi="ar-SA"/>
              </w:rPr>
              <w:tab/>
            </w:r>
            <w:r w:rsidR="001F39CB" w:rsidRPr="00715739">
              <w:rPr>
                <w:rStyle w:val="Hyperlink"/>
                <w:noProof/>
              </w:rPr>
              <w:t>References</w:t>
            </w:r>
            <w:r w:rsidR="001F39CB">
              <w:rPr>
                <w:noProof/>
                <w:webHidden/>
              </w:rPr>
              <w:tab/>
            </w:r>
            <w:r w:rsidR="001F39CB">
              <w:rPr>
                <w:noProof/>
                <w:webHidden/>
              </w:rPr>
              <w:fldChar w:fldCharType="begin"/>
            </w:r>
            <w:r w:rsidR="001F39CB">
              <w:rPr>
                <w:noProof/>
                <w:webHidden/>
              </w:rPr>
              <w:instrText xml:space="preserve"> PAGEREF _Toc87860085 \h </w:instrText>
            </w:r>
            <w:r w:rsidR="001F39CB">
              <w:rPr>
                <w:noProof/>
                <w:webHidden/>
              </w:rPr>
            </w:r>
            <w:r w:rsidR="001F39CB">
              <w:rPr>
                <w:noProof/>
                <w:webHidden/>
              </w:rPr>
              <w:fldChar w:fldCharType="separate"/>
            </w:r>
            <w:r w:rsidR="00A952A2">
              <w:rPr>
                <w:noProof/>
                <w:webHidden/>
              </w:rPr>
              <w:t>113</w:t>
            </w:r>
            <w:r w:rsidR="001F39CB">
              <w:rPr>
                <w:noProof/>
                <w:webHidden/>
              </w:rPr>
              <w:fldChar w:fldCharType="end"/>
            </w:r>
          </w:hyperlink>
        </w:p>
        <w:p w14:paraId="1AB4E0D5" w14:textId="49975737" w:rsidR="001F39CB" w:rsidRDefault="00C97803">
          <w:pPr>
            <w:pStyle w:val="TOC1"/>
            <w:tabs>
              <w:tab w:val="right" w:leader="dot" w:pos="9060"/>
            </w:tabs>
            <w:rPr>
              <w:rFonts w:eastAsiaTheme="minorEastAsia" w:cstheme="minorBidi"/>
              <w:b w:val="0"/>
              <w:bCs w:val="0"/>
              <w:caps w:val="0"/>
              <w:noProof/>
              <w:sz w:val="22"/>
              <w:szCs w:val="22"/>
              <w:lang w:eastAsia="en-GB" w:bidi="ar-SA"/>
            </w:rPr>
          </w:pPr>
          <w:hyperlink w:anchor="_Toc87860086" w:history="1">
            <w:r w:rsidR="001F39CB" w:rsidRPr="00715739">
              <w:rPr>
                <w:rStyle w:val="Hyperlink"/>
                <w:noProof/>
              </w:rPr>
              <w:t>Appendices</w:t>
            </w:r>
            <w:r w:rsidR="001F39CB">
              <w:rPr>
                <w:noProof/>
                <w:webHidden/>
              </w:rPr>
              <w:tab/>
            </w:r>
            <w:r w:rsidR="001F39CB">
              <w:rPr>
                <w:noProof/>
                <w:webHidden/>
              </w:rPr>
              <w:fldChar w:fldCharType="begin"/>
            </w:r>
            <w:r w:rsidR="001F39CB">
              <w:rPr>
                <w:noProof/>
                <w:webHidden/>
              </w:rPr>
              <w:instrText xml:space="preserve"> PAGEREF _Toc87860086 \h </w:instrText>
            </w:r>
            <w:r w:rsidR="001F39CB">
              <w:rPr>
                <w:noProof/>
                <w:webHidden/>
              </w:rPr>
            </w:r>
            <w:r w:rsidR="001F39CB">
              <w:rPr>
                <w:noProof/>
                <w:webHidden/>
              </w:rPr>
              <w:fldChar w:fldCharType="separate"/>
            </w:r>
            <w:r w:rsidR="00A952A2">
              <w:rPr>
                <w:noProof/>
                <w:webHidden/>
              </w:rPr>
              <w:t>141</w:t>
            </w:r>
            <w:r w:rsidR="001F39CB">
              <w:rPr>
                <w:noProof/>
                <w:webHidden/>
              </w:rPr>
              <w:fldChar w:fldCharType="end"/>
            </w:r>
          </w:hyperlink>
        </w:p>
        <w:p w14:paraId="2822005B" w14:textId="7E599EF3" w:rsidR="001F39CB" w:rsidRDefault="00C97803">
          <w:pPr>
            <w:pStyle w:val="TOC2"/>
            <w:tabs>
              <w:tab w:val="right" w:leader="dot" w:pos="9060"/>
            </w:tabs>
            <w:rPr>
              <w:rFonts w:eastAsiaTheme="minorEastAsia" w:cstheme="minorBidi"/>
              <w:smallCaps w:val="0"/>
              <w:noProof/>
              <w:sz w:val="22"/>
              <w:szCs w:val="22"/>
              <w:lang w:eastAsia="en-GB" w:bidi="ar-SA"/>
            </w:rPr>
          </w:pPr>
          <w:hyperlink w:anchor="_Toc87860087" w:history="1">
            <w:r w:rsidR="001F39CB" w:rsidRPr="00715739">
              <w:rPr>
                <w:rStyle w:val="Hyperlink"/>
                <w:noProof/>
              </w:rPr>
              <w:t>Appendix 1 – Literature search strategy</w:t>
            </w:r>
            <w:r w:rsidR="001F39CB">
              <w:rPr>
                <w:noProof/>
                <w:webHidden/>
              </w:rPr>
              <w:tab/>
            </w:r>
            <w:r w:rsidR="001F39CB">
              <w:rPr>
                <w:noProof/>
                <w:webHidden/>
              </w:rPr>
              <w:fldChar w:fldCharType="begin"/>
            </w:r>
            <w:r w:rsidR="001F39CB">
              <w:rPr>
                <w:noProof/>
                <w:webHidden/>
              </w:rPr>
              <w:instrText xml:space="preserve"> PAGEREF _Toc87860087 \h </w:instrText>
            </w:r>
            <w:r w:rsidR="001F39CB">
              <w:rPr>
                <w:noProof/>
                <w:webHidden/>
              </w:rPr>
            </w:r>
            <w:r w:rsidR="001F39CB">
              <w:rPr>
                <w:noProof/>
                <w:webHidden/>
              </w:rPr>
              <w:fldChar w:fldCharType="separate"/>
            </w:r>
            <w:r w:rsidR="00A952A2">
              <w:rPr>
                <w:noProof/>
                <w:webHidden/>
              </w:rPr>
              <w:t>141</w:t>
            </w:r>
            <w:r w:rsidR="001F39CB">
              <w:rPr>
                <w:noProof/>
                <w:webHidden/>
              </w:rPr>
              <w:fldChar w:fldCharType="end"/>
            </w:r>
          </w:hyperlink>
        </w:p>
        <w:p w14:paraId="7B929BA2" w14:textId="12812878" w:rsidR="001F39CB" w:rsidRPr="001F39CB" w:rsidRDefault="00C97803" w:rsidP="001F39CB">
          <w:pPr>
            <w:pStyle w:val="TOC2"/>
            <w:tabs>
              <w:tab w:val="right" w:leader="dot" w:pos="9060"/>
            </w:tabs>
            <w:rPr>
              <w:rFonts w:eastAsiaTheme="minorEastAsia" w:cstheme="minorBidi"/>
              <w:smallCaps w:val="0"/>
              <w:noProof/>
              <w:sz w:val="22"/>
              <w:szCs w:val="22"/>
              <w:lang w:eastAsia="en-GB" w:bidi="ar-SA"/>
            </w:rPr>
          </w:pPr>
          <w:hyperlink w:anchor="_Toc87860088" w:history="1">
            <w:r w:rsidR="001F39CB" w:rsidRPr="00715739">
              <w:rPr>
                <w:rStyle w:val="Hyperlink"/>
                <w:noProof/>
              </w:rPr>
              <w:t>Appendix 2 – Summary of international outbreaks associated with fresh and minimally processed horticultural produce</w:t>
            </w:r>
            <w:r w:rsidR="001F39CB">
              <w:rPr>
                <w:noProof/>
                <w:webHidden/>
              </w:rPr>
              <w:tab/>
            </w:r>
            <w:r w:rsidR="001F39CB">
              <w:rPr>
                <w:noProof/>
                <w:webHidden/>
              </w:rPr>
              <w:fldChar w:fldCharType="begin"/>
            </w:r>
            <w:r w:rsidR="001F39CB">
              <w:rPr>
                <w:noProof/>
                <w:webHidden/>
              </w:rPr>
              <w:instrText xml:space="preserve"> PAGEREF _Toc87860088 \h </w:instrText>
            </w:r>
            <w:r w:rsidR="001F39CB">
              <w:rPr>
                <w:noProof/>
                <w:webHidden/>
              </w:rPr>
            </w:r>
            <w:r w:rsidR="001F39CB">
              <w:rPr>
                <w:noProof/>
                <w:webHidden/>
              </w:rPr>
              <w:fldChar w:fldCharType="separate"/>
            </w:r>
            <w:r w:rsidR="00A952A2">
              <w:rPr>
                <w:noProof/>
                <w:webHidden/>
              </w:rPr>
              <w:t>144</w:t>
            </w:r>
            <w:r w:rsidR="001F39CB">
              <w:rPr>
                <w:noProof/>
                <w:webHidden/>
              </w:rPr>
              <w:fldChar w:fldCharType="end"/>
            </w:r>
          </w:hyperlink>
        </w:p>
        <w:p w14:paraId="67104FDE" w14:textId="3FA0825F" w:rsidR="001F39CB" w:rsidRPr="001F39CB" w:rsidRDefault="00C97803" w:rsidP="001F39CB">
          <w:pPr>
            <w:pStyle w:val="TOC2"/>
            <w:tabs>
              <w:tab w:val="right" w:leader="dot" w:pos="9060"/>
            </w:tabs>
            <w:rPr>
              <w:rFonts w:eastAsiaTheme="minorEastAsia" w:cstheme="minorBidi"/>
              <w:smallCaps w:val="0"/>
              <w:noProof/>
              <w:sz w:val="22"/>
              <w:szCs w:val="22"/>
              <w:lang w:eastAsia="en-GB" w:bidi="ar-SA"/>
            </w:rPr>
          </w:pPr>
          <w:hyperlink w:anchor="_Toc87860090" w:history="1">
            <w:r w:rsidR="001F39CB" w:rsidRPr="00715739">
              <w:rPr>
                <w:rStyle w:val="Hyperlink"/>
                <w:noProof/>
              </w:rPr>
              <w:t>Appendix 3 – Summary of prevalence studies for pathogens in fresh and minimally processed horticultural produce sampled from food businesses</w:t>
            </w:r>
            <w:r w:rsidR="001F39CB">
              <w:rPr>
                <w:noProof/>
                <w:webHidden/>
              </w:rPr>
              <w:tab/>
            </w:r>
            <w:r w:rsidR="001F39CB">
              <w:rPr>
                <w:noProof/>
                <w:webHidden/>
              </w:rPr>
              <w:fldChar w:fldCharType="begin"/>
            </w:r>
            <w:r w:rsidR="001F39CB">
              <w:rPr>
                <w:noProof/>
                <w:webHidden/>
              </w:rPr>
              <w:instrText xml:space="preserve"> PAGEREF _Toc87860090 \h </w:instrText>
            </w:r>
            <w:r w:rsidR="001F39CB">
              <w:rPr>
                <w:noProof/>
                <w:webHidden/>
              </w:rPr>
            </w:r>
            <w:r w:rsidR="001F39CB">
              <w:rPr>
                <w:noProof/>
                <w:webHidden/>
              </w:rPr>
              <w:fldChar w:fldCharType="separate"/>
            </w:r>
            <w:r w:rsidR="00A952A2">
              <w:rPr>
                <w:noProof/>
                <w:webHidden/>
              </w:rPr>
              <w:t>155</w:t>
            </w:r>
            <w:r w:rsidR="001F39CB">
              <w:rPr>
                <w:noProof/>
                <w:webHidden/>
              </w:rPr>
              <w:fldChar w:fldCharType="end"/>
            </w:r>
          </w:hyperlink>
        </w:p>
        <w:p w14:paraId="00192CE9" w14:textId="6C691C09" w:rsidR="001F39CB" w:rsidRPr="001F39CB" w:rsidRDefault="00C97803" w:rsidP="001F39CB">
          <w:pPr>
            <w:pStyle w:val="TOC2"/>
            <w:tabs>
              <w:tab w:val="right" w:leader="dot" w:pos="9060"/>
            </w:tabs>
            <w:rPr>
              <w:rFonts w:eastAsiaTheme="minorEastAsia" w:cstheme="minorBidi"/>
              <w:smallCaps w:val="0"/>
              <w:noProof/>
              <w:sz w:val="22"/>
              <w:szCs w:val="22"/>
              <w:lang w:eastAsia="en-GB" w:bidi="ar-SA"/>
            </w:rPr>
          </w:pPr>
          <w:hyperlink w:anchor="_Toc87860092" w:history="1">
            <w:r w:rsidR="001F39CB" w:rsidRPr="00715739">
              <w:rPr>
                <w:rStyle w:val="Hyperlink"/>
                <w:noProof/>
              </w:rPr>
              <w:t>Appendix 4 – Commodity Consumption</w:t>
            </w:r>
            <w:r w:rsidR="001F39CB">
              <w:rPr>
                <w:noProof/>
                <w:webHidden/>
              </w:rPr>
              <w:tab/>
            </w:r>
            <w:r w:rsidR="001F39CB">
              <w:rPr>
                <w:noProof/>
                <w:webHidden/>
              </w:rPr>
              <w:fldChar w:fldCharType="begin"/>
            </w:r>
            <w:r w:rsidR="001F39CB">
              <w:rPr>
                <w:noProof/>
                <w:webHidden/>
              </w:rPr>
              <w:instrText xml:space="preserve"> PAGEREF _Toc87860092 \h </w:instrText>
            </w:r>
            <w:r w:rsidR="001F39CB">
              <w:rPr>
                <w:noProof/>
                <w:webHidden/>
              </w:rPr>
            </w:r>
            <w:r w:rsidR="001F39CB">
              <w:rPr>
                <w:noProof/>
                <w:webHidden/>
              </w:rPr>
              <w:fldChar w:fldCharType="separate"/>
            </w:r>
            <w:r w:rsidR="00A952A2">
              <w:rPr>
                <w:noProof/>
                <w:webHidden/>
              </w:rPr>
              <w:t>165</w:t>
            </w:r>
            <w:r w:rsidR="001F39CB">
              <w:rPr>
                <w:noProof/>
                <w:webHidden/>
              </w:rPr>
              <w:fldChar w:fldCharType="end"/>
            </w:r>
          </w:hyperlink>
        </w:p>
        <w:p w14:paraId="60DCA7FB" w14:textId="2D0EC116" w:rsidR="001F39CB" w:rsidRDefault="00C97803">
          <w:pPr>
            <w:pStyle w:val="TOC2"/>
            <w:tabs>
              <w:tab w:val="right" w:leader="dot" w:pos="9060"/>
            </w:tabs>
            <w:rPr>
              <w:rFonts w:eastAsiaTheme="minorEastAsia" w:cstheme="minorBidi"/>
              <w:smallCaps w:val="0"/>
              <w:noProof/>
              <w:sz w:val="22"/>
              <w:szCs w:val="22"/>
              <w:lang w:eastAsia="en-GB" w:bidi="ar-SA"/>
            </w:rPr>
          </w:pPr>
          <w:hyperlink w:anchor="_Toc87860095" w:history="1">
            <w:r w:rsidR="001F39CB" w:rsidRPr="00715739">
              <w:rPr>
                <w:rStyle w:val="Hyperlink"/>
                <w:noProof/>
              </w:rPr>
              <w:t>Appendix 5 – Example list of ‘mixed dishes’ reported to be consumed including blueberries, raspberries, and strawberries from the 2011-12 Australian National Nutrition and Physical Activity Survey (NNPAS)</w:t>
            </w:r>
            <w:r w:rsidR="001F39CB">
              <w:rPr>
                <w:noProof/>
                <w:webHidden/>
              </w:rPr>
              <w:tab/>
            </w:r>
            <w:r w:rsidR="001F39CB">
              <w:rPr>
                <w:noProof/>
                <w:webHidden/>
              </w:rPr>
              <w:fldChar w:fldCharType="begin"/>
            </w:r>
            <w:r w:rsidR="001F39CB">
              <w:rPr>
                <w:noProof/>
                <w:webHidden/>
              </w:rPr>
              <w:instrText xml:space="preserve"> PAGEREF _Toc87860095 \h </w:instrText>
            </w:r>
            <w:r w:rsidR="001F39CB">
              <w:rPr>
                <w:noProof/>
                <w:webHidden/>
              </w:rPr>
            </w:r>
            <w:r w:rsidR="001F39CB">
              <w:rPr>
                <w:noProof/>
                <w:webHidden/>
              </w:rPr>
              <w:fldChar w:fldCharType="separate"/>
            </w:r>
            <w:r w:rsidR="00A952A2">
              <w:rPr>
                <w:noProof/>
                <w:webHidden/>
              </w:rPr>
              <w:t>173</w:t>
            </w:r>
            <w:r w:rsidR="001F39CB">
              <w:rPr>
                <w:noProof/>
                <w:webHidden/>
              </w:rPr>
              <w:fldChar w:fldCharType="end"/>
            </w:r>
          </w:hyperlink>
        </w:p>
        <w:p w14:paraId="2C6B6287" w14:textId="14C98E89" w:rsidR="001F39CB" w:rsidRPr="001F39CB" w:rsidRDefault="00C97803" w:rsidP="001F39CB">
          <w:pPr>
            <w:pStyle w:val="TOC2"/>
            <w:tabs>
              <w:tab w:val="right" w:leader="dot" w:pos="9060"/>
            </w:tabs>
            <w:rPr>
              <w:rFonts w:eastAsiaTheme="minorEastAsia" w:cstheme="minorBidi"/>
              <w:smallCaps w:val="0"/>
              <w:noProof/>
              <w:sz w:val="22"/>
              <w:szCs w:val="22"/>
              <w:lang w:eastAsia="en-GB" w:bidi="ar-SA"/>
            </w:rPr>
          </w:pPr>
          <w:hyperlink w:anchor="_Toc87860096" w:history="1">
            <w:r w:rsidR="001F39CB" w:rsidRPr="00715739">
              <w:rPr>
                <w:rStyle w:val="Hyperlink"/>
                <w:noProof/>
              </w:rPr>
              <w:t>Appendix 6 – Hepatitis A virus</w:t>
            </w:r>
            <w:r w:rsidR="001F39CB">
              <w:rPr>
                <w:noProof/>
                <w:webHidden/>
              </w:rPr>
              <w:tab/>
            </w:r>
            <w:r w:rsidR="001F39CB">
              <w:rPr>
                <w:noProof/>
                <w:webHidden/>
              </w:rPr>
              <w:fldChar w:fldCharType="begin"/>
            </w:r>
            <w:r w:rsidR="001F39CB">
              <w:rPr>
                <w:noProof/>
                <w:webHidden/>
              </w:rPr>
              <w:instrText xml:space="preserve"> PAGEREF _Toc87860096 \h </w:instrText>
            </w:r>
            <w:r w:rsidR="001F39CB">
              <w:rPr>
                <w:noProof/>
                <w:webHidden/>
              </w:rPr>
            </w:r>
            <w:r w:rsidR="001F39CB">
              <w:rPr>
                <w:noProof/>
                <w:webHidden/>
              </w:rPr>
              <w:fldChar w:fldCharType="separate"/>
            </w:r>
            <w:r w:rsidR="00A952A2">
              <w:rPr>
                <w:noProof/>
                <w:webHidden/>
              </w:rPr>
              <w:t>183</w:t>
            </w:r>
            <w:r w:rsidR="001F39CB">
              <w:rPr>
                <w:noProof/>
                <w:webHidden/>
              </w:rPr>
              <w:fldChar w:fldCharType="end"/>
            </w:r>
          </w:hyperlink>
        </w:p>
        <w:p w14:paraId="7BFE57AC" w14:textId="776B8AC5" w:rsidR="001F39CB" w:rsidRPr="001F39CB" w:rsidRDefault="00C97803" w:rsidP="001F39CB">
          <w:pPr>
            <w:pStyle w:val="TOC2"/>
            <w:tabs>
              <w:tab w:val="right" w:leader="dot" w:pos="9060"/>
            </w:tabs>
            <w:rPr>
              <w:rFonts w:eastAsiaTheme="minorEastAsia" w:cstheme="minorBidi"/>
              <w:smallCaps w:val="0"/>
              <w:noProof/>
              <w:sz w:val="22"/>
              <w:szCs w:val="22"/>
              <w:lang w:eastAsia="en-GB" w:bidi="ar-SA"/>
            </w:rPr>
          </w:pPr>
          <w:hyperlink w:anchor="_Toc87860108" w:history="1">
            <w:r w:rsidR="001F39CB" w:rsidRPr="00715739">
              <w:rPr>
                <w:rStyle w:val="Hyperlink"/>
                <w:noProof/>
              </w:rPr>
              <w:t xml:space="preserve">Appendix 7 – </w:t>
            </w:r>
            <w:r w:rsidR="001F39CB" w:rsidRPr="00715739">
              <w:rPr>
                <w:rStyle w:val="Hyperlink"/>
                <w:i/>
                <w:noProof/>
              </w:rPr>
              <w:t>Listeria monocytogenes</w:t>
            </w:r>
            <w:r w:rsidR="001F39CB">
              <w:rPr>
                <w:noProof/>
                <w:webHidden/>
              </w:rPr>
              <w:tab/>
            </w:r>
            <w:r w:rsidR="001F39CB">
              <w:rPr>
                <w:noProof/>
                <w:webHidden/>
              </w:rPr>
              <w:fldChar w:fldCharType="begin"/>
            </w:r>
            <w:r w:rsidR="001F39CB">
              <w:rPr>
                <w:noProof/>
                <w:webHidden/>
              </w:rPr>
              <w:instrText xml:space="preserve"> PAGEREF _Toc87860108 \h </w:instrText>
            </w:r>
            <w:r w:rsidR="001F39CB">
              <w:rPr>
                <w:noProof/>
                <w:webHidden/>
              </w:rPr>
            </w:r>
            <w:r w:rsidR="001F39CB">
              <w:rPr>
                <w:noProof/>
                <w:webHidden/>
              </w:rPr>
              <w:fldChar w:fldCharType="separate"/>
            </w:r>
            <w:r w:rsidR="00A952A2">
              <w:rPr>
                <w:noProof/>
                <w:webHidden/>
              </w:rPr>
              <w:t>191</w:t>
            </w:r>
            <w:r w:rsidR="001F39CB">
              <w:rPr>
                <w:noProof/>
                <w:webHidden/>
              </w:rPr>
              <w:fldChar w:fldCharType="end"/>
            </w:r>
          </w:hyperlink>
        </w:p>
        <w:p w14:paraId="78406752" w14:textId="67C0217B" w:rsidR="001F39CB" w:rsidRPr="001F39CB" w:rsidRDefault="00C97803" w:rsidP="001F39CB">
          <w:pPr>
            <w:pStyle w:val="TOC2"/>
            <w:tabs>
              <w:tab w:val="right" w:leader="dot" w:pos="9060"/>
            </w:tabs>
            <w:rPr>
              <w:rFonts w:eastAsiaTheme="minorEastAsia" w:cstheme="minorBidi"/>
              <w:smallCaps w:val="0"/>
              <w:noProof/>
              <w:sz w:val="22"/>
              <w:szCs w:val="22"/>
              <w:lang w:eastAsia="en-GB" w:bidi="ar-SA"/>
            </w:rPr>
          </w:pPr>
          <w:hyperlink w:anchor="_Toc87860119" w:history="1">
            <w:r w:rsidR="001F39CB" w:rsidRPr="00715739">
              <w:rPr>
                <w:rStyle w:val="Hyperlink"/>
                <w:noProof/>
              </w:rPr>
              <w:t>Appendix 8 – Norovirus</w:t>
            </w:r>
            <w:r w:rsidR="001F39CB">
              <w:rPr>
                <w:noProof/>
                <w:webHidden/>
              </w:rPr>
              <w:tab/>
            </w:r>
            <w:r w:rsidR="001F39CB">
              <w:rPr>
                <w:noProof/>
                <w:webHidden/>
              </w:rPr>
              <w:fldChar w:fldCharType="begin"/>
            </w:r>
            <w:r w:rsidR="001F39CB">
              <w:rPr>
                <w:noProof/>
                <w:webHidden/>
              </w:rPr>
              <w:instrText xml:space="preserve"> PAGEREF _Toc87860119 \h </w:instrText>
            </w:r>
            <w:r w:rsidR="001F39CB">
              <w:rPr>
                <w:noProof/>
                <w:webHidden/>
              </w:rPr>
            </w:r>
            <w:r w:rsidR="001F39CB">
              <w:rPr>
                <w:noProof/>
                <w:webHidden/>
              </w:rPr>
              <w:fldChar w:fldCharType="separate"/>
            </w:r>
            <w:r w:rsidR="00A952A2">
              <w:rPr>
                <w:noProof/>
                <w:webHidden/>
              </w:rPr>
              <w:t>198</w:t>
            </w:r>
            <w:r w:rsidR="001F39CB">
              <w:rPr>
                <w:noProof/>
                <w:webHidden/>
              </w:rPr>
              <w:fldChar w:fldCharType="end"/>
            </w:r>
          </w:hyperlink>
        </w:p>
        <w:p w14:paraId="358FE290" w14:textId="0ADA4F86" w:rsidR="001F39CB" w:rsidRPr="001F39CB" w:rsidRDefault="00C97803" w:rsidP="001F39CB">
          <w:pPr>
            <w:pStyle w:val="TOC2"/>
            <w:tabs>
              <w:tab w:val="right" w:leader="dot" w:pos="9060"/>
            </w:tabs>
            <w:rPr>
              <w:rFonts w:eastAsiaTheme="minorEastAsia" w:cstheme="minorBidi"/>
              <w:smallCaps w:val="0"/>
              <w:noProof/>
              <w:sz w:val="22"/>
              <w:szCs w:val="22"/>
              <w:lang w:eastAsia="en-GB" w:bidi="ar-SA"/>
            </w:rPr>
          </w:pPr>
          <w:hyperlink w:anchor="_Toc87860131" w:history="1">
            <w:r w:rsidR="001F39CB" w:rsidRPr="00715739">
              <w:rPr>
                <w:rStyle w:val="Hyperlink"/>
                <w:noProof/>
              </w:rPr>
              <w:t xml:space="preserve">Appendix 9 – </w:t>
            </w:r>
            <w:r w:rsidR="001F39CB" w:rsidRPr="00715739">
              <w:rPr>
                <w:rStyle w:val="Hyperlink"/>
                <w:i/>
                <w:noProof/>
              </w:rPr>
              <w:t xml:space="preserve">Salmonella </w:t>
            </w:r>
            <w:r w:rsidR="001F39CB" w:rsidRPr="00715739">
              <w:rPr>
                <w:rStyle w:val="Hyperlink"/>
                <w:noProof/>
              </w:rPr>
              <w:t>spp.</w:t>
            </w:r>
            <w:r w:rsidR="001F39CB">
              <w:rPr>
                <w:noProof/>
                <w:webHidden/>
              </w:rPr>
              <w:tab/>
            </w:r>
            <w:r w:rsidR="001F39CB">
              <w:rPr>
                <w:noProof/>
                <w:webHidden/>
              </w:rPr>
              <w:fldChar w:fldCharType="begin"/>
            </w:r>
            <w:r w:rsidR="001F39CB">
              <w:rPr>
                <w:noProof/>
                <w:webHidden/>
              </w:rPr>
              <w:instrText xml:space="preserve"> PAGEREF _Toc87860131 \h </w:instrText>
            </w:r>
            <w:r w:rsidR="001F39CB">
              <w:rPr>
                <w:noProof/>
                <w:webHidden/>
              </w:rPr>
            </w:r>
            <w:r w:rsidR="001F39CB">
              <w:rPr>
                <w:noProof/>
                <w:webHidden/>
              </w:rPr>
              <w:fldChar w:fldCharType="separate"/>
            </w:r>
            <w:r w:rsidR="00A952A2">
              <w:rPr>
                <w:noProof/>
                <w:webHidden/>
              </w:rPr>
              <w:t>209</w:t>
            </w:r>
            <w:r w:rsidR="001F39CB">
              <w:rPr>
                <w:noProof/>
                <w:webHidden/>
              </w:rPr>
              <w:fldChar w:fldCharType="end"/>
            </w:r>
          </w:hyperlink>
        </w:p>
        <w:p w14:paraId="1F4ACAE5" w14:textId="75D6C5AB" w:rsidR="001F39CB" w:rsidRPr="001F39CB" w:rsidRDefault="00C97803" w:rsidP="001F39CB">
          <w:pPr>
            <w:pStyle w:val="TOC2"/>
            <w:tabs>
              <w:tab w:val="right" w:leader="dot" w:pos="9060"/>
            </w:tabs>
            <w:rPr>
              <w:rFonts w:eastAsiaTheme="minorEastAsia" w:cstheme="minorBidi"/>
              <w:smallCaps w:val="0"/>
              <w:noProof/>
              <w:sz w:val="22"/>
              <w:szCs w:val="22"/>
              <w:lang w:eastAsia="en-GB" w:bidi="ar-SA"/>
            </w:rPr>
          </w:pPr>
          <w:hyperlink w:anchor="_Toc87860142" w:history="1">
            <w:r w:rsidR="001F39CB" w:rsidRPr="00715739">
              <w:rPr>
                <w:rStyle w:val="Hyperlink"/>
                <w:noProof/>
              </w:rPr>
              <w:t>Appendix 10 – Shiga toxin-producing</w:t>
            </w:r>
            <w:r w:rsidR="001F39CB" w:rsidRPr="00715739">
              <w:rPr>
                <w:rStyle w:val="Hyperlink"/>
                <w:i/>
                <w:noProof/>
              </w:rPr>
              <w:t xml:space="preserve"> Escherichia coli</w:t>
            </w:r>
            <w:r w:rsidR="001F39CB" w:rsidRPr="00715739">
              <w:rPr>
                <w:rStyle w:val="Hyperlink"/>
                <w:noProof/>
              </w:rPr>
              <w:t xml:space="preserve"> (STEC)</w:t>
            </w:r>
            <w:r w:rsidR="001F39CB">
              <w:rPr>
                <w:noProof/>
                <w:webHidden/>
              </w:rPr>
              <w:tab/>
            </w:r>
            <w:r w:rsidR="001F39CB">
              <w:rPr>
                <w:noProof/>
                <w:webHidden/>
              </w:rPr>
              <w:fldChar w:fldCharType="begin"/>
            </w:r>
            <w:r w:rsidR="001F39CB">
              <w:rPr>
                <w:noProof/>
                <w:webHidden/>
              </w:rPr>
              <w:instrText xml:space="preserve"> PAGEREF _Toc87860142 \h </w:instrText>
            </w:r>
            <w:r w:rsidR="001F39CB">
              <w:rPr>
                <w:noProof/>
                <w:webHidden/>
              </w:rPr>
            </w:r>
            <w:r w:rsidR="001F39CB">
              <w:rPr>
                <w:noProof/>
                <w:webHidden/>
              </w:rPr>
              <w:fldChar w:fldCharType="separate"/>
            </w:r>
            <w:r w:rsidR="00A952A2">
              <w:rPr>
                <w:noProof/>
                <w:webHidden/>
              </w:rPr>
              <w:t>217</w:t>
            </w:r>
            <w:r w:rsidR="001F39CB">
              <w:rPr>
                <w:noProof/>
                <w:webHidden/>
              </w:rPr>
              <w:fldChar w:fldCharType="end"/>
            </w:r>
          </w:hyperlink>
        </w:p>
        <w:p w14:paraId="78D7EFCF" w14:textId="40443951" w:rsidR="001F39CB" w:rsidRPr="001F39CB" w:rsidRDefault="00C97803" w:rsidP="001F39CB">
          <w:pPr>
            <w:pStyle w:val="TOC2"/>
            <w:tabs>
              <w:tab w:val="right" w:leader="dot" w:pos="9060"/>
            </w:tabs>
            <w:rPr>
              <w:rFonts w:eastAsiaTheme="minorEastAsia" w:cstheme="minorBidi"/>
              <w:smallCaps w:val="0"/>
              <w:noProof/>
              <w:sz w:val="22"/>
              <w:szCs w:val="22"/>
              <w:lang w:eastAsia="en-GB" w:bidi="ar-SA"/>
            </w:rPr>
          </w:pPr>
          <w:hyperlink w:anchor="_Toc87860152" w:history="1">
            <w:r w:rsidR="001F39CB" w:rsidRPr="00715739">
              <w:rPr>
                <w:rStyle w:val="Hyperlink"/>
                <w:noProof/>
              </w:rPr>
              <w:t>Appendix 11 – Studies reporting the efficacy of commonly used water-based sanitisers for inactivating the in-scope hazards on the surface of in-scope commodities</w:t>
            </w:r>
            <w:r w:rsidR="001F39CB">
              <w:rPr>
                <w:noProof/>
                <w:webHidden/>
              </w:rPr>
              <w:tab/>
            </w:r>
            <w:r w:rsidR="001F39CB">
              <w:rPr>
                <w:noProof/>
                <w:webHidden/>
              </w:rPr>
              <w:fldChar w:fldCharType="begin"/>
            </w:r>
            <w:r w:rsidR="001F39CB">
              <w:rPr>
                <w:noProof/>
                <w:webHidden/>
              </w:rPr>
              <w:instrText xml:space="preserve"> PAGEREF _Toc87860152 \h </w:instrText>
            </w:r>
            <w:r w:rsidR="001F39CB">
              <w:rPr>
                <w:noProof/>
                <w:webHidden/>
              </w:rPr>
            </w:r>
            <w:r w:rsidR="001F39CB">
              <w:rPr>
                <w:noProof/>
                <w:webHidden/>
              </w:rPr>
              <w:fldChar w:fldCharType="separate"/>
            </w:r>
            <w:r w:rsidR="00A952A2">
              <w:rPr>
                <w:noProof/>
                <w:webHidden/>
              </w:rPr>
              <w:t>223</w:t>
            </w:r>
            <w:r w:rsidR="001F39CB">
              <w:rPr>
                <w:noProof/>
                <w:webHidden/>
              </w:rPr>
              <w:fldChar w:fldCharType="end"/>
            </w:r>
          </w:hyperlink>
        </w:p>
        <w:p w14:paraId="0F17DD93" w14:textId="05B1B19C" w:rsidR="001F39CB" w:rsidRDefault="00C97803">
          <w:pPr>
            <w:pStyle w:val="TOC2"/>
            <w:tabs>
              <w:tab w:val="right" w:leader="dot" w:pos="9060"/>
            </w:tabs>
            <w:rPr>
              <w:rFonts w:eastAsiaTheme="minorEastAsia" w:cstheme="minorBidi"/>
              <w:smallCaps w:val="0"/>
              <w:noProof/>
              <w:sz w:val="22"/>
              <w:szCs w:val="22"/>
              <w:lang w:eastAsia="en-GB" w:bidi="ar-SA"/>
            </w:rPr>
          </w:pPr>
          <w:hyperlink w:anchor="_Toc87860154" w:history="1">
            <w:r w:rsidR="001F39CB" w:rsidRPr="00715739">
              <w:rPr>
                <w:rStyle w:val="Hyperlink"/>
                <w:noProof/>
              </w:rPr>
              <w:t>Appendix 12 – Studies reporting the efficacy of hot water for removing in-scope hazards from rockmelons</w:t>
            </w:r>
            <w:r w:rsidR="001F39CB">
              <w:rPr>
                <w:noProof/>
                <w:webHidden/>
              </w:rPr>
              <w:tab/>
            </w:r>
            <w:r w:rsidR="001F39CB">
              <w:rPr>
                <w:noProof/>
                <w:webHidden/>
              </w:rPr>
              <w:fldChar w:fldCharType="begin"/>
            </w:r>
            <w:r w:rsidR="001F39CB">
              <w:rPr>
                <w:noProof/>
                <w:webHidden/>
              </w:rPr>
              <w:instrText xml:space="preserve"> PAGEREF _Toc87860154 \h </w:instrText>
            </w:r>
            <w:r w:rsidR="001F39CB">
              <w:rPr>
                <w:noProof/>
                <w:webHidden/>
              </w:rPr>
            </w:r>
            <w:r w:rsidR="001F39CB">
              <w:rPr>
                <w:noProof/>
                <w:webHidden/>
              </w:rPr>
              <w:fldChar w:fldCharType="separate"/>
            </w:r>
            <w:r w:rsidR="00A952A2">
              <w:rPr>
                <w:noProof/>
                <w:webHidden/>
              </w:rPr>
              <w:t>231</w:t>
            </w:r>
            <w:r w:rsidR="001F39CB">
              <w:rPr>
                <w:noProof/>
                <w:webHidden/>
              </w:rPr>
              <w:fldChar w:fldCharType="end"/>
            </w:r>
          </w:hyperlink>
        </w:p>
        <w:p w14:paraId="219C102B" w14:textId="34930F8C" w:rsidR="001F39CB" w:rsidRDefault="001F39CB">
          <w:pPr>
            <w:pStyle w:val="TOC3"/>
            <w:tabs>
              <w:tab w:val="right" w:leader="dot" w:pos="9060"/>
            </w:tabs>
            <w:rPr>
              <w:rFonts w:eastAsiaTheme="minorEastAsia" w:cstheme="minorBidi"/>
              <w:i w:val="0"/>
              <w:iCs w:val="0"/>
              <w:noProof/>
              <w:sz w:val="22"/>
              <w:szCs w:val="22"/>
              <w:lang w:eastAsia="en-GB" w:bidi="ar-SA"/>
            </w:rPr>
          </w:pPr>
        </w:p>
        <w:p w14:paraId="1F3B1165" w14:textId="0EBBB41E" w:rsidR="00837C34" w:rsidRDefault="00837C34">
          <w:r>
            <w:rPr>
              <w:b/>
              <w:bCs/>
              <w:noProof/>
            </w:rPr>
            <w:fldChar w:fldCharType="end"/>
          </w:r>
        </w:p>
      </w:sdtContent>
    </w:sdt>
    <w:p w14:paraId="3A940036" w14:textId="77777777" w:rsidR="0065393A" w:rsidRDefault="0065393A" w:rsidP="0065393A">
      <w:pPr>
        <w:pStyle w:val="Heading1"/>
        <w:ind w:right="454"/>
      </w:pPr>
      <w:bookmarkStart w:id="7" w:name="_Toc45275318"/>
      <w:bookmarkStart w:id="8" w:name="_Toc56693398"/>
      <w:bookmarkStart w:id="9" w:name="_Toc58327750"/>
      <w:bookmarkStart w:id="10" w:name="_Toc58333930"/>
      <w:bookmarkStart w:id="11" w:name="_Toc64448738"/>
    </w:p>
    <w:p w14:paraId="50212243" w14:textId="77777777" w:rsidR="0065393A" w:rsidRDefault="0065393A" w:rsidP="0065393A">
      <w:pPr>
        <w:rPr>
          <w:sz w:val="36"/>
          <w:szCs w:val="28"/>
          <w:lang w:bidi="ar-SA"/>
        </w:rPr>
      </w:pPr>
      <w:r>
        <w:br w:type="page"/>
      </w:r>
    </w:p>
    <w:p w14:paraId="01FEB806" w14:textId="4000CDFF" w:rsidR="00936AB5" w:rsidRDefault="00936AB5" w:rsidP="00FB04CE">
      <w:pPr>
        <w:pStyle w:val="Heading1"/>
        <w:numPr>
          <w:ilvl w:val="0"/>
          <w:numId w:val="6"/>
        </w:numPr>
        <w:ind w:right="454"/>
      </w:pPr>
      <w:bookmarkStart w:id="12" w:name="_Toc87859999"/>
      <w:r>
        <w:t>Introduction</w:t>
      </w:r>
      <w:bookmarkEnd w:id="7"/>
      <w:bookmarkEnd w:id="8"/>
      <w:bookmarkEnd w:id="9"/>
      <w:bookmarkEnd w:id="10"/>
      <w:bookmarkEnd w:id="11"/>
      <w:bookmarkEnd w:id="12"/>
    </w:p>
    <w:p w14:paraId="23E66239" w14:textId="77777777" w:rsidR="00936AB5" w:rsidRDefault="00936AB5" w:rsidP="00936AB5">
      <w:r w:rsidRPr="00407881">
        <w:t>Fresh fruit and vegetables are important components of a healthy diet</w:t>
      </w:r>
      <w:r>
        <w:t>,</w:t>
      </w:r>
      <w:r w:rsidRPr="00407881">
        <w:t xml:space="preserve"> and horticultural produce in Australia is considered safe and </w:t>
      </w:r>
      <w:r>
        <w:t>nutritious</w:t>
      </w:r>
      <w:r w:rsidRPr="00407881">
        <w:t>. However, outbreaks of foodborne illness continue to be associated with the consumption of horticultural products both in Australia and internationally.</w:t>
      </w:r>
    </w:p>
    <w:p w14:paraId="5852E658" w14:textId="77777777" w:rsidR="00936AB5" w:rsidRDefault="00936AB5" w:rsidP="00936AB5"/>
    <w:p w14:paraId="7F5BB34E" w14:textId="77777777" w:rsidR="00936AB5" w:rsidRDefault="00936AB5" w:rsidP="00936AB5">
      <w:r>
        <w:t xml:space="preserve">FSANZ has previously undertaken work regarding the primary production and processing of horticulture as part of </w:t>
      </w:r>
      <w:r w:rsidRPr="00783139">
        <w:rPr>
          <w:lang w:bidi="ar-SA"/>
        </w:rPr>
        <w:t>Proposal P1015</w:t>
      </w:r>
      <w:r>
        <w:rPr>
          <w:rStyle w:val="FootnoteReference"/>
          <w:lang w:bidi="ar-SA"/>
        </w:rPr>
        <w:footnoteReference w:id="2"/>
      </w:r>
      <w:r w:rsidRPr="00783139">
        <w:rPr>
          <w:lang w:bidi="ar-SA"/>
        </w:rPr>
        <w:t xml:space="preserve"> </w:t>
      </w:r>
      <w:r w:rsidRPr="00783139">
        <w:rPr>
          <w:lang w:eastAsia="en-AU" w:bidi="ar-SA"/>
        </w:rPr>
        <w:t>(</w:t>
      </w:r>
      <w:r w:rsidRPr="00783139">
        <w:rPr>
          <w:i/>
          <w:lang w:eastAsia="en-AU" w:bidi="ar-SA"/>
        </w:rPr>
        <w:t>Primary</w:t>
      </w:r>
      <w:r w:rsidRPr="00E02EE9">
        <w:rPr>
          <w:i/>
          <w:lang w:eastAsia="en-AU" w:bidi="ar-SA"/>
        </w:rPr>
        <w:t xml:space="preserve"> Production &amp; Processing Standard for Horticulture</w:t>
      </w:r>
      <w:r w:rsidRPr="00E02EE9">
        <w:rPr>
          <w:lang w:eastAsia="en-AU" w:bidi="ar-SA"/>
        </w:rPr>
        <w:t>)</w:t>
      </w:r>
      <w:r>
        <w:rPr>
          <w:lang w:eastAsia="en-AU" w:bidi="ar-SA"/>
        </w:rPr>
        <w:t>. This Proposal was abandoned in 2014 in favour of non-regulatory measures.</w:t>
      </w:r>
    </w:p>
    <w:p w14:paraId="7BFAA268" w14:textId="77777777" w:rsidR="00936AB5" w:rsidRDefault="00936AB5" w:rsidP="00936AB5"/>
    <w:p w14:paraId="6F97C500" w14:textId="457250E1" w:rsidR="00936AB5" w:rsidRPr="00407881" w:rsidRDefault="00936AB5" w:rsidP="00E5657D">
      <w:pPr>
        <w:spacing w:after="120"/>
        <w:rPr>
          <w:lang w:bidi="ar-SA"/>
        </w:rPr>
      </w:pPr>
      <w:r>
        <w:t>However, in response to more recent outbreaks</w:t>
      </w:r>
      <w:r w:rsidRPr="00407881">
        <w:t xml:space="preserve">, </w:t>
      </w:r>
      <w:r w:rsidRPr="00407881">
        <w:rPr>
          <w:lang w:bidi="ar-SA"/>
        </w:rPr>
        <w:t xml:space="preserve">the Australia and New Zealand Ministerial Forum on Food Regulation (the Forum) </w:t>
      </w:r>
      <w:r>
        <w:rPr>
          <w:lang w:bidi="ar-SA"/>
        </w:rPr>
        <w:t xml:space="preserve">has since </w:t>
      </w:r>
      <w:r w:rsidRPr="00407881">
        <w:rPr>
          <w:lang w:bidi="ar-SA"/>
        </w:rPr>
        <w:t>agreed that there is a need to reassess the food safety risk management of five horticultu</w:t>
      </w:r>
      <w:r w:rsidR="00E5657D">
        <w:rPr>
          <w:lang w:bidi="ar-SA"/>
        </w:rPr>
        <w:t>re commodity sectors including:</w:t>
      </w:r>
    </w:p>
    <w:p w14:paraId="2C6D91E1" w14:textId="77777777" w:rsidR="00936AB5" w:rsidRPr="00407881" w:rsidRDefault="00936AB5" w:rsidP="00E5657D">
      <w:pPr>
        <w:pStyle w:val="ListParagraph"/>
        <w:numPr>
          <w:ilvl w:val="0"/>
          <w:numId w:val="48"/>
        </w:numPr>
      </w:pPr>
      <w:r>
        <w:t>L</w:t>
      </w:r>
      <w:r w:rsidRPr="00407881">
        <w:t>eafy green vegetables</w:t>
      </w:r>
    </w:p>
    <w:p w14:paraId="02822867" w14:textId="77777777" w:rsidR="00936AB5" w:rsidRPr="00407881" w:rsidRDefault="00936AB5" w:rsidP="00E5657D">
      <w:pPr>
        <w:pStyle w:val="ListParagraph"/>
        <w:numPr>
          <w:ilvl w:val="0"/>
          <w:numId w:val="48"/>
        </w:numPr>
      </w:pPr>
      <w:r>
        <w:t>B</w:t>
      </w:r>
      <w:r w:rsidRPr="00407881">
        <w:t>erries</w:t>
      </w:r>
    </w:p>
    <w:p w14:paraId="5654ABB8" w14:textId="77777777" w:rsidR="00936AB5" w:rsidRPr="00407881" w:rsidRDefault="00936AB5" w:rsidP="00E5657D">
      <w:pPr>
        <w:pStyle w:val="ListParagraph"/>
        <w:numPr>
          <w:ilvl w:val="0"/>
          <w:numId w:val="48"/>
        </w:numPr>
      </w:pPr>
      <w:r>
        <w:t>M</w:t>
      </w:r>
      <w:r w:rsidRPr="00407881">
        <w:t>elons</w:t>
      </w:r>
    </w:p>
    <w:p w14:paraId="094C8372" w14:textId="77777777" w:rsidR="00936AB5" w:rsidRPr="00407881" w:rsidRDefault="00936AB5" w:rsidP="00E5657D">
      <w:pPr>
        <w:pStyle w:val="ListParagraph"/>
        <w:numPr>
          <w:ilvl w:val="0"/>
          <w:numId w:val="48"/>
        </w:numPr>
      </w:pPr>
      <w:r>
        <w:t>R</w:t>
      </w:r>
      <w:r w:rsidRPr="00407881">
        <w:t>eady</w:t>
      </w:r>
      <w:r>
        <w:t>-</w:t>
      </w:r>
      <w:r w:rsidRPr="00407881">
        <w:t>to</w:t>
      </w:r>
      <w:r>
        <w:t>-</w:t>
      </w:r>
      <w:r w:rsidRPr="00407881">
        <w:t>eat, minimally processed fruits and vegetables</w:t>
      </w:r>
    </w:p>
    <w:p w14:paraId="575B6F79" w14:textId="77777777" w:rsidR="00936AB5" w:rsidRDefault="00936AB5" w:rsidP="00E5657D">
      <w:pPr>
        <w:pStyle w:val="ListParagraph"/>
        <w:numPr>
          <w:ilvl w:val="0"/>
          <w:numId w:val="48"/>
        </w:numPr>
      </w:pPr>
      <w:r>
        <w:t>S</w:t>
      </w:r>
      <w:r w:rsidRPr="00407881">
        <w:t>prouts</w:t>
      </w:r>
      <w:r>
        <w:t>.</w:t>
      </w:r>
    </w:p>
    <w:p w14:paraId="69D06499" w14:textId="77777777" w:rsidR="00936AB5" w:rsidRPr="00407881" w:rsidRDefault="00936AB5" w:rsidP="00936AB5">
      <w:pPr>
        <w:rPr>
          <w:lang w:bidi="ar-SA"/>
        </w:rPr>
      </w:pPr>
    </w:p>
    <w:p w14:paraId="54CD653A" w14:textId="6898DCBE" w:rsidR="00936AB5" w:rsidRPr="00407881" w:rsidRDefault="00936AB5" w:rsidP="00E5657D">
      <w:pPr>
        <w:spacing w:after="120"/>
        <w:rPr>
          <w:lang w:bidi="ar-SA"/>
        </w:rPr>
      </w:pPr>
      <w:r w:rsidRPr="00407881">
        <w:rPr>
          <w:lang w:bidi="ar-SA"/>
        </w:rPr>
        <w:t xml:space="preserve">The commodities represent those with commodity-specific annexes in the Codex Alimentarius Commission (Codex) </w:t>
      </w:r>
      <w:r w:rsidRPr="00407881">
        <w:rPr>
          <w:i/>
          <w:lang w:bidi="ar-SA"/>
        </w:rPr>
        <w:t>Code of Hygienic Practice for Fresh Fruits and Vegetables</w:t>
      </w:r>
      <w:r w:rsidRPr="00407881">
        <w:rPr>
          <w:lang w:bidi="ar-SA"/>
        </w:rPr>
        <w:t xml:space="preserve"> </w:t>
      </w:r>
      <w:r w:rsidR="00657FDB">
        <w:rPr>
          <w:lang w:bidi="ar-SA"/>
        </w:rPr>
        <w:t>(Codex 2017)</w:t>
      </w:r>
      <w:r w:rsidRPr="00407881">
        <w:rPr>
          <w:lang w:bidi="ar-SA"/>
        </w:rPr>
        <w:t xml:space="preserve">. In 2006, Codex requested the Food and Agriculture Organization of the United Nations (FAO) and the World Health Organization (WHO) provide scientific advice to support the development of the commodity-specific annexes, and in 2007 the </w:t>
      </w:r>
      <w:r w:rsidRPr="00407881">
        <w:t>FAO and WHO ranked leafy vegetables and herbs as Priority 1 commodities, and berries, green onions, melons, sprouted seeds and tomatoes as Priority 2 commodities based on the following criteria:</w:t>
      </w:r>
    </w:p>
    <w:p w14:paraId="66B15096" w14:textId="77777777" w:rsidR="00936AB5" w:rsidRPr="00407881" w:rsidRDefault="00936AB5" w:rsidP="00E5657D">
      <w:pPr>
        <w:pStyle w:val="ListParagraph"/>
        <w:numPr>
          <w:ilvl w:val="0"/>
          <w:numId w:val="49"/>
        </w:numPr>
      </w:pPr>
      <w:bookmarkStart w:id="13" w:name="OLE_LINK1"/>
      <w:r w:rsidRPr="00407881">
        <w:t>Frequency and severity of disease</w:t>
      </w:r>
    </w:p>
    <w:p w14:paraId="3B6D879F" w14:textId="77777777" w:rsidR="00936AB5" w:rsidRPr="00407881" w:rsidRDefault="00936AB5" w:rsidP="00E5657D">
      <w:pPr>
        <w:pStyle w:val="ListParagraph"/>
        <w:numPr>
          <w:ilvl w:val="0"/>
          <w:numId w:val="49"/>
        </w:numPr>
      </w:pPr>
      <w:r w:rsidRPr="00407881">
        <w:t>Size and scope of production</w:t>
      </w:r>
    </w:p>
    <w:p w14:paraId="73F8C5A3" w14:textId="77777777" w:rsidR="00936AB5" w:rsidRPr="00407881" w:rsidRDefault="00936AB5" w:rsidP="00E5657D">
      <w:pPr>
        <w:pStyle w:val="ListParagraph"/>
        <w:numPr>
          <w:ilvl w:val="0"/>
          <w:numId w:val="49"/>
        </w:numPr>
      </w:pPr>
      <w:r w:rsidRPr="00407881">
        <w:t>Diversity and complexity of the production chain/industry</w:t>
      </w:r>
    </w:p>
    <w:p w14:paraId="29C2E71E" w14:textId="77777777" w:rsidR="00936AB5" w:rsidRPr="00407881" w:rsidRDefault="00936AB5" w:rsidP="00E5657D">
      <w:pPr>
        <w:pStyle w:val="ListParagraph"/>
        <w:numPr>
          <w:ilvl w:val="0"/>
          <w:numId w:val="49"/>
        </w:numPr>
      </w:pPr>
      <w:r w:rsidRPr="00407881">
        <w:t>Potential for amplification of foodborne pathogens through the food chain</w:t>
      </w:r>
    </w:p>
    <w:p w14:paraId="352928C4" w14:textId="77777777" w:rsidR="00936AB5" w:rsidRPr="00407881" w:rsidRDefault="00936AB5" w:rsidP="00E5657D">
      <w:pPr>
        <w:pStyle w:val="ListParagraph"/>
        <w:numPr>
          <w:ilvl w:val="0"/>
          <w:numId w:val="49"/>
        </w:numPr>
      </w:pPr>
      <w:r w:rsidRPr="00407881">
        <w:t>Potential for control</w:t>
      </w:r>
    </w:p>
    <w:p w14:paraId="070DA9E5" w14:textId="77777777" w:rsidR="00936AB5" w:rsidRPr="00652ACC" w:rsidRDefault="00936AB5" w:rsidP="00E5657D">
      <w:pPr>
        <w:pStyle w:val="ListParagraph"/>
        <w:numPr>
          <w:ilvl w:val="0"/>
          <w:numId w:val="49"/>
        </w:numPr>
      </w:pPr>
      <w:r w:rsidRPr="00407881">
        <w:t xml:space="preserve">Extent of </w:t>
      </w:r>
      <w:r w:rsidRPr="00652ACC">
        <w:t>international trade and economic impact.</w:t>
      </w:r>
    </w:p>
    <w:bookmarkEnd w:id="13"/>
    <w:p w14:paraId="323B5CA1" w14:textId="77777777" w:rsidR="00936AB5" w:rsidRPr="00652ACC" w:rsidRDefault="00936AB5" w:rsidP="00936AB5"/>
    <w:p w14:paraId="2A5D6D4C" w14:textId="77777777" w:rsidR="00936AB5" w:rsidRPr="00407881" w:rsidRDefault="00936AB5" w:rsidP="00936AB5">
      <w:r w:rsidRPr="00652ACC">
        <w:t xml:space="preserve">The Codex </w:t>
      </w:r>
      <w:r w:rsidRPr="00652ACC">
        <w:rPr>
          <w:i/>
        </w:rPr>
        <w:t>Code of</w:t>
      </w:r>
      <w:r w:rsidRPr="00407881">
        <w:rPr>
          <w:i/>
        </w:rPr>
        <w:t xml:space="preserve"> </w:t>
      </w:r>
      <w:r w:rsidRPr="00407881">
        <w:rPr>
          <w:i/>
          <w:szCs w:val="22"/>
        </w:rPr>
        <w:t>Hygienic Practice for Fresh Fruits and Vegetables</w:t>
      </w:r>
      <w:r w:rsidRPr="00407881">
        <w:rPr>
          <w:szCs w:val="22"/>
        </w:rPr>
        <w:t xml:space="preserve"> addresses Good Agricultural Practices (GAPs) and Good Hygienic Practices (GHPs) that help control microbial, chemical and physical hazards associated with all stages of the production of fresh fruits and vegetables, from primary production to consumption. The </w:t>
      </w:r>
      <w:r>
        <w:t>commodity specific a</w:t>
      </w:r>
      <w:r w:rsidRPr="00407881">
        <w:t xml:space="preserve">nnexes include additional recommendations to cover hygienic practices specific to these </w:t>
      </w:r>
      <w:r>
        <w:t xml:space="preserve">high priority </w:t>
      </w:r>
      <w:r w:rsidRPr="00407881">
        <w:t>commodities.</w:t>
      </w:r>
    </w:p>
    <w:p w14:paraId="5D36CA29" w14:textId="77777777" w:rsidR="00936AB5" w:rsidRPr="008708DF" w:rsidRDefault="00936AB5" w:rsidP="00936AB5">
      <w:pPr>
        <w:rPr>
          <w:color w:val="4F6228" w:themeColor="accent3" w:themeShade="80"/>
        </w:rPr>
      </w:pPr>
    </w:p>
    <w:p w14:paraId="19F660A9" w14:textId="77777777" w:rsidR="00936AB5" w:rsidRDefault="00936AB5" w:rsidP="00936AB5">
      <w:pPr>
        <w:rPr>
          <w:lang w:bidi="ar-SA"/>
        </w:rPr>
      </w:pPr>
      <w:r w:rsidRPr="006851B3">
        <w:rPr>
          <w:lang w:bidi="ar-SA"/>
        </w:rPr>
        <w:t xml:space="preserve">In June 2018 the Forum Ministers requested that FSANZ reassess </w:t>
      </w:r>
      <w:r w:rsidRPr="006851B3">
        <w:t xml:space="preserve">the need to amend the </w:t>
      </w:r>
      <w:r w:rsidRPr="006851B3">
        <w:rPr>
          <w:lang w:bidi="ar-SA"/>
        </w:rPr>
        <w:t>Australia New Zealand Food Standards Code (the Code)</w:t>
      </w:r>
      <w:r w:rsidRPr="006851B3">
        <w:t xml:space="preserve"> to enact a primary production and processing standard to manage food safety for these commodities.</w:t>
      </w:r>
    </w:p>
    <w:p w14:paraId="1BE6FE1A" w14:textId="77777777" w:rsidR="00936AB5" w:rsidRPr="006851B3" w:rsidRDefault="00936AB5" w:rsidP="00936AB5">
      <w:pPr>
        <w:rPr>
          <w:rFonts w:cs="Arial"/>
          <w:lang w:bidi="ar-SA"/>
        </w:rPr>
      </w:pPr>
    </w:p>
    <w:p w14:paraId="439F683A" w14:textId="77777777" w:rsidR="005D0B92" w:rsidRDefault="005D0B92">
      <w:pPr>
        <w:widowControl/>
        <w:rPr>
          <w:rFonts w:cs="Arial"/>
          <w:lang w:bidi="ar-SA"/>
        </w:rPr>
      </w:pPr>
      <w:r>
        <w:rPr>
          <w:rFonts w:cs="Arial"/>
          <w:lang w:bidi="ar-SA"/>
        </w:rPr>
        <w:br w:type="page"/>
      </w:r>
    </w:p>
    <w:p w14:paraId="07AEE299" w14:textId="4406600B" w:rsidR="00936AB5" w:rsidRPr="006851B3" w:rsidRDefault="00936AB5" w:rsidP="00E5657D">
      <w:pPr>
        <w:spacing w:after="120"/>
        <w:rPr>
          <w:rFonts w:cs="Arial"/>
          <w:lang w:bidi="ar-SA"/>
        </w:rPr>
      </w:pPr>
      <w:r>
        <w:rPr>
          <w:rFonts w:cs="Arial"/>
          <w:lang w:bidi="ar-SA"/>
        </w:rPr>
        <w:t>T</w:t>
      </w:r>
      <w:r w:rsidRPr="006851B3">
        <w:rPr>
          <w:rFonts w:cs="Arial"/>
          <w:lang w:bidi="ar-SA"/>
        </w:rPr>
        <w:t xml:space="preserve">he scope of this assessment </w:t>
      </w:r>
      <w:r>
        <w:rPr>
          <w:rFonts w:cs="Arial"/>
          <w:lang w:bidi="ar-SA"/>
        </w:rPr>
        <w:t>has however been</w:t>
      </w:r>
      <w:r w:rsidRPr="006851B3">
        <w:rPr>
          <w:rFonts w:cs="Arial"/>
          <w:lang w:bidi="ar-SA"/>
        </w:rPr>
        <w:t xml:space="preserve"> limited to three of the five identified commodity sectors; namely leafy vegetables, berries and</w:t>
      </w:r>
      <w:r w:rsidRPr="00C13E1A">
        <w:rPr>
          <w:rFonts w:cs="Arial"/>
          <w:lang w:bidi="ar-SA"/>
        </w:rPr>
        <w:t xml:space="preserve"> </w:t>
      </w:r>
      <w:r w:rsidRPr="006851B3">
        <w:rPr>
          <w:rFonts w:cs="Arial"/>
          <w:lang w:bidi="ar-SA"/>
        </w:rPr>
        <w:t>melons, since:</w:t>
      </w:r>
    </w:p>
    <w:p w14:paraId="5B37AF11" w14:textId="77777777" w:rsidR="00936AB5" w:rsidRPr="006851B3" w:rsidRDefault="00936AB5" w:rsidP="00E5657D">
      <w:pPr>
        <w:pStyle w:val="ListParagraph"/>
        <w:numPr>
          <w:ilvl w:val="0"/>
          <w:numId w:val="50"/>
        </w:numPr>
        <w:spacing w:after="120"/>
        <w:rPr>
          <w:rFonts w:cs="Times New Roman"/>
          <w:lang w:bidi="en-US"/>
        </w:rPr>
      </w:pPr>
      <w:r>
        <w:t>R</w:t>
      </w:r>
      <w:r w:rsidRPr="006851B3">
        <w:t>eady-to-eat minimally processed fruits and vegetables are covered by current food safety requirements in Chapter 3 of the Code</w:t>
      </w:r>
      <w:r>
        <w:t>; and</w:t>
      </w:r>
    </w:p>
    <w:p w14:paraId="024414D1" w14:textId="77777777" w:rsidR="00936AB5" w:rsidRPr="005D0B92" w:rsidRDefault="00936AB5" w:rsidP="00E5657D">
      <w:pPr>
        <w:pStyle w:val="ListParagraph"/>
        <w:numPr>
          <w:ilvl w:val="0"/>
          <w:numId w:val="50"/>
        </w:numPr>
      </w:pPr>
      <w:r w:rsidRPr="005D0B92">
        <w:t xml:space="preserve">The production and processing of seed sprouts is covered by Standard 4.2.6 </w:t>
      </w:r>
      <w:r w:rsidRPr="005D0B92">
        <w:rPr>
          <w:i/>
        </w:rPr>
        <w:t>Primary Production and Processing Standard for Seed Sprouts</w:t>
      </w:r>
      <w:r w:rsidRPr="005D0B92">
        <w:t>.</w:t>
      </w:r>
    </w:p>
    <w:p w14:paraId="08DF5026" w14:textId="77777777" w:rsidR="00936AB5" w:rsidRPr="005D0B92" w:rsidRDefault="00936AB5" w:rsidP="00936AB5"/>
    <w:p w14:paraId="7A127A73" w14:textId="77777777" w:rsidR="00936AB5" w:rsidRPr="005D0B92" w:rsidRDefault="00936AB5" w:rsidP="00936AB5">
      <w:pPr>
        <w:rPr>
          <w:szCs w:val="22"/>
        </w:rPr>
      </w:pPr>
      <w:r w:rsidRPr="005D0B92">
        <w:t>The primary objective of FSANZ when developing or reviewing food standards is '</w:t>
      </w:r>
      <w:r w:rsidRPr="005D0B92">
        <w:rPr>
          <w:i/>
        </w:rPr>
        <w:t>the protection of public health and safety</w:t>
      </w:r>
      <w:r w:rsidRPr="005D0B92">
        <w:t>’. FSANZ is also required to have regard to ‘</w:t>
      </w:r>
      <w:r w:rsidRPr="005D0B92">
        <w:rPr>
          <w:i/>
          <w:szCs w:val="22"/>
        </w:rPr>
        <w:t>the need for standards to be based on risk analysis using the best available scientific evidence</w:t>
      </w:r>
      <w:r w:rsidRPr="005D0B92">
        <w:rPr>
          <w:szCs w:val="22"/>
        </w:rPr>
        <w:t>’. The development and application of a Primary Production and Processing Standard for fresh horticultural produce is dependent on an analysis of the public health and safety risks, economic and social factors and current regulatory measures and industry practices.</w:t>
      </w:r>
    </w:p>
    <w:p w14:paraId="31F08AE6" w14:textId="77777777" w:rsidR="00936AB5" w:rsidRPr="005D0B92" w:rsidRDefault="00936AB5" w:rsidP="00936AB5">
      <w:pPr>
        <w:rPr>
          <w:szCs w:val="22"/>
        </w:rPr>
      </w:pPr>
    </w:p>
    <w:p w14:paraId="740D714B" w14:textId="77777777" w:rsidR="00936AB5" w:rsidRDefault="00936AB5" w:rsidP="00936AB5">
      <w:pPr>
        <w:rPr>
          <w:szCs w:val="22"/>
        </w:rPr>
      </w:pPr>
      <w:r w:rsidRPr="005D0B92">
        <w:rPr>
          <w:szCs w:val="22"/>
        </w:rPr>
        <w:t xml:space="preserve">FSANZ uses a number of methodologies to assess public health and safety risks, including </w:t>
      </w:r>
      <w:r w:rsidRPr="006851B3">
        <w:rPr>
          <w:szCs w:val="22"/>
        </w:rPr>
        <w:t>risk profiling, quantitative and qualitative assessments and scientific evaluations. The methodology utilised depends on the purpose of the assessment and on the availability, quality and quantity of relevant data.</w:t>
      </w:r>
    </w:p>
    <w:p w14:paraId="42C03EFC" w14:textId="77777777" w:rsidR="00936AB5" w:rsidRPr="006851B3" w:rsidRDefault="00936AB5" w:rsidP="00936AB5">
      <w:pPr>
        <w:rPr>
          <w:szCs w:val="22"/>
        </w:rPr>
      </w:pPr>
    </w:p>
    <w:p w14:paraId="643D2362" w14:textId="77777777" w:rsidR="00936AB5" w:rsidRDefault="00936AB5" w:rsidP="00936AB5">
      <w:r w:rsidRPr="006851B3">
        <w:t xml:space="preserve">The microbiological assessment for this Proposal involved a qualitative through-chain analysis of selected </w:t>
      </w:r>
      <w:r>
        <w:t xml:space="preserve">high priority </w:t>
      </w:r>
      <w:r w:rsidRPr="006851B3">
        <w:t xml:space="preserve">horticultural commodity sectors. </w:t>
      </w:r>
      <w:r>
        <w:t xml:space="preserve">When considering the overall necessity for a </w:t>
      </w:r>
      <w:r w:rsidRPr="006851B3">
        <w:rPr>
          <w:szCs w:val="22"/>
        </w:rPr>
        <w:t>Primary Production and Processing Standard</w:t>
      </w:r>
      <w:r>
        <w:rPr>
          <w:szCs w:val="22"/>
        </w:rPr>
        <w:t>,</w:t>
      </w:r>
      <w:r w:rsidRPr="006851B3">
        <w:rPr>
          <w:szCs w:val="22"/>
        </w:rPr>
        <w:t xml:space="preserve"> </w:t>
      </w:r>
      <w:r>
        <w:t>the outcomes of this assessment will be considered by risk managers together with outcomes from the assessment of economic</w:t>
      </w:r>
      <w:r>
        <w:rPr>
          <w:szCs w:val="22"/>
        </w:rPr>
        <w:t xml:space="preserve"> and social factors and current regulatory measures.</w:t>
      </w:r>
    </w:p>
    <w:p w14:paraId="5D9D4488" w14:textId="77777777" w:rsidR="00936AB5" w:rsidRDefault="00936AB5" w:rsidP="00936AB5"/>
    <w:p w14:paraId="35848FEC" w14:textId="77777777" w:rsidR="00FB04CE" w:rsidRDefault="00936AB5" w:rsidP="00FB04CE">
      <w:pPr>
        <w:pStyle w:val="Heading1"/>
        <w:numPr>
          <w:ilvl w:val="0"/>
          <w:numId w:val="6"/>
        </w:numPr>
        <w:ind w:right="454"/>
      </w:pPr>
      <w:r>
        <w:br w:type="page"/>
      </w:r>
      <w:bookmarkStart w:id="14" w:name="_Toc87860000"/>
      <w:r w:rsidR="00FB04CE">
        <w:t>Objective of the assessment, risk assessment questions, scope, and approach</w:t>
      </w:r>
      <w:bookmarkEnd w:id="14"/>
    </w:p>
    <w:p w14:paraId="55FEBCA2" w14:textId="77777777" w:rsidR="00FB04CE" w:rsidRPr="000D7CCC" w:rsidRDefault="00FB04CE" w:rsidP="00FB04CE">
      <w:pPr>
        <w:pStyle w:val="Heading2"/>
        <w:numPr>
          <w:ilvl w:val="1"/>
          <w:numId w:val="11"/>
        </w:numPr>
      </w:pPr>
      <w:bookmarkStart w:id="15" w:name="_Toc87860001"/>
      <w:r>
        <w:t>Objective</w:t>
      </w:r>
      <w:bookmarkEnd w:id="15"/>
    </w:p>
    <w:p w14:paraId="22C5512A" w14:textId="14D8A355" w:rsidR="00FB04CE" w:rsidRDefault="00FB04CE" w:rsidP="00FB04CE">
      <w:r>
        <w:t>The objective of the assessment</w:t>
      </w:r>
      <w:r w:rsidRPr="005210BE">
        <w:t xml:space="preserve"> </w:t>
      </w:r>
      <w:r>
        <w:t xml:space="preserve">was </w:t>
      </w:r>
      <w:r w:rsidRPr="005210BE">
        <w:t>to identify and summarise the pathways of contamination, persistence, survival, and amplification of hazards throughout the primary production chain</w:t>
      </w:r>
      <w:r>
        <w:t xml:space="preserve"> for leafy vegetables, berries and melons</w:t>
      </w:r>
      <w:r w:rsidRPr="005210BE">
        <w:t>. The</w:t>
      </w:r>
      <w:r>
        <w:t xml:space="preserve"> assessment </w:t>
      </w:r>
      <w:r w:rsidRPr="005210BE">
        <w:t>also aimed to identify measure/controls that may</w:t>
      </w:r>
      <w:r>
        <w:t xml:space="preserve"> minimise contamination of these commodities</w:t>
      </w:r>
      <w:r w:rsidRPr="005210BE">
        <w:t>.</w:t>
      </w:r>
    </w:p>
    <w:p w14:paraId="06C77D6C" w14:textId="77777777" w:rsidR="00FB04CE" w:rsidRDefault="00FB04CE" w:rsidP="00FB04CE"/>
    <w:p w14:paraId="2E233E73" w14:textId="77777777" w:rsidR="00FB04CE" w:rsidRPr="000D7CCC" w:rsidRDefault="00FB04CE" w:rsidP="00FB04CE">
      <w:pPr>
        <w:pStyle w:val="Heading2"/>
        <w:numPr>
          <w:ilvl w:val="1"/>
          <w:numId w:val="11"/>
        </w:numPr>
      </w:pPr>
      <w:bookmarkStart w:id="16" w:name="_Toc87860002"/>
      <w:r w:rsidRPr="000D7CCC">
        <w:t>Risk assessment questions</w:t>
      </w:r>
      <w:bookmarkEnd w:id="16"/>
    </w:p>
    <w:p w14:paraId="191F8DAF" w14:textId="65A99C65" w:rsidR="00FB04CE" w:rsidRPr="000D7CCC" w:rsidRDefault="00FB04CE" w:rsidP="00FB04CE">
      <w:r w:rsidRPr="000D7CCC">
        <w:t>The risk assessment questions</w:t>
      </w:r>
      <w:r>
        <w:t xml:space="preserve"> </w:t>
      </w:r>
      <w:r w:rsidRPr="000D7CCC">
        <w:t>outlined below were addressed during this assessment:</w:t>
      </w:r>
    </w:p>
    <w:p w14:paraId="6A8B261F" w14:textId="77777777" w:rsidR="00FB04CE" w:rsidRPr="000D7CCC" w:rsidRDefault="00FB04CE" w:rsidP="00FB04CE"/>
    <w:p w14:paraId="77427243" w14:textId="77777777" w:rsidR="00FB04CE" w:rsidRDefault="00FB04CE" w:rsidP="00FB04CE">
      <w:pPr>
        <w:ind w:left="567"/>
      </w:pPr>
      <w:r>
        <w:t xml:space="preserve">Q1. </w:t>
      </w:r>
      <w:r w:rsidRPr="000D7CCC">
        <w:t>What are the key risk factors associated with the primary production and processing of fresh ready-to-eat horticulture products that apply broadly to the sector?</w:t>
      </w:r>
    </w:p>
    <w:p w14:paraId="4B266FF9" w14:textId="77777777" w:rsidR="00FB04CE" w:rsidRPr="000D7CCC" w:rsidRDefault="00FB04CE" w:rsidP="00FB04CE">
      <w:pPr>
        <w:ind w:left="1080"/>
      </w:pPr>
      <w:r>
        <w:t xml:space="preserve">Q1a. </w:t>
      </w:r>
      <w:r w:rsidRPr="000D7CCC">
        <w:t>What are the main risk factors and/or production activities contributing to contamination with microbiological hazards?</w:t>
      </w:r>
    </w:p>
    <w:p w14:paraId="1CA27236" w14:textId="77777777" w:rsidR="00FB04CE" w:rsidRPr="000D7CCC" w:rsidRDefault="00FB04CE" w:rsidP="00FB04CE">
      <w:pPr>
        <w:ind w:left="1080"/>
      </w:pPr>
      <w:r>
        <w:t xml:space="preserve">Q1b. </w:t>
      </w:r>
      <w:r w:rsidRPr="000D7CCC">
        <w:t>What measure/controls may have minimised contamination of produce?</w:t>
      </w:r>
    </w:p>
    <w:p w14:paraId="1F04316C" w14:textId="77777777" w:rsidR="00FB04CE" w:rsidRPr="000D7CCC" w:rsidRDefault="00FB04CE" w:rsidP="00FB04CE">
      <w:pPr>
        <w:ind w:left="1080"/>
      </w:pPr>
      <w:r>
        <w:t xml:space="preserve">Q1c. </w:t>
      </w:r>
      <w:r w:rsidRPr="000D7CCC">
        <w:t>What are the commodities most often implicated in fresh ready-to-eat horticulture product related foodborne outbreaks?</w:t>
      </w:r>
    </w:p>
    <w:p w14:paraId="7EE8D1B9" w14:textId="77777777" w:rsidR="00FB04CE" w:rsidRPr="000D7CCC" w:rsidRDefault="00FB04CE" w:rsidP="00FB04CE">
      <w:pPr>
        <w:pStyle w:val="ListParagraph"/>
        <w:ind w:left="1440"/>
      </w:pPr>
    </w:p>
    <w:p w14:paraId="44C2B013" w14:textId="77777777" w:rsidR="00FB04CE" w:rsidRDefault="00FB04CE" w:rsidP="00FB04CE">
      <w:pPr>
        <w:pStyle w:val="ListParagraph"/>
        <w:widowControl w:val="0"/>
        <w:ind w:left="567"/>
      </w:pPr>
      <w:r>
        <w:t xml:space="preserve">Q2. </w:t>
      </w:r>
      <w:r w:rsidRPr="000D7CCC">
        <w:t>Which commodities, or commodity groups reflected in the Codex Code of Hygienic Practice for Fresh Fruits and Vegetables pose a higher microbiological food safety risk due to their intrinsic properties and/or production method?</w:t>
      </w:r>
      <w:r>
        <w:t xml:space="preserve"> </w:t>
      </w:r>
      <w:r w:rsidRPr="000D7CCC">
        <w:t>What additional measures/controls may reduce the food safety risk?</w:t>
      </w:r>
    </w:p>
    <w:p w14:paraId="7BE9AB21" w14:textId="77777777" w:rsidR="00FB04CE" w:rsidRDefault="00FB04CE" w:rsidP="00FB04CE">
      <w:pPr>
        <w:pStyle w:val="ListParagraph"/>
        <w:widowControl w:val="0"/>
        <w:ind w:left="567"/>
      </w:pPr>
    </w:p>
    <w:p w14:paraId="4E571636" w14:textId="77777777" w:rsidR="00FB04CE" w:rsidRDefault="00FB04CE" w:rsidP="00FB04CE">
      <w:pPr>
        <w:pStyle w:val="Heading2"/>
        <w:numPr>
          <w:ilvl w:val="1"/>
          <w:numId w:val="11"/>
        </w:numPr>
      </w:pPr>
      <w:bookmarkStart w:id="17" w:name="_Toc87860003"/>
      <w:r>
        <w:t>Scope of assessment</w:t>
      </w:r>
      <w:bookmarkEnd w:id="17"/>
    </w:p>
    <w:p w14:paraId="7DFBEDF4" w14:textId="77777777" w:rsidR="00FB04CE" w:rsidRDefault="00FB04CE" w:rsidP="00FB04CE">
      <w:pPr>
        <w:widowControl/>
      </w:pPr>
      <w:r>
        <w:t>T</w:t>
      </w:r>
      <w:r w:rsidRPr="0077313A">
        <w:t>he scope of th</w:t>
      </w:r>
      <w:r>
        <w:t xml:space="preserve">e assessment was limited to the </w:t>
      </w:r>
      <w:r w:rsidRPr="0077313A">
        <w:t xml:space="preserve">commodities </w:t>
      </w:r>
      <w:r>
        <w:t xml:space="preserve">and hazards selected by the process described </w:t>
      </w:r>
      <w:r w:rsidRPr="005B6F91">
        <w:t xml:space="preserve">in Section 3.1 due </w:t>
      </w:r>
      <w:r>
        <w:t xml:space="preserve">to </w:t>
      </w:r>
      <w:r w:rsidRPr="005B6F91">
        <w:t>the</w:t>
      </w:r>
      <w:r>
        <w:t xml:space="preserve"> large variety and complexity of the identified horticulture sectors. They include:</w:t>
      </w:r>
    </w:p>
    <w:p w14:paraId="44E4AFC3" w14:textId="77777777" w:rsidR="00FB04CE" w:rsidRDefault="00FB04CE" w:rsidP="00FB04CE">
      <w:pPr>
        <w:widowControl/>
      </w:pPr>
    </w:p>
    <w:p w14:paraId="1437AB14" w14:textId="77777777" w:rsidR="00FB04CE" w:rsidRPr="002B23AC" w:rsidRDefault="00FB04CE" w:rsidP="00FB04CE">
      <w:pPr>
        <w:rPr>
          <w:b/>
        </w:rPr>
      </w:pPr>
      <w:r w:rsidRPr="002B23AC">
        <w:rPr>
          <w:b/>
        </w:rPr>
        <w:t>Leafy vegetables</w:t>
      </w:r>
    </w:p>
    <w:p w14:paraId="36AACC92" w14:textId="7900C0F6" w:rsidR="00FB04CE" w:rsidRDefault="00FB04CE" w:rsidP="00FB04CE">
      <w:pPr>
        <w:pStyle w:val="ListParagraph"/>
        <w:ind w:left="0"/>
      </w:pPr>
      <w:r w:rsidRPr="00B809B0">
        <w:rPr>
          <w:u w:val="single"/>
        </w:rPr>
        <w:t>Commodities:</w:t>
      </w:r>
      <w:r>
        <w:t xml:space="preserve"> </w:t>
      </w:r>
      <w:r w:rsidRPr="001C446E">
        <w:t>Lettuce (including iceberg, cos/romaine, butterhead, oak)</w:t>
      </w:r>
      <w:r>
        <w:t>, p</w:t>
      </w:r>
      <w:r w:rsidRPr="001C446E">
        <w:t>arsley (including continental and curly-leaf)</w:t>
      </w:r>
      <w:r w:rsidR="00B809B0">
        <w:t xml:space="preserve">, </w:t>
      </w:r>
      <w:r w:rsidR="00B809B0" w:rsidRPr="001C446E">
        <w:t>spinach</w:t>
      </w:r>
    </w:p>
    <w:p w14:paraId="5176E09E" w14:textId="6C7577E7" w:rsidR="00FB04CE" w:rsidRDefault="00FB04CE" w:rsidP="00FB04CE">
      <w:pPr>
        <w:pStyle w:val="ListParagraph"/>
        <w:ind w:left="0"/>
        <w:rPr>
          <w:i/>
        </w:rPr>
      </w:pPr>
      <w:r w:rsidRPr="00B809B0">
        <w:rPr>
          <w:u w:val="single"/>
        </w:rPr>
        <w:t>Hazards:</w:t>
      </w:r>
      <w:r>
        <w:t xml:space="preserve"> </w:t>
      </w:r>
      <w:r w:rsidRPr="001C446E">
        <w:rPr>
          <w:i/>
        </w:rPr>
        <w:t>Salmonella</w:t>
      </w:r>
      <w:r w:rsidRPr="001C446E">
        <w:t xml:space="preserve"> spp.</w:t>
      </w:r>
      <w:r>
        <w:t>, Shiga toxin-</w:t>
      </w:r>
      <w:r w:rsidRPr="001C446E">
        <w:t xml:space="preserve">producing </w:t>
      </w:r>
      <w:r w:rsidRPr="001C446E">
        <w:rPr>
          <w:i/>
        </w:rPr>
        <w:t xml:space="preserve">Escherichia coli </w:t>
      </w:r>
      <w:r w:rsidRPr="001C446E">
        <w:t>(STEC)</w:t>
      </w:r>
      <w:r>
        <w:t xml:space="preserve">, </w:t>
      </w:r>
      <w:r w:rsidRPr="001C446E">
        <w:rPr>
          <w:i/>
        </w:rPr>
        <w:t>Listeria</w:t>
      </w:r>
      <w:r>
        <w:rPr>
          <w:i/>
        </w:rPr>
        <w:t> </w:t>
      </w:r>
      <w:r w:rsidRPr="001C446E">
        <w:rPr>
          <w:i/>
        </w:rPr>
        <w:t>monocytogenes</w:t>
      </w:r>
    </w:p>
    <w:p w14:paraId="5893F699" w14:textId="77777777" w:rsidR="00FB04CE" w:rsidRPr="002B23AC" w:rsidRDefault="00FB04CE" w:rsidP="00FB04CE">
      <w:pPr>
        <w:ind w:left="-720"/>
        <w:rPr>
          <w:i/>
        </w:rPr>
      </w:pPr>
    </w:p>
    <w:p w14:paraId="3F682652" w14:textId="77777777" w:rsidR="00FB04CE" w:rsidRPr="002B23AC" w:rsidRDefault="00FB04CE" w:rsidP="00FB04CE">
      <w:pPr>
        <w:pStyle w:val="ListParagraph"/>
        <w:ind w:left="0"/>
        <w:rPr>
          <w:b/>
        </w:rPr>
      </w:pPr>
      <w:r w:rsidRPr="002B23AC">
        <w:rPr>
          <w:b/>
        </w:rPr>
        <w:t>Berries</w:t>
      </w:r>
    </w:p>
    <w:p w14:paraId="1992F05B" w14:textId="6E0DEA84" w:rsidR="00FB04CE" w:rsidRDefault="00B809B0" w:rsidP="00FB04CE">
      <w:pPr>
        <w:pStyle w:val="ListParagraph"/>
        <w:ind w:left="0"/>
      </w:pPr>
      <w:r w:rsidRPr="00B809B0">
        <w:rPr>
          <w:u w:val="single"/>
        </w:rPr>
        <w:t>Commodities:</w:t>
      </w:r>
      <w:r>
        <w:t xml:space="preserve"> Blueberry, raspberry, strawberry </w:t>
      </w:r>
    </w:p>
    <w:p w14:paraId="351BA15C" w14:textId="0C08265A" w:rsidR="00FB04CE" w:rsidRDefault="00FB04CE" w:rsidP="00FB04CE">
      <w:pPr>
        <w:pStyle w:val="ListParagraph"/>
        <w:ind w:left="0"/>
      </w:pPr>
      <w:r w:rsidRPr="00B809B0">
        <w:rPr>
          <w:u w:val="single"/>
        </w:rPr>
        <w:t>Hazards:</w:t>
      </w:r>
      <w:r>
        <w:t xml:space="preserve"> </w:t>
      </w:r>
      <w:r w:rsidR="00B809B0">
        <w:t>H</w:t>
      </w:r>
      <w:r w:rsidR="00B809B0" w:rsidRPr="001C446E">
        <w:t>epatitis A</w:t>
      </w:r>
      <w:r w:rsidR="009854E7">
        <w:t xml:space="preserve"> virus</w:t>
      </w:r>
      <w:r w:rsidR="00B809B0">
        <w:t xml:space="preserve"> (HAV), </w:t>
      </w:r>
      <w:r w:rsidR="00B809B0" w:rsidRPr="001C446E">
        <w:t>norovirus</w:t>
      </w:r>
      <w:r w:rsidR="00B809B0">
        <w:t xml:space="preserve"> (NoV)</w:t>
      </w:r>
      <w:r w:rsidR="00B809B0" w:rsidRPr="001C446E">
        <w:t xml:space="preserve">, </w:t>
      </w:r>
      <w:r w:rsidRPr="001C446E">
        <w:t>STEC</w:t>
      </w:r>
      <w:r>
        <w:t xml:space="preserve"> </w:t>
      </w:r>
    </w:p>
    <w:p w14:paraId="000A1926" w14:textId="77777777" w:rsidR="00FB04CE" w:rsidRDefault="00FB04CE" w:rsidP="00FB04CE">
      <w:pPr>
        <w:pStyle w:val="ListParagraph"/>
        <w:ind w:left="0"/>
        <w:rPr>
          <w:i/>
        </w:rPr>
      </w:pPr>
    </w:p>
    <w:p w14:paraId="1E73684D" w14:textId="77777777" w:rsidR="00FB04CE" w:rsidRPr="002B23AC" w:rsidRDefault="00FB04CE" w:rsidP="00FB04CE">
      <w:pPr>
        <w:pStyle w:val="ListParagraph"/>
        <w:ind w:left="0"/>
        <w:rPr>
          <w:b/>
        </w:rPr>
      </w:pPr>
      <w:r w:rsidRPr="002B23AC">
        <w:rPr>
          <w:b/>
        </w:rPr>
        <w:t>Melons</w:t>
      </w:r>
    </w:p>
    <w:p w14:paraId="4C750CDE" w14:textId="77777777" w:rsidR="00FB04CE" w:rsidRDefault="00FB04CE" w:rsidP="00FB04CE">
      <w:pPr>
        <w:pStyle w:val="ListParagraph"/>
        <w:ind w:left="0"/>
      </w:pPr>
      <w:r w:rsidRPr="00B809B0">
        <w:rPr>
          <w:u w:val="single"/>
        </w:rPr>
        <w:t>Commodities:</w:t>
      </w:r>
      <w:r>
        <w:t xml:space="preserve"> Rockmelon, watermelon</w:t>
      </w:r>
    </w:p>
    <w:p w14:paraId="417B7F48" w14:textId="066BC57E" w:rsidR="00FB04CE" w:rsidRDefault="00FB04CE" w:rsidP="00FB04CE">
      <w:pPr>
        <w:pStyle w:val="ListParagraph"/>
        <w:ind w:left="0"/>
        <w:rPr>
          <w:i/>
        </w:rPr>
      </w:pPr>
      <w:r w:rsidRPr="00B809B0">
        <w:rPr>
          <w:u w:val="single"/>
        </w:rPr>
        <w:t>Hazards:</w:t>
      </w:r>
      <w:r>
        <w:t xml:space="preserve"> </w:t>
      </w:r>
      <w:r w:rsidR="00B809B0" w:rsidRPr="001C446E">
        <w:rPr>
          <w:i/>
        </w:rPr>
        <w:t>Listeria monocytogenes</w:t>
      </w:r>
      <w:r w:rsidR="00B809B0">
        <w:rPr>
          <w:i/>
        </w:rPr>
        <w:t>,</w:t>
      </w:r>
      <w:r w:rsidR="00B809B0" w:rsidRPr="001C446E">
        <w:rPr>
          <w:i/>
        </w:rPr>
        <w:t xml:space="preserve"> </w:t>
      </w:r>
      <w:r w:rsidRPr="001C446E">
        <w:rPr>
          <w:i/>
        </w:rPr>
        <w:t>Salmonella</w:t>
      </w:r>
      <w:r w:rsidRPr="001C446E">
        <w:t xml:space="preserve"> spp.</w:t>
      </w:r>
    </w:p>
    <w:p w14:paraId="39CED6CE" w14:textId="77777777" w:rsidR="00FB04CE" w:rsidRDefault="00FB04CE" w:rsidP="00FB04CE">
      <w:pPr>
        <w:widowControl/>
      </w:pPr>
    </w:p>
    <w:p w14:paraId="3D79472C" w14:textId="77777777" w:rsidR="005D0B92" w:rsidRDefault="005D0B92">
      <w:pPr>
        <w:widowControl/>
      </w:pPr>
      <w:r>
        <w:br w:type="page"/>
      </w:r>
    </w:p>
    <w:p w14:paraId="39635505" w14:textId="4B87BF9D" w:rsidR="00FB04CE" w:rsidRPr="0077313A" w:rsidRDefault="00FB04CE" w:rsidP="00E5657D">
      <w:pPr>
        <w:widowControl/>
        <w:spacing w:after="120"/>
      </w:pPr>
      <w:r>
        <w:t>T</w:t>
      </w:r>
      <w:r w:rsidRPr="0077313A">
        <w:t xml:space="preserve">he </w:t>
      </w:r>
      <w:r>
        <w:t xml:space="preserve">qualitative </w:t>
      </w:r>
      <w:r w:rsidRPr="0077313A">
        <w:t>assessme</w:t>
      </w:r>
      <w:r>
        <w:t>nt of possible risk factors associated with</w:t>
      </w:r>
      <w:r w:rsidRPr="0077313A">
        <w:t xml:space="preserve"> primary production, harvest, and primary processing </w:t>
      </w:r>
      <w:r>
        <w:t>of the commodities were limited in scope to</w:t>
      </w:r>
      <w:r w:rsidR="00E5657D">
        <w:t xml:space="preserve"> the following:</w:t>
      </w:r>
    </w:p>
    <w:p w14:paraId="32C1715E" w14:textId="77777777" w:rsidR="00FB04CE" w:rsidRPr="0077313A" w:rsidRDefault="00FB04CE" w:rsidP="00FB04CE">
      <w:pPr>
        <w:pStyle w:val="ListParagraph"/>
        <w:numPr>
          <w:ilvl w:val="0"/>
          <w:numId w:val="5"/>
        </w:numPr>
      </w:pPr>
      <w:r w:rsidRPr="0077313A">
        <w:t>Primary production, including animal intrusion, characteristics of the production environment, weather and extreme weather events, seeds and seedlings, soil and soil amendments, water for p</w:t>
      </w:r>
      <w:r>
        <w:t>rimary production and other pre</w:t>
      </w:r>
      <w:r w:rsidRPr="0077313A">
        <w:t>harvest factors that may influence contamination</w:t>
      </w:r>
    </w:p>
    <w:p w14:paraId="4226E0BD" w14:textId="77777777" w:rsidR="00FB04CE" w:rsidRDefault="00FB04CE" w:rsidP="00FB04CE">
      <w:pPr>
        <w:pStyle w:val="ListParagraph"/>
        <w:numPr>
          <w:ilvl w:val="0"/>
          <w:numId w:val="5"/>
        </w:numPr>
      </w:pPr>
      <w:r w:rsidRPr="0077313A">
        <w:t>Harvest and field packing operations and hygiene</w:t>
      </w:r>
    </w:p>
    <w:p w14:paraId="68889856" w14:textId="77777777" w:rsidR="00FB04CE" w:rsidRPr="0077313A" w:rsidRDefault="00FB04CE" w:rsidP="00FB04CE">
      <w:pPr>
        <w:pStyle w:val="ListParagraph"/>
        <w:numPr>
          <w:ilvl w:val="0"/>
          <w:numId w:val="5"/>
        </w:numPr>
      </w:pPr>
      <w:r w:rsidRPr="0077313A">
        <w:t xml:space="preserve">Processing, including </w:t>
      </w:r>
      <w:r>
        <w:t>postharvest</w:t>
      </w:r>
      <w:r w:rsidRPr="0077313A">
        <w:t xml:space="preserve"> handling and hygiene control, </w:t>
      </w:r>
      <w:r>
        <w:t>postharvest</w:t>
      </w:r>
      <w:r w:rsidRPr="0077313A">
        <w:t xml:space="preserve"> water use, worker health and hygiene, </w:t>
      </w:r>
      <w:r>
        <w:t>cold chain</w:t>
      </w:r>
      <w:r w:rsidRPr="0077313A">
        <w:t>, cleaning and sanitisation of equipment and facilities</w:t>
      </w:r>
    </w:p>
    <w:p w14:paraId="5B4907BD" w14:textId="77777777" w:rsidR="00FB04CE" w:rsidRDefault="00FB04CE" w:rsidP="00FB04CE">
      <w:pPr>
        <w:pStyle w:val="ListParagraph"/>
        <w:numPr>
          <w:ilvl w:val="0"/>
          <w:numId w:val="5"/>
        </w:numPr>
      </w:pPr>
      <w:r>
        <w:t>Postharvest</w:t>
      </w:r>
      <w:r w:rsidRPr="0077313A">
        <w:t xml:space="preserve"> washing and sanitisi</w:t>
      </w:r>
      <w:r>
        <w:t>ng of produce, including currently available water-</w:t>
      </w:r>
      <w:r w:rsidRPr="0077313A">
        <w:t>based sanitisers and excluding</w:t>
      </w:r>
      <w:r>
        <w:t xml:space="preserve"> novel technologies.</w:t>
      </w:r>
    </w:p>
    <w:p w14:paraId="1BBAB81A" w14:textId="77777777" w:rsidR="00FB04CE" w:rsidRDefault="00FB04CE" w:rsidP="00FB04CE">
      <w:pPr>
        <w:widowControl/>
        <w:shd w:val="clear" w:color="auto" w:fill="FFFFFF"/>
        <w:spacing w:before="100" w:beforeAutospacing="1" w:after="100" w:afterAutospacing="1"/>
        <w:rPr>
          <w:szCs w:val="22"/>
        </w:rPr>
      </w:pPr>
      <w:r>
        <w:rPr>
          <w:rFonts w:cs="Arial"/>
          <w:b/>
          <w:noProof/>
          <w:lang w:eastAsia="en-GB" w:bidi="ar-SA"/>
        </w:rPr>
        <mc:AlternateContent>
          <mc:Choice Requires="wps">
            <w:drawing>
              <wp:anchor distT="0" distB="0" distL="114300" distR="114300" simplePos="0" relativeHeight="251658253" behindDoc="0" locked="0" layoutInCell="1" allowOverlap="1" wp14:anchorId="56B5463B" wp14:editId="035432C2">
                <wp:simplePos x="0" y="0"/>
                <wp:positionH relativeFrom="column">
                  <wp:posOffset>399415</wp:posOffset>
                </wp:positionH>
                <wp:positionV relativeFrom="paragraph">
                  <wp:posOffset>627380</wp:posOffset>
                </wp:positionV>
                <wp:extent cx="2326005" cy="4508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326005" cy="450850"/>
                        </a:xfrm>
                        <a:prstGeom prst="rect">
                          <a:avLst/>
                        </a:prstGeom>
                        <a:noFill/>
                        <a:ln w="6350">
                          <a:noFill/>
                        </a:ln>
                      </wps:spPr>
                      <wps:txbx>
                        <w:txbxContent>
                          <w:p w14:paraId="744E7BE2" w14:textId="77777777" w:rsidR="002C4240" w:rsidRDefault="002C4240" w:rsidP="00FB04CE">
                            <w:pPr>
                              <w:jc w:val="center"/>
                              <w:rPr>
                                <w:b/>
                              </w:rPr>
                            </w:pPr>
                            <w:r>
                              <w:rPr>
                                <w:b/>
                              </w:rPr>
                              <w:t>Focus of P1052 microbiological</w:t>
                            </w:r>
                          </w:p>
                          <w:p w14:paraId="01F37B2D" w14:textId="77777777" w:rsidR="002C4240" w:rsidRDefault="002C4240" w:rsidP="00FB04CE">
                            <w:pPr>
                              <w:jc w:val="center"/>
                              <w:rPr>
                                <w:b/>
                              </w:rPr>
                            </w:pPr>
                            <w:r>
                              <w:rPr>
                                <w:b/>
                              </w:rPr>
                              <w:t>risk assessment</w:t>
                            </w:r>
                          </w:p>
                          <w:p w14:paraId="74C91A60" w14:textId="77777777" w:rsidR="002C4240" w:rsidRDefault="002C4240" w:rsidP="00FB04CE">
                            <w:pPr>
                              <w:jc w:val="center"/>
                              <w:rPr>
                                <w:b/>
                              </w:rPr>
                            </w:pPr>
                          </w:p>
                          <w:p w14:paraId="6205DB72" w14:textId="77777777" w:rsidR="002C4240" w:rsidRPr="002D31CC" w:rsidRDefault="002C4240" w:rsidP="00FB04CE">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5463B" id="_x0000_s1027" type="#_x0000_t202" style="position:absolute;margin-left:31.45pt;margin-top:49.4pt;width:183.15pt;height:3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" filled="f" stroked="f" strokeweight=".5pt">
                <v:textbox>
                  <w:txbxContent>
                    <w:p w14:paraId="744E7BE2" w14:textId="77777777" w:rsidR="002C4240" w:rsidRDefault="002C4240" w:rsidP="00FB04CE">
                      <w:pPr>
                        <w:jc w:val="center"/>
                        <w:rPr>
                          <w:b/>
                        </w:rPr>
                      </w:pPr>
                      <w:r>
                        <w:rPr>
                          <w:b/>
                        </w:rPr>
                        <w:t>Focus of P1052 microbiological</w:t>
                      </w:r>
                    </w:p>
                    <w:p w14:paraId="01F37B2D" w14:textId="77777777" w:rsidR="002C4240" w:rsidRDefault="002C4240" w:rsidP="00FB04CE">
                      <w:pPr>
                        <w:jc w:val="center"/>
                        <w:rPr>
                          <w:b/>
                        </w:rPr>
                      </w:pPr>
                      <w:r>
                        <w:rPr>
                          <w:b/>
                        </w:rPr>
                        <w:t>risk assessment</w:t>
                      </w:r>
                    </w:p>
                    <w:p w14:paraId="74C91A60" w14:textId="77777777" w:rsidR="002C4240" w:rsidRDefault="002C4240" w:rsidP="00FB04CE">
                      <w:pPr>
                        <w:jc w:val="center"/>
                        <w:rPr>
                          <w:b/>
                        </w:rPr>
                      </w:pPr>
                    </w:p>
                    <w:p w14:paraId="6205DB72" w14:textId="77777777" w:rsidR="002C4240" w:rsidRPr="002D31CC" w:rsidRDefault="002C4240" w:rsidP="00FB04CE">
                      <w:pPr>
                        <w:jc w:val="center"/>
                        <w:rPr>
                          <w:b/>
                        </w:rPr>
                      </w:pPr>
                    </w:p>
                  </w:txbxContent>
                </v:textbox>
              </v:shape>
            </w:pict>
          </mc:Fallback>
        </mc:AlternateContent>
      </w:r>
      <w:r>
        <w:rPr>
          <w:rFonts w:cs="Arial"/>
          <w:b/>
          <w:noProof/>
          <w:lang w:eastAsia="en-GB" w:bidi="ar-SA"/>
        </w:rPr>
        <mc:AlternateContent>
          <mc:Choice Requires="wps">
            <w:drawing>
              <wp:anchor distT="0" distB="0" distL="114300" distR="114300" simplePos="0" relativeHeight="251658246" behindDoc="0" locked="0" layoutInCell="1" allowOverlap="1" wp14:anchorId="502BF07A" wp14:editId="40B55469">
                <wp:simplePos x="0" y="0"/>
                <wp:positionH relativeFrom="column">
                  <wp:posOffset>2641423</wp:posOffset>
                </wp:positionH>
                <wp:positionV relativeFrom="paragraph">
                  <wp:posOffset>638593</wp:posOffset>
                </wp:positionV>
                <wp:extent cx="0" cy="3011709"/>
                <wp:effectExtent l="0" t="0" r="19050" b="17780"/>
                <wp:wrapNone/>
                <wp:docPr id="4" name="Straight Connector 4"/>
                <wp:cNvGraphicFramePr/>
                <a:graphic xmlns:a="http://schemas.openxmlformats.org/drawingml/2006/main">
                  <a:graphicData uri="http://schemas.microsoft.com/office/word/2010/wordprocessingShape">
                    <wps:wsp>
                      <wps:cNvCnPr/>
                      <wps:spPr>
                        <a:xfrm>
                          <a:off x="0" y="0"/>
                          <a:ext cx="0" cy="3011709"/>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9BD2A0" id="Straight Connector 4" o:spid="_x0000_s1026" style="position:absolute;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pt,50.3pt" to="208pt,2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" strokecolor="black [3213]" strokeweight="1.5pt">
                <v:stroke dashstyle="dash"/>
              </v:line>
            </w:pict>
          </mc:Fallback>
        </mc:AlternateContent>
      </w:r>
      <w:r>
        <w:rPr>
          <w:szCs w:val="22"/>
        </w:rPr>
        <w:t>Horticulture-related p</w:t>
      </w:r>
      <w:r w:rsidRPr="007C4907">
        <w:rPr>
          <w:szCs w:val="22"/>
        </w:rPr>
        <w:t xml:space="preserve">rocessing activities </w:t>
      </w:r>
      <w:r>
        <w:rPr>
          <w:szCs w:val="22"/>
        </w:rPr>
        <w:t xml:space="preserve">that </w:t>
      </w:r>
      <w:r w:rsidRPr="007C4907">
        <w:rPr>
          <w:szCs w:val="22"/>
        </w:rPr>
        <w:t xml:space="preserve">are </w:t>
      </w:r>
      <w:r>
        <w:rPr>
          <w:szCs w:val="22"/>
        </w:rPr>
        <w:t xml:space="preserve">already </w:t>
      </w:r>
      <w:r w:rsidRPr="007C4907">
        <w:rPr>
          <w:szCs w:val="22"/>
        </w:rPr>
        <w:t xml:space="preserve">covered by requirements in </w:t>
      </w:r>
      <w:r>
        <w:rPr>
          <w:szCs w:val="22"/>
        </w:rPr>
        <w:t xml:space="preserve">Standard 3.2.2 </w:t>
      </w:r>
      <w:r w:rsidRPr="007C4907">
        <w:rPr>
          <w:szCs w:val="22"/>
        </w:rPr>
        <w:t>are out</w:t>
      </w:r>
      <w:r>
        <w:rPr>
          <w:szCs w:val="22"/>
        </w:rPr>
        <w:t xml:space="preserve"> of scope for this assessment (</w:t>
      </w:r>
      <w:r w:rsidRPr="007C4907">
        <w:rPr>
          <w:szCs w:val="22"/>
        </w:rPr>
        <w:t>Figure 1</w:t>
      </w:r>
      <w:r>
        <w:rPr>
          <w:szCs w:val="22"/>
        </w:rPr>
        <w:t>)</w:t>
      </w:r>
      <w:r w:rsidRPr="007C4907">
        <w:rPr>
          <w:szCs w:val="22"/>
        </w:rPr>
        <w:t>.</w:t>
      </w:r>
    </w:p>
    <w:p w14:paraId="65357A23" w14:textId="77777777" w:rsidR="00FB04CE" w:rsidRDefault="00FB04CE" w:rsidP="00FB04CE">
      <w:pPr>
        <w:rPr>
          <w:rFonts w:cs="Arial"/>
          <w:b/>
        </w:rPr>
      </w:pPr>
    </w:p>
    <w:p w14:paraId="4F9B6F80" w14:textId="77777777" w:rsidR="00FB04CE" w:rsidRDefault="00FB04CE" w:rsidP="00FB04CE">
      <w:pPr>
        <w:rPr>
          <w:rFonts w:cs="Arial"/>
          <w:b/>
        </w:rPr>
      </w:pPr>
      <w:r>
        <w:rPr>
          <w:rFonts w:cs="Arial"/>
          <w:b/>
          <w:noProof/>
          <w:lang w:eastAsia="en-GB" w:bidi="ar-SA"/>
        </w:rPr>
        <mc:AlternateContent>
          <mc:Choice Requires="wps">
            <w:drawing>
              <wp:anchor distT="0" distB="0" distL="114300" distR="114300" simplePos="0" relativeHeight="251658241" behindDoc="0" locked="0" layoutInCell="1" allowOverlap="1" wp14:anchorId="077413B1" wp14:editId="0B243516">
                <wp:simplePos x="0" y="0"/>
                <wp:positionH relativeFrom="column">
                  <wp:posOffset>499745</wp:posOffset>
                </wp:positionH>
                <wp:positionV relativeFrom="paragraph">
                  <wp:posOffset>95250</wp:posOffset>
                </wp:positionV>
                <wp:extent cx="4591050" cy="857250"/>
                <wp:effectExtent l="0" t="19050" r="38100" b="38100"/>
                <wp:wrapNone/>
                <wp:docPr id="6" name="Right Arrow 6"/>
                <wp:cNvGraphicFramePr/>
                <a:graphic xmlns:a="http://schemas.openxmlformats.org/drawingml/2006/main">
                  <a:graphicData uri="http://schemas.microsoft.com/office/word/2010/wordprocessingShape">
                    <wps:wsp>
                      <wps:cNvSpPr/>
                      <wps:spPr>
                        <a:xfrm>
                          <a:off x="0" y="0"/>
                          <a:ext cx="4591050" cy="857250"/>
                        </a:xfrm>
                        <a:prstGeom prst="rightArrow">
                          <a:avLst/>
                        </a:prstGeom>
                        <a:solidFill>
                          <a:schemeClr val="tx2">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E6D0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39.35pt;margin-top:7.5pt;width:361.5pt;height:6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" adj="19583" fillcolor="#c6d9f1 [671]" strokecolor="black [3213]" strokeweight="1pt"/>
            </w:pict>
          </mc:Fallback>
        </mc:AlternateContent>
      </w:r>
    </w:p>
    <w:p w14:paraId="191152BA" w14:textId="77777777" w:rsidR="00FB04CE" w:rsidRDefault="00FB04CE" w:rsidP="00FB04CE">
      <w:pPr>
        <w:rPr>
          <w:rFonts w:cs="Arial"/>
          <w:b/>
        </w:rPr>
      </w:pPr>
      <w:r>
        <w:rPr>
          <w:rFonts w:cs="Arial"/>
          <w:b/>
          <w:noProof/>
          <w:lang w:eastAsia="en-GB" w:bidi="ar-SA"/>
        </w:rPr>
        <mc:AlternateContent>
          <mc:Choice Requires="wps">
            <w:drawing>
              <wp:anchor distT="0" distB="0" distL="114300" distR="114300" simplePos="0" relativeHeight="251658252" behindDoc="0" locked="0" layoutInCell="1" allowOverlap="1" wp14:anchorId="071540EC" wp14:editId="55684C7D">
                <wp:simplePos x="0" y="0"/>
                <wp:positionH relativeFrom="column">
                  <wp:posOffset>499745</wp:posOffset>
                </wp:positionH>
                <wp:positionV relativeFrom="paragraph">
                  <wp:posOffset>39370</wp:posOffset>
                </wp:positionV>
                <wp:extent cx="2133600" cy="0"/>
                <wp:effectExtent l="3810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2133600" cy="0"/>
                        </a:xfrm>
                        <a:prstGeom prst="straightConnector1">
                          <a:avLst/>
                        </a:prstGeom>
                        <a:ln w="1905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54BE08" id="_x0000_t32" coordsize="21600,21600" o:spt="32" o:oned="t" path="m,l21600,21600e" filled="f">
                <v:path arrowok="t" fillok="f" o:connecttype="none"/>
                <o:lock v:ext="edit" shapetype="t"/>
              </v:shapetype>
              <v:shape id="Straight Arrow Connector 7" o:spid="_x0000_s1026" type="#_x0000_t32" style="position:absolute;margin-left:39.35pt;margin-top:3.1pt;width:168pt;height: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" strokecolor="#c00000" strokeweight="1.5pt">
                <v:stroke startarrow="block" endarrow="block"/>
              </v:shape>
            </w:pict>
          </mc:Fallback>
        </mc:AlternateContent>
      </w:r>
    </w:p>
    <w:p w14:paraId="489F5926" w14:textId="77777777" w:rsidR="00FB04CE" w:rsidRDefault="00FB04CE" w:rsidP="00FB04CE">
      <w:pPr>
        <w:rPr>
          <w:rFonts w:cs="Arial"/>
          <w:b/>
        </w:rPr>
      </w:pPr>
      <w:r>
        <w:rPr>
          <w:rFonts w:cs="Arial"/>
          <w:b/>
          <w:noProof/>
          <w:lang w:eastAsia="en-GB" w:bidi="ar-SA"/>
        </w:rPr>
        <mc:AlternateContent>
          <mc:Choice Requires="wps">
            <w:drawing>
              <wp:anchor distT="0" distB="0" distL="114300" distR="114300" simplePos="0" relativeHeight="251658244" behindDoc="0" locked="0" layoutInCell="1" allowOverlap="1" wp14:anchorId="1D4B3E70" wp14:editId="6AA71F29">
                <wp:simplePos x="0" y="0"/>
                <wp:positionH relativeFrom="column">
                  <wp:posOffset>509270</wp:posOffset>
                </wp:positionH>
                <wp:positionV relativeFrom="paragraph">
                  <wp:posOffset>78740</wp:posOffset>
                </wp:positionV>
                <wp:extent cx="914400" cy="314325"/>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197B1E74" w14:textId="77777777" w:rsidR="002C4240" w:rsidRPr="00B21544" w:rsidRDefault="002C4240" w:rsidP="00FB04CE">
                            <w:pPr>
                              <w:rPr>
                                <w:b/>
                                <w:sz w:val="20"/>
                                <w:szCs w:val="20"/>
                              </w:rPr>
                            </w:pPr>
                            <w:r w:rsidRPr="00B21544">
                              <w:rPr>
                                <w:b/>
                                <w:sz w:val="20"/>
                                <w:szCs w:val="20"/>
                              </w:rPr>
                              <w:t>Primary Production Activities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B3E70" id="Text Box 8" o:spid="_x0000_s1028" type="#_x0000_t202" style="position:absolute;margin-left:40.1pt;margin-top:6.2pt;width:1in;height:24.75pt;z-index:2516582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" filled="f" stroked="f" strokeweight=".5pt">
                <v:textbox>
                  <w:txbxContent>
                    <w:p w14:paraId="197B1E74" w14:textId="77777777" w:rsidR="002C4240" w:rsidRPr="00B21544" w:rsidRDefault="002C4240" w:rsidP="00FB04CE">
                      <w:pPr>
                        <w:rPr>
                          <w:b/>
                          <w:sz w:val="20"/>
                          <w:szCs w:val="20"/>
                        </w:rPr>
                      </w:pPr>
                      <w:r w:rsidRPr="00B21544">
                        <w:rPr>
                          <w:b/>
                          <w:sz w:val="20"/>
                          <w:szCs w:val="20"/>
                        </w:rPr>
                        <w:t>Primary Production Activities</w:t>
                      </w:r>
                    </w:p>
                  </w:txbxContent>
                </v:textbox>
              </v:shape>
            </w:pict>
          </mc:Fallback>
        </mc:AlternateContent>
      </w:r>
      <w:r>
        <w:rPr>
          <w:rFonts w:cs="Arial"/>
          <w:b/>
          <w:noProof/>
          <w:lang w:eastAsia="en-GB" w:bidi="ar-SA"/>
        </w:rPr>
        <mc:AlternateContent>
          <mc:Choice Requires="wps">
            <w:drawing>
              <wp:anchor distT="0" distB="0" distL="114300" distR="114300" simplePos="0" relativeHeight="251658245" behindDoc="0" locked="0" layoutInCell="1" allowOverlap="1" wp14:anchorId="286344E2" wp14:editId="0356558B">
                <wp:simplePos x="0" y="0"/>
                <wp:positionH relativeFrom="column">
                  <wp:posOffset>2867025</wp:posOffset>
                </wp:positionH>
                <wp:positionV relativeFrom="paragraph">
                  <wp:posOffset>77470</wp:posOffset>
                </wp:positionV>
                <wp:extent cx="914400" cy="314325"/>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78A50D8" w14:textId="77777777" w:rsidR="002C4240" w:rsidRPr="00B21544" w:rsidRDefault="002C4240" w:rsidP="00FB04CE">
                            <w:pPr>
                              <w:rPr>
                                <w:b/>
                                <w:sz w:val="20"/>
                                <w:szCs w:val="20"/>
                              </w:rPr>
                            </w:pPr>
                            <w:r>
                              <w:rPr>
                                <w:b/>
                                <w:sz w:val="20"/>
                                <w:szCs w:val="20"/>
                              </w:rPr>
                              <w:t>Processing</w:t>
                            </w:r>
                            <w:r w:rsidRPr="00B21544">
                              <w:rPr>
                                <w:b/>
                                <w:sz w:val="20"/>
                                <w:szCs w:val="20"/>
                              </w:rPr>
                              <w:t xml:space="preserve"> Activities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344E2" id="Text Box 9" o:spid="_x0000_s1029" type="#_x0000_t202" style="position:absolute;margin-left:225.75pt;margin-top:6.1pt;width:1in;height:24.7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" filled="f" stroked="f" strokeweight=".5pt">
                <v:textbox>
                  <w:txbxContent>
                    <w:p w14:paraId="378A50D8" w14:textId="77777777" w:rsidR="002C4240" w:rsidRPr="00B21544" w:rsidRDefault="002C4240" w:rsidP="00FB04CE">
                      <w:pPr>
                        <w:rPr>
                          <w:b/>
                          <w:sz w:val="20"/>
                          <w:szCs w:val="20"/>
                        </w:rPr>
                      </w:pPr>
                      <w:r>
                        <w:rPr>
                          <w:b/>
                          <w:sz w:val="20"/>
                          <w:szCs w:val="20"/>
                        </w:rPr>
                        <w:t>Processing</w:t>
                      </w:r>
                      <w:r w:rsidRPr="00B21544">
                        <w:rPr>
                          <w:b/>
                          <w:sz w:val="20"/>
                          <w:szCs w:val="20"/>
                        </w:rPr>
                        <w:t xml:space="preserve"> Activities</w:t>
                      </w:r>
                    </w:p>
                  </w:txbxContent>
                </v:textbox>
              </v:shape>
            </w:pict>
          </mc:Fallback>
        </mc:AlternateContent>
      </w:r>
    </w:p>
    <w:p w14:paraId="242BEDC2" w14:textId="77777777" w:rsidR="00FB04CE" w:rsidRDefault="00FB04CE" w:rsidP="00FB04CE">
      <w:pPr>
        <w:rPr>
          <w:rFonts w:cs="Arial"/>
          <w:b/>
        </w:rPr>
      </w:pPr>
    </w:p>
    <w:p w14:paraId="444CF4FB" w14:textId="77777777" w:rsidR="00FB04CE" w:rsidRDefault="00FB04CE" w:rsidP="00FB04CE">
      <w:pPr>
        <w:rPr>
          <w:rFonts w:cs="Arial"/>
          <w:b/>
        </w:rPr>
      </w:pPr>
    </w:p>
    <w:p w14:paraId="575F224A" w14:textId="77777777" w:rsidR="00FB04CE" w:rsidRDefault="00FB04CE" w:rsidP="00FB04CE">
      <w:pPr>
        <w:rPr>
          <w:rFonts w:cs="Arial"/>
          <w:b/>
        </w:rPr>
      </w:pPr>
      <w:r w:rsidRPr="002D31CC">
        <w:rPr>
          <w:rFonts w:cs="Arial"/>
          <w:b/>
          <w:noProof/>
          <w:lang w:eastAsia="en-GB" w:bidi="ar-SA"/>
        </w:rPr>
        <mc:AlternateContent>
          <mc:Choice Requires="wps">
            <w:drawing>
              <wp:anchor distT="0" distB="0" distL="114300" distR="114300" simplePos="0" relativeHeight="251658251" behindDoc="0" locked="0" layoutInCell="1" allowOverlap="1" wp14:anchorId="221C54E5" wp14:editId="33F18CCA">
                <wp:simplePos x="0" y="0"/>
                <wp:positionH relativeFrom="column">
                  <wp:posOffset>2738120</wp:posOffset>
                </wp:positionH>
                <wp:positionV relativeFrom="paragraph">
                  <wp:posOffset>51363</wp:posOffset>
                </wp:positionV>
                <wp:extent cx="1809750" cy="13144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09750" cy="1314450"/>
                        </a:xfrm>
                        <a:prstGeom prst="rect">
                          <a:avLst/>
                        </a:prstGeom>
                        <a:noFill/>
                        <a:ln w="6350">
                          <a:noFill/>
                        </a:ln>
                      </wps:spPr>
                      <wps:txbx>
                        <w:txbxContent>
                          <w:p w14:paraId="17D56384" w14:textId="77777777" w:rsidR="002C4240" w:rsidRDefault="002C4240" w:rsidP="00FB04CE">
                            <w:pPr>
                              <w:rPr>
                                <w:b/>
                                <w:sz w:val="20"/>
                                <w:szCs w:val="20"/>
                              </w:rPr>
                            </w:pPr>
                            <w:r>
                              <w:rPr>
                                <w:b/>
                                <w:sz w:val="20"/>
                                <w:szCs w:val="20"/>
                              </w:rPr>
                              <w:t>Examples include:</w:t>
                            </w:r>
                          </w:p>
                          <w:p w14:paraId="70576E15" w14:textId="77777777" w:rsidR="002C4240" w:rsidRDefault="002C4240" w:rsidP="00FB04CE">
                            <w:pPr>
                              <w:rPr>
                                <w:b/>
                                <w:sz w:val="20"/>
                                <w:szCs w:val="20"/>
                              </w:rPr>
                            </w:pPr>
                            <w:r>
                              <w:rPr>
                                <w:b/>
                                <w:sz w:val="20"/>
                                <w:szCs w:val="20"/>
                              </w:rPr>
                              <w:t>Freezing</w:t>
                            </w:r>
                          </w:p>
                          <w:p w14:paraId="6526FF22" w14:textId="77777777" w:rsidR="002C4240" w:rsidRDefault="002C4240" w:rsidP="00FB04CE">
                            <w:pPr>
                              <w:rPr>
                                <w:b/>
                                <w:sz w:val="20"/>
                                <w:szCs w:val="20"/>
                              </w:rPr>
                            </w:pPr>
                            <w:r>
                              <w:rPr>
                                <w:b/>
                                <w:sz w:val="20"/>
                                <w:szCs w:val="20"/>
                              </w:rPr>
                              <w:t>Drying</w:t>
                            </w:r>
                          </w:p>
                          <w:p w14:paraId="24169D96" w14:textId="77777777" w:rsidR="002C4240" w:rsidRPr="00621613" w:rsidRDefault="002C4240" w:rsidP="00FB04CE">
                            <w:pPr>
                              <w:rPr>
                                <w:b/>
                                <w:sz w:val="20"/>
                                <w:szCs w:val="20"/>
                              </w:rPr>
                            </w:pPr>
                            <w:r>
                              <w:rPr>
                                <w:b/>
                                <w:sz w:val="20"/>
                                <w:szCs w:val="20"/>
                              </w:rPr>
                              <w:t>Pickling</w:t>
                            </w:r>
                          </w:p>
                          <w:p w14:paraId="12A83BFE" w14:textId="77777777" w:rsidR="002C4240" w:rsidRDefault="002C4240" w:rsidP="00FB04CE">
                            <w:pPr>
                              <w:rPr>
                                <w:b/>
                                <w:sz w:val="20"/>
                                <w:szCs w:val="20"/>
                              </w:rPr>
                            </w:pPr>
                            <w:r>
                              <w:rPr>
                                <w:b/>
                                <w:sz w:val="20"/>
                                <w:szCs w:val="20"/>
                              </w:rPr>
                              <w:t>Canning</w:t>
                            </w:r>
                          </w:p>
                          <w:p w14:paraId="5B123119" w14:textId="77777777" w:rsidR="002C4240" w:rsidRDefault="002C4240" w:rsidP="00FB04CE">
                            <w:pPr>
                              <w:rPr>
                                <w:b/>
                                <w:sz w:val="20"/>
                                <w:szCs w:val="20"/>
                              </w:rPr>
                            </w:pPr>
                            <w:r>
                              <w:rPr>
                                <w:b/>
                                <w:sz w:val="20"/>
                                <w:szCs w:val="20"/>
                              </w:rPr>
                              <w:t>Cook-chill</w:t>
                            </w:r>
                          </w:p>
                          <w:p w14:paraId="63F28444" w14:textId="77777777" w:rsidR="002C4240" w:rsidRDefault="002C4240" w:rsidP="00FB04CE">
                            <w:pPr>
                              <w:rPr>
                                <w:b/>
                                <w:sz w:val="20"/>
                                <w:szCs w:val="20"/>
                              </w:rPr>
                            </w:pPr>
                            <w:r>
                              <w:rPr>
                                <w:b/>
                                <w:sz w:val="20"/>
                                <w:szCs w:val="20"/>
                              </w:rPr>
                              <w:t>Juicing</w:t>
                            </w:r>
                          </w:p>
                          <w:p w14:paraId="69C90C07" w14:textId="77777777" w:rsidR="002C4240" w:rsidRDefault="002C4240" w:rsidP="00FB04CE">
                            <w:r>
                              <w:rPr>
                                <w:b/>
                                <w:sz w:val="20"/>
                                <w:szCs w:val="20"/>
                              </w:rPr>
                              <w:t>Slicing/shredding/coring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C54E5" id="Text Box 10" o:spid="_x0000_s1030" type="#_x0000_t202" style="position:absolute;margin-left:215.6pt;margin-top:4.05pt;width:142.5pt;height:10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" filled="f" stroked="f" strokeweight=".5pt">
                <v:textbox>
                  <w:txbxContent>
                    <w:p w14:paraId="17D56384" w14:textId="77777777" w:rsidR="002C4240" w:rsidRDefault="002C4240" w:rsidP="00FB04CE">
                      <w:pPr>
                        <w:rPr>
                          <w:b/>
                          <w:sz w:val="20"/>
                          <w:szCs w:val="20"/>
                        </w:rPr>
                      </w:pPr>
                      <w:r>
                        <w:rPr>
                          <w:b/>
                          <w:sz w:val="20"/>
                          <w:szCs w:val="20"/>
                        </w:rPr>
                        <w:t>Examples include:</w:t>
                      </w:r>
                    </w:p>
                    <w:p w14:paraId="70576E15" w14:textId="77777777" w:rsidR="002C4240" w:rsidRDefault="002C4240" w:rsidP="00FB04CE">
                      <w:pPr>
                        <w:rPr>
                          <w:b/>
                          <w:sz w:val="20"/>
                          <w:szCs w:val="20"/>
                        </w:rPr>
                      </w:pPr>
                      <w:r>
                        <w:rPr>
                          <w:b/>
                          <w:sz w:val="20"/>
                          <w:szCs w:val="20"/>
                        </w:rPr>
                        <w:t>Freezing</w:t>
                      </w:r>
                    </w:p>
                    <w:p w14:paraId="6526FF22" w14:textId="77777777" w:rsidR="002C4240" w:rsidRDefault="002C4240" w:rsidP="00FB04CE">
                      <w:pPr>
                        <w:rPr>
                          <w:b/>
                          <w:sz w:val="20"/>
                          <w:szCs w:val="20"/>
                        </w:rPr>
                      </w:pPr>
                      <w:r>
                        <w:rPr>
                          <w:b/>
                          <w:sz w:val="20"/>
                          <w:szCs w:val="20"/>
                        </w:rPr>
                        <w:t>Drying</w:t>
                      </w:r>
                    </w:p>
                    <w:p w14:paraId="24169D96" w14:textId="77777777" w:rsidR="002C4240" w:rsidRPr="00621613" w:rsidRDefault="002C4240" w:rsidP="00FB04CE">
                      <w:pPr>
                        <w:rPr>
                          <w:b/>
                          <w:sz w:val="20"/>
                          <w:szCs w:val="20"/>
                        </w:rPr>
                      </w:pPr>
                      <w:r>
                        <w:rPr>
                          <w:b/>
                          <w:sz w:val="20"/>
                          <w:szCs w:val="20"/>
                        </w:rPr>
                        <w:t>Pickling</w:t>
                      </w:r>
                    </w:p>
                    <w:p w14:paraId="12A83BFE" w14:textId="77777777" w:rsidR="002C4240" w:rsidRDefault="002C4240" w:rsidP="00FB04CE">
                      <w:pPr>
                        <w:rPr>
                          <w:b/>
                          <w:sz w:val="20"/>
                          <w:szCs w:val="20"/>
                        </w:rPr>
                      </w:pPr>
                      <w:r>
                        <w:rPr>
                          <w:b/>
                          <w:sz w:val="20"/>
                          <w:szCs w:val="20"/>
                        </w:rPr>
                        <w:t>Canning</w:t>
                      </w:r>
                    </w:p>
                    <w:p w14:paraId="5B123119" w14:textId="77777777" w:rsidR="002C4240" w:rsidRDefault="002C4240" w:rsidP="00FB04CE">
                      <w:pPr>
                        <w:rPr>
                          <w:b/>
                          <w:sz w:val="20"/>
                          <w:szCs w:val="20"/>
                        </w:rPr>
                      </w:pPr>
                      <w:r>
                        <w:rPr>
                          <w:b/>
                          <w:sz w:val="20"/>
                          <w:szCs w:val="20"/>
                        </w:rPr>
                        <w:t>Cook-chill</w:t>
                      </w:r>
                    </w:p>
                    <w:p w14:paraId="63F28444" w14:textId="77777777" w:rsidR="002C4240" w:rsidRDefault="002C4240" w:rsidP="00FB04CE">
                      <w:pPr>
                        <w:rPr>
                          <w:b/>
                          <w:sz w:val="20"/>
                          <w:szCs w:val="20"/>
                        </w:rPr>
                      </w:pPr>
                      <w:r>
                        <w:rPr>
                          <w:b/>
                          <w:sz w:val="20"/>
                          <w:szCs w:val="20"/>
                        </w:rPr>
                        <w:t>Juicing</w:t>
                      </w:r>
                    </w:p>
                    <w:p w14:paraId="69C90C07" w14:textId="77777777" w:rsidR="002C4240" w:rsidRDefault="002C4240" w:rsidP="00FB04CE">
                      <w:r>
                        <w:rPr>
                          <w:b/>
                          <w:sz w:val="20"/>
                          <w:szCs w:val="20"/>
                        </w:rPr>
                        <w:t>Slicing/shredding/coring</w:t>
                      </w:r>
                    </w:p>
                  </w:txbxContent>
                </v:textbox>
              </v:shape>
            </w:pict>
          </mc:Fallback>
        </mc:AlternateContent>
      </w:r>
      <w:r>
        <w:rPr>
          <w:rFonts w:cs="Arial"/>
          <w:b/>
          <w:noProof/>
          <w:lang w:eastAsia="en-GB" w:bidi="ar-SA"/>
        </w:rPr>
        <mc:AlternateContent>
          <mc:Choice Requires="wps">
            <w:drawing>
              <wp:anchor distT="0" distB="0" distL="114300" distR="114300" simplePos="0" relativeHeight="251658249" behindDoc="0" locked="0" layoutInCell="1" allowOverlap="1" wp14:anchorId="54B2F2AE" wp14:editId="7014DA1F">
                <wp:simplePos x="0" y="0"/>
                <wp:positionH relativeFrom="column">
                  <wp:posOffset>518795</wp:posOffset>
                </wp:positionH>
                <wp:positionV relativeFrom="paragraph">
                  <wp:posOffset>130175</wp:posOffset>
                </wp:positionV>
                <wp:extent cx="1809750" cy="12763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09750" cy="1276350"/>
                        </a:xfrm>
                        <a:prstGeom prst="rect">
                          <a:avLst/>
                        </a:prstGeom>
                        <a:noFill/>
                        <a:ln w="6350">
                          <a:noFill/>
                        </a:ln>
                      </wps:spPr>
                      <wps:txbx>
                        <w:txbxContent>
                          <w:p w14:paraId="72C87B54" w14:textId="77777777" w:rsidR="002C4240" w:rsidRPr="00621613" w:rsidRDefault="002C4240" w:rsidP="00FB04CE">
                            <w:pPr>
                              <w:rPr>
                                <w:b/>
                                <w:sz w:val="20"/>
                                <w:szCs w:val="20"/>
                              </w:rPr>
                            </w:pPr>
                            <w:r w:rsidRPr="00621613">
                              <w:rPr>
                                <w:b/>
                                <w:sz w:val="20"/>
                                <w:szCs w:val="20"/>
                              </w:rPr>
                              <w:t>Growing</w:t>
                            </w:r>
                          </w:p>
                          <w:p w14:paraId="103030D1" w14:textId="77777777" w:rsidR="002C4240" w:rsidRPr="00621613" w:rsidRDefault="002C4240" w:rsidP="00FB04CE">
                            <w:pPr>
                              <w:rPr>
                                <w:b/>
                                <w:sz w:val="20"/>
                                <w:szCs w:val="20"/>
                              </w:rPr>
                            </w:pPr>
                            <w:r w:rsidRPr="00621613">
                              <w:rPr>
                                <w:b/>
                                <w:sz w:val="20"/>
                                <w:szCs w:val="20"/>
                              </w:rPr>
                              <w:t>Harvesting</w:t>
                            </w:r>
                          </w:p>
                          <w:p w14:paraId="23CD7999" w14:textId="77777777" w:rsidR="002C4240" w:rsidRPr="00621613" w:rsidRDefault="002C4240" w:rsidP="00FB04CE">
                            <w:pPr>
                              <w:rPr>
                                <w:b/>
                                <w:sz w:val="20"/>
                                <w:szCs w:val="20"/>
                              </w:rPr>
                            </w:pPr>
                            <w:r w:rsidRPr="00621613">
                              <w:rPr>
                                <w:b/>
                                <w:sz w:val="20"/>
                                <w:szCs w:val="20"/>
                              </w:rPr>
                              <w:t>Primary processing</w:t>
                            </w:r>
                          </w:p>
                          <w:p w14:paraId="1CBEBADA" w14:textId="77777777" w:rsidR="002C4240" w:rsidRPr="00621613" w:rsidRDefault="002C4240" w:rsidP="00FB04CE">
                            <w:pPr>
                              <w:ind w:left="142"/>
                              <w:rPr>
                                <w:b/>
                                <w:sz w:val="20"/>
                                <w:szCs w:val="20"/>
                              </w:rPr>
                            </w:pPr>
                            <w:r w:rsidRPr="00621613">
                              <w:rPr>
                                <w:b/>
                                <w:sz w:val="20"/>
                                <w:szCs w:val="20"/>
                              </w:rPr>
                              <w:t>(e.g. washing, trimming,</w:t>
                            </w:r>
                            <w:r>
                              <w:rPr>
                                <w:b/>
                                <w:sz w:val="20"/>
                                <w:szCs w:val="20"/>
                              </w:rPr>
                              <w:t xml:space="preserve"> post</w:t>
                            </w:r>
                            <w:r w:rsidRPr="00621613">
                              <w:rPr>
                                <w:b/>
                                <w:sz w:val="20"/>
                                <w:szCs w:val="20"/>
                              </w:rPr>
                              <w:t>harvest treatments)</w:t>
                            </w:r>
                          </w:p>
                          <w:p w14:paraId="5C12EF9F" w14:textId="77777777" w:rsidR="002C4240" w:rsidRPr="00621613" w:rsidRDefault="002C4240" w:rsidP="00FB04CE">
                            <w:pPr>
                              <w:rPr>
                                <w:b/>
                                <w:sz w:val="20"/>
                                <w:szCs w:val="20"/>
                              </w:rPr>
                            </w:pPr>
                            <w:r w:rsidRPr="00621613">
                              <w:rPr>
                                <w:b/>
                                <w:sz w:val="20"/>
                                <w:szCs w:val="20"/>
                              </w:rPr>
                              <w:t>Packing</w:t>
                            </w:r>
                          </w:p>
                          <w:p w14:paraId="5D7F89F7" w14:textId="77777777" w:rsidR="002C4240" w:rsidRDefault="002C4240" w:rsidP="00FB04CE">
                            <w:r w:rsidRPr="00621613">
                              <w:rPr>
                                <w:b/>
                                <w:sz w:val="20"/>
                                <w:szCs w:val="20"/>
                              </w:rPr>
                              <w:t>Storage and Transport</w:t>
                            </w:r>
                          </w:p>
                          <w:p w14:paraId="00DCB575" w14:textId="77777777" w:rsidR="002C4240" w:rsidRDefault="002C4240" w:rsidP="00FB0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F2AE" id="Text Box 11" o:spid="_x0000_s1031" type="#_x0000_t202" style="position:absolute;margin-left:40.85pt;margin-top:10.25pt;width:142.5pt;height:10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" filled="f" stroked="f" strokeweight=".5pt">
                <v:textbox>
                  <w:txbxContent>
                    <w:p w14:paraId="72C87B54" w14:textId="77777777" w:rsidR="002C4240" w:rsidRPr="00621613" w:rsidRDefault="002C4240" w:rsidP="00FB04CE">
                      <w:pPr>
                        <w:rPr>
                          <w:b/>
                          <w:sz w:val="20"/>
                          <w:szCs w:val="20"/>
                        </w:rPr>
                      </w:pPr>
                      <w:r w:rsidRPr="00621613">
                        <w:rPr>
                          <w:b/>
                          <w:sz w:val="20"/>
                          <w:szCs w:val="20"/>
                        </w:rPr>
                        <w:t>Growing</w:t>
                      </w:r>
                    </w:p>
                    <w:p w14:paraId="103030D1" w14:textId="77777777" w:rsidR="002C4240" w:rsidRPr="00621613" w:rsidRDefault="002C4240" w:rsidP="00FB04CE">
                      <w:pPr>
                        <w:rPr>
                          <w:b/>
                          <w:sz w:val="20"/>
                          <w:szCs w:val="20"/>
                        </w:rPr>
                      </w:pPr>
                      <w:r w:rsidRPr="00621613">
                        <w:rPr>
                          <w:b/>
                          <w:sz w:val="20"/>
                          <w:szCs w:val="20"/>
                        </w:rPr>
                        <w:t>Harvesting</w:t>
                      </w:r>
                    </w:p>
                    <w:p w14:paraId="23CD7999" w14:textId="77777777" w:rsidR="002C4240" w:rsidRPr="00621613" w:rsidRDefault="002C4240" w:rsidP="00FB04CE">
                      <w:pPr>
                        <w:rPr>
                          <w:b/>
                          <w:sz w:val="20"/>
                          <w:szCs w:val="20"/>
                        </w:rPr>
                      </w:pPr>
                      <w:r w:rsidRPr="00621613">
                        <w:rPr>
                          <w:b/>
                          <w:sz w:val="20"/>
                          <w:szCs w:val="20"/>
                        </w:rPr>
                        <w:t>Primary processing</w:t>
                      </w:r>
                    </w:p>
                    <w:p w14:paraId="1CBEBADA" w14:textId="77777777" w:rsidR="002C4240" w:rsidRPr="00621613" w:rsidRDefault="002C4240" w:rsidP="00FB04CE">
                      <w:pPr>
                        <w:ind w:left="142"/>
                        <w:rPr>
                          <w:b/>
                          <w:sz w:val="20"/>
                          <w:szCs w:val="20"/>
                        </w:rPr>
                      </w:pPr>
                      <w:r w:rsidRPr="00621613">
                        <w:rPr>
                          <w:b/>
                          <w:sz w:val="20"/>
                          <w:szCs w:val="20"/>
                        </w:rPr>
                        <w:t>(e.g. washing, trimming,</w:t>
                      </w:r>
                      <w:r>
                        <w:rPr>
                          <w:b/>
                          <w:sz w:val="20"/>
                          <w:szCs w:val="20"/>
                        </w:rPr>
                        <w:t xml:space="preserve"> post</w:t>
                      </w:r>
                      <w:r w:rsidRPr="00621613">
                        <w:rPr>
                          <w:b/>
                          <w:sz w:val="20"/>
                          <w:szCs w:val="20"/>
                        </w:rPr>
                        <w:t>harvest treatments)</w:t>
                      </w:r>
                    </w:p>
                    <w:p w14:paraId="5C12EF9F" w14:textId="77777777" w:rsidR="002C4240" w:rsidRPr="00621613" w:rsidRDefault="002C4240" w:rsidP="00FB04CE">
                      <w:pPr>
                        <w:rPr>
                          <w:b/>
                          <w:sz w:val="20"/>
                          <w:szCs w:val="20"/>
                        </w:rPr>
                      </w:pPr>
                      <w:r w:rsidRPr="00621613">
                        <w:rPr>
                          <w:b/>
                          <w:sz w:val="20"/>
                          <w:szCs w:val="20"/>
                        </w:rPr>
                        <w:t>Packing</w:t>
                      </w:r>
                    </w:p>
                    <w:p w14:paraId="5D7F89F7" w14:textId="77777777" w:rsidR="002C4240" w:rsidRDefault="002C4240" w:rsidP="00FB04CE">
                      <w:r w:rsidRPr="00621613">
                        <w:rPr>
                          <w:b/>
                          <w:sz w:val="20"/>
                          <w:szCs w:val="20"/>
                        </w:rPr>
                        <w:t>Storage and Transport</w:t>
                      </w:r>
                    </w:p>
                    <w:p w14:paraId="00DCB575" w14:textId="77777777" w:rsidR="002C4240" w:rsidRDefault="002C4240" w:rsidP="00FB04CE"/>
                  </w:txbxContent>
                </v:textbox>
              </v:shape>
            </w:pict>
          </mc:Fallback>
        </mc:AlternateContent>
      </w:r>
      <w:r>
        <w:rPr>
          <w:rFonts w:cs="Arial"/>
          <w:b/>
          <w:noProof/>
          <w:lang w:eastAsia="en-GB" w:bidi="ar-SA"/>
        </w:rPr>
        <mc:AlternateContent>
          <mc:Choice Requires="wps">
            <w:drawing>
              <wp:anchor distT="0" distB="0" distL="114300" distR="114300" simplePos="0" relativeHeight="251658243" behindDoc="0" locked="0" layoutInCell="1" allowOverlap="1" wp14:anchorId="6B00BA17" wp14:editId="15EFF4AD">
                <wp:simplePos x="0" y="0"/>
                <wp:positionH relativeFrom="column">
                  <wp:posOffset>499745</wp:posOffset>
                </wp:positionH>
                <wp:positionV relativeFrom="paragraph">
                  <wp:posOffset>44450</wp:posOffset>
                </wp:positionV>
                <wp:extent cx="1847850" cy="13049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1847850" cy="1304925"/>
                        </a:xfrm>
                        <a:prstGeom prst="rect">
                          <a:avLst/>
                        </a:prstGeom>
                        <a:solidFill>
                          <a:schemeClr val="accent3">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17D51" id="Rectangle 13" o:spid="_x0000_s1026" style="position:absolute;margin-left:39.35pt;margin-top:3.5pt;width:145.5pt;height:102.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" fillcolor="#eaf1dd [662]" strokecolor="black [3213]" strokeweight="1pt"/>
            </w:pict>
          </mc:Fallback>
        </mc:AlternateContent>
      </w:r>
      <w:r w:rsidRPr="002D31CC">
        <w:rPr>
          <w:rFonts w:cs="Arial"/>
          <w:b/>
          <w:noProof/>
          <w:lang w:eastAsia="en-GB" w:bidi="ar-SA"/>
        </w:rPr>
        <mc:AlternateContent>
          <mc:Choice Requires="wps">
            <w:drawing>
              <wp:anchor distT="0" distB="0" distL="114300" distR="114300" simplePos="0" relativeHeight="251658250" behindDoc="0" locked="0" layoutInCell="1" allowOverlap="1" wp14:anchorId="318A4F1D" wp14:editId="2209E334">
                <wp:simplePos x="0" y="0"/>
                <wp:positionH relativeFrom="column">
                  <wp:posOffset>2719070</wp:posOffset>
                </wp:positionH>
                <wp:positionV relativeFrom="paragraph">
                  <wp:posOffset>44450</wp:posOffset>
                </wp:positionV>
                <wp:extent cx="1847850" cy="13049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1847850" cy="1304925"/>
                        </a:xfrm>
                        <a:prstGeom prst="rect">
                          <a:avLst/>
                        </a:prstGeom>
                        <a:solidFill>
                          <a:schemeClr val="accent2">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2BDB4" id="Rectangle 14" o:spid="_x0000_s1026" style="position:absolute;margin-left:214.1pt;margin-top:3.5pt;width:145.5pt;height:102.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" fillcolor="#f2dbdb [661]" strokecolor="black [3213]" strokeweight="1pt"/>
            </w:pict>
          </mc:Fallback>
        </mc:AlternateContent>
      </w:r>
    </w:p>
    <w:p w14:paraId="77B35A4E" w14:textId="77777777" w:rsidR="00FB04CE" w:rsidRDefault="00FB04CE" w:rsidP="00FB04CE">
      <w:pPr>
        <w:rPr>
          <w:rFonts w:cs="Arial"/>
          <w:b/>
        </w:rPr>
      </w:pPr>
    </w:p>
    <w:p w14:paraId="369C51FB" w14:textId="77777777" w:rsidR="00FB04CE" w:rsidRDefault="00FB04CE" w:rsidP="00FB04CE">
      <w:pPr>
        <w:rPr>
          <w:rFonts w:cs="Arial"/>
          <w:b/>
        </w:rPr>
      </w:pPr>
    </w:p>
    <w:p w14:paraId="2601D68A" w14:textId="77777777" w:rsidR="00FB04CE" w:rsidRDefault="00FB04CE" w:rsidP="00FB04CE">
      <w:pPr>
        <w:rPr>
          <w:rFonts w:cs="Arial"/>
          <w:b/>
        </w:rPr>
      </w:pPr>
    </w:p>
    <w:p w14:paraId="2F902322" w14:textId="77777777" w:rsidR="00FB04CE" w:rsidRDefault="00FB04CE" w:rsidP="00FB04CE">
      <w:pPr>
        <w:rPr>
          <w:rFonts w:cs="Arial"/>
          <w:b/>
        </w:rPr>
      </w:pPr>
    </w:p>
    <w:p w14:paraId="47A08F44" w14:textId="77777777" w:rsidR="00FB04CE" w:rsidRDefault="00FB04CE" w:rsidP="00FB04CE">
      <w:pPr>
        <w:rPr>
          <w:rFonts w:cs="Arial"/>
          <w:b/>
        </w:rPr>
      </w:pPr>
    </w:p>
    <w:p w14:paraId="75A4FB37" w14:textId="77777777" w:rsidR="00FB04CE" w:rsidRDefault="00FB04CE" w:rsidP="00FB04CE">
      <w:pPr>
        <w:rPr>
          <w:rFonts w:cs="Arial"/>
          <w:b/>
        </w:rPr>
      </w:pPr>
    </w:p>
    <w:p w14:paraId="5546732D" w14:textId="77777777" w:rsidR="00FB04CE" w:rsidRDefault="00FB04CE" w:rsidP="00FB04CE">
      <w:pPr>
        <w:rPr>
          <w:rFonts w:cs="Arial"/>
          <w:b/>
        </w:rPr>
      </w:pPr>
    </w:p>
    <w:p w14:paraId="0ABD6B7A" w14:textId="77777777" w:rsidR="00FB04CE" w:rsidRDefault="00FB04CE" w:rsidP="00FB04CE">
      <w:pPr>
        <w:rPr>
          <w:rFonts w:cs="Arial"/>
          <w:b/>
        </w:rPr>
      </w:pPr>
    </w:p>
    <w:p w14:paraId="1FD0F0E7" w14:textId="77777777" w:rsidR="00FB04CE" w:rsidRDefault="00FB04CE" w:rsidP="00FB04CE">
      <w:pPr>
        <w:rPr>
          <w:rFonts w:cs="Arial"/>
          <w:b/>
        </w:rPr>
      </w:pPr>
      <w:r>
        <w:rPr>
          <w:rFonts w:cs="Arial"/>
          <w:b/>
          <w:noProof/>
          <w:lang w:eastAsia="en-GB" w:bidi="ar-SA"/>
        </w:rPr>
        <mc:AlternateContent>
          <mc:Choice Requires="wps">
            <w:drawing>
              <wp:anchor distT="0" distB="0" distL="114300" distR="114300" simplePos="0" relativeHeight="251658248" behindDoc="0" locked="0" layoutInCell="1" allowOverlap="1" wp14:anchorId="705E094B" wp14:editId="6297866B">
                <wp:simplePos x="0" y="0"/>
                <wp:positionH relativeFrom="column">
                  <wp:posOffset>2823845</wp:posOffset>
                </wp:positionH>
                <wp:positionV relativeFrom="paragraph">
                  <wp:posOffset>27305</wp:posOffset>
                </wp:positionV>
                <wp:extent cx="1638300" cy="419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195437F5" w14:textId="77777777" w:rsidR="002C4240" w:rsidRPr="00B21544" w:rsidRDefault="002C4240" w:rsidP="00FB04CE">
                            <w:pPr>
                              <w:rPr>
                                <w:b/>
                                <w:sz w:val="20"/>
                                <w:szCs w:val="20"/>
                              </w:rPr>
                            </w:pPr>
                            <w:r>
                              <w:rPr>
                                <w:b/>
                                <w:sz w:val="20"/>
                                <w:szCs w:val="20"/>
                              </w:rPr>
                              <w:t>Chapter 3 requirements already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E094B" id="Text Box 26" o:spid="_x0000_s1032" type="#_x0000_t202" style="position:absolute;margin-left:222.35pt;margin-top:2.15pt;width:129pt;height:3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" filled="f" stroked="f" strokeweight=".5pt">
                <v:textbox>
                  <w:txbxContent>
                    <w:p w14:paraId="195437F5" w14:textId="77777777" w:rsidR="002C4240" w:rsidRPr="00B21544" w:rsidRDefault="002C4240" w:rsidP="00FB04CE">
                      <w:pPr>
                        <w:rPr>
                          <w:b/>
                          <w:sz w:val="20"/>
                          <w:szCs w:val="20"/>
                        </w:rPr>
                      </w:pPr>
                      <w:r>
                        <w:rPr>
                          <w:b/>
                          <w:sz w:val="20"/>
                          <w:szCs w:val="20"/>
                        </w:rPr>
                        <w:t>Chapter 3 requirements already apply</w:t>
                      </w:r>
                    </w:p>
                  </w:txbxContent>
                </v:textbox>
              </v:shape>
            </w:pict>
          </mc:Fallback>
        </mc:AlternateContent>
      </w:r>
      <w:r>
        <w:rPr>
          <w:rFonts w:cs="Arial"/>
          <w:b/>
          <w:noProof/>
          <w:lang w:eastAsia="en-GB" w:bidi="ar-SA"/>
        </w:rPr>
        <mc:AlternateContent>
          <mc:Choice Requires="wps">
            <w:drawing>
              <wp:anchor distT="0" distB="0" distL="114300" distR="114300" simplePos="0" relativeHeight="251658247" behindDoc="0" locked="0" layoutInCell="1" allowOverlap="1" wp14:anchorId="6A0CA098" wp14:editId="0179CC60">
                <wp:simplePos x="0" y="0"/>
                <wp:positionH relativeFrom="column">
                  <wp:posOffset>518795</wp:posOffset>
                </wp:positionH>
                <wp:positionV relativeFrom="paragraph">
                  <wp:posOffset>103505</wp:posOffset>
                </wp:positionV>
                <wp:extent cx="914400" cy="3143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6D2B0307" w14:textId="77777777" w:rsidR="002C4240" w:rsidRPr="00B21544" w:rsidRDefault="002C4240" w:rsidP="00FB04CE">
                            <w:pPr>
                              <w:rPr>
                                <w:b/>
                                <w:sz w:val="20"/>
                                <w:szCs w:val="20"/>
                              </w:rPr>
                            </w:pPr>
                            <w:r>
                              <w:rPr>
                                <w:b/>
                                <w:sz w:val="20"/>
                                <w:szCs w:val="20"/>
                              </w:rPr>
                              <w:t>Chapter 4 Primary Production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CA098" id="Text Box 27" o:spid="_x0000_s1033" type="#_x0000_t202" style="position:absolute;margin-left:40.85pt;margin-top:8.15pt;width:1in;height:24.75pt;z-index:25165824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" filled="f" stroked="f" strokeweight=".5pt">
                <v:textbox>
                  <w:txbxContent>
                    <w:p w14:paraId="6D2B0307" w14:textId="77777777" w:rsidR="002C4240" w:rsidRPr="00B21544" w:rsidRDefault="002C4240" w:rsidP="00FB04CE">
                      <w:pPr>
                        <w:rPr>
                          <w:b/>
                          <w:sz w:val="20"/>
                          <w:szCs w:val="20"/>
                        </w:rPr>
                      </w:pPr>
                      <w:r>
                        <w:rPr>
                          <w:b/>
                          <w:sz w:val="20"/>
                          <w:szCs w:val="20"/>
                        </w:rPr>
                        <w:t>Chapter 4 Primary Production</w:t>
                      </w:r>
                    </w:p>
                  </w:txbxContent>
                </v:textbox>
              </v:shape>
            </w:pict>
          </mc:Fallback>
        </mc:AlternateContent>
      </w:r>
      <w:r>
        <w:rPr>
          <w:rFonts w:cs="Arial"/>
          <w:b/>
          <w:noProof/>
          <w:lang w:eastAsia="en-GB" w:bidi="ar-SA"/>
        </w:rPr>
        <mc:AlternateContent>
          <mc:Choice Requires="wps">
            <w:drawing>
              <wp:anchor distT="0" distB="0" distL="114300" distR="114300" simplePos="0" relativeHeight="251658242" behindDoc="0" locked="0" layoutInCell="1" allowOverlap="1" wp14:anchorId="38A23A98" wp14:editId="42AEAA25">
                <wp:simplePos x="0" y="0"/>
                <wp:positionH relativeFrom="column">
                  <wp:posOffset>499745</wp:posOffset>
                </wp:positionH>
                <wp:positionV relativeFrom="paragraph">
                  <wp:posOffset>17780</wp:posOffset>
                </wp:positionV>
                <wp:extent cx="4162425" cy="4286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4162425" cy="42862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AF28B" id="Rectangle 28" o:spid="_x0000_s1026" style="position:absolute;margin-left:39.35pt;margin-top:1.4pt;width:327.75pt;height:33.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" fillcolor="#f2f2f2 [3052]" strokecolor="black [3213]" strokeweight="1pt"/>
            </w:pict>
          </mc:Fallback>
        </mc:AlternateContent>
      </w:r>
    </w:p>
    <w:p w14:paraId="2DB68FA2" w14:textId="77777777" w:rsidR="00FB04CE" w:rsidRDefault="00FB04CE" w:rsidP="00FB04CE">
      <w:pPr>
        <w:rPr>
          <w:rFonts w:cs="Arial"/>
          <w:b/>
        </w:rPr>
      </w:pPr>
    </w:p>
    <w:p w14:paraId="4FB0F8CA" w14:textId="77777777" w:rsidR="00FB04CE" w:rsidRDefault="00FB04CE" w:rsidP="00FB04CE">
      <w:pPr>
        <w:rPr>
          <w:rFonts w:cs="Arial"/>
          <w:b/>
        </w:rPr>
      </w:pPr>
    </w:p>
    <w:p w14:paraId="53454D66" w14:textId="77777777" w:rsidR="00FB04CE" w:rsidRDefault="00FB04CE" w:rsidP="00FB04CE">
      <w:pPr>
        <w:rPr>
          <w:rFonts w:cs="Arial"/>
          <w:b/>
        </w:rPr>
      </w:pPr>
    </w:p>
    <w:p w14:paraId="24B7311A" w14:textId="3C60C365" w:rsidR="00FB04CE" w:rsidRPr="004C57BA" w:rsidRDefault="00FB04CE" w:rsidP="00FB04CE">
      <w:pPr>
        <w:pStyle w:val="FSFigureTitle"/>
        <w:rPr>
          <w:i w:val="0"/>
          <w:u w:color="FFFF00"/>
        </w:rPr>
      </w:pPr>
      <w:r w:rsidRPr="00097E65">
        <w:rPr>
          <w:i w:val="0"/>
        </w:rPr>
        <w:t xml:space="preserve">Figure </w:t>
      </w:r>
      <w:r w:rsidRPr="00097E65">
        <w:rPr>
          <w:i w:val="0"/>
        </w:rPr>
        <w:fldChar w:fldCharType="begin"/>
      </w:r>
      <w:r w:rsidRPr="00097E65">
        <w:rPr>
          <w:i w:val="0"/>
        </w:rPr>
        <w:instrText xml:space="preserve"> SEQ Figure \* ARABIC </w:instrText>
      </w:r>
      <w:r w:rsidRPr="00097E65">
        <w:rPr>
          <w:i w:val="0"/>
        </w:rPr>
        <w:fldChar w:fldCharType="separate"/>
      </w:r>
      <w:r w:rsidR="00A952A2">
        <w:rPr>
          <w:i w:val="0"/>
          <w:noProof/>
        </w:rPr>
        <w:t>1</w:t>
      </w:r>
      <w:r w:rsidRPr="00097E65">
        <w:rPr>
          <w:i w:val="0"/>
          <w:noProof/>
        </w:rPr>
        <w:fldChar w:fldCharType="end"/>
      </w:r>
      <w:r>
        <w:rPr>
          <w:i w:val="0"/>
          <w:noProof/>
        </w:rPr>
        <w:t>.</w:t>
      </w:r>
      <w:r w:rsidRPr="00201C5E">
        <w:t xml:space="preserve"> </w:t>
      </w:r>
      <w:r w:rsidRPr="004C57BA">
        <w:rPr>
          <w:i w:val="0"/>
          <w:u w:color="FFFF00"/>
        </w:rPr>
        <w:t xml:space="preserve">Schematic representation of the scope of </w:t>
      </w:r>
      <w:r w:rsidRPr="004C57BA">
        <w:rPr>
          <w:i w:val="0"/>
        </w:rPr>
        <w:t xml:space="preserve">the microbiological risk assessment for </w:t>
      </w:r>
      <w:r w:rsidRPr="004C57BA">
        <w:rPr>
          <w:i w:val="0"/>
          <w:u w:color="FFFF00"/>
        </w:rPr>
        <w:t>Proposal P1052</w:t>
      </w:r>
    </w:p>
    <w:p w14:paraId="22E36D44" w14:textId="77777777" w:rsidR="00FB04CE" w:rsidRDefault="00FB04CE" w:rsidP="00FB04CE"/>
    <w:p w14:paraId="09E393BC" w14:textId="77777777" w:rsidR="00FB04CE" w:rsidRPr="0077313A" w:rsidRDefault="00FB04CE" w:rsidP="00FB04CE">
      <w:r>
        <w:t>T</w:t>
      </w:r>
      <w:r w:rsidRPr="0077313A">
        <w:t xml:space="preserve">he scope </w:t>
      </w:r>
      <w:r>
        <w:t xml:space="preserve">of this work also does </w:t>
      </w:r>
      <w:r w:rsidRPr="0077313A">
        <w:t xml:space="preserve">not include an assessment of the application of modified atmosphere packaging that could be applied to </w:t>
      </w:r>
      <w:r w:rsidRPr="0077313A">
        <w:rPr>
          <w:lang w:bidi="ar-SA"/>
        </w:rPr>
        <w:t>ready</w:t>
      </w:r>
      <w:r>
        <w:rPr>
          <w:lang w:bidi="ar-SA"/>
        </w:rPr>
        <w:t>-</w:t>
      </w:r>
      <w:r w:rsidRPr="0077313A">
        <w:rPr>
          <w:lang w:bidi="ar-SA"/>
        </w:rPr>
        <w:t>to</w:t>
      </w:r>
      <w:r>
        <w:rPr>
          <w:lang w:bidi="ar-SA"/>
        </w:rPr>
        <w:t>-</w:t>
      </w:r>
      <w:r w:rsidRPr="0077313A">
        <w:rPr>
          <w:lang w:bidi="ar-SA"/>
        </w:rPr>
        <w:t>eat, minimally processed fruits and vegetables</w:t>
      </w:r>
      <w:r>
        <w:rPr>
          <w:rStyle w:val="FootnoteReference"/>
          <w:lang w:bidi="ar-SA"/>
        </w:rPr>
        <w:footnoteReference w:id="3"/>
      </w:r>
      <w:r w:rsidRPr="0077313A">
        <w:rPr>
          <w:lang w:bidi="ar-SA"/>
        </w:rPr>
        <w:t xml:space="preserve">. </w:t>
      </w:r>
      <w:r>
        <w:t>Also out of scope are processes and risk factors that occur after fresh produce is released from the processing or packing shed, such as transport, cold chain maintenance to the consumer and processing/storing at retail, that are covered by requirements in Standard 3.2.2 in the Code, and consumer handling. While the important contribution of these aspects to end product safety are recognised and briefly discussed, the main objective was to identify the risk factors associated with the primary production, harvest, and postharvest activities identified above.</w:t>
      </w:r>
    </w:p>
    <w:p w14:paraId="00F94D16" w14:textId="77777777" w:rsidR="00FB04CE" w:rsidRPr="005210BE" w:rsidRDefault="00FB04CE" w:rsidP="00FB04CE">
      <w:pPr>
        <w:pStyle w:val="Heading2"/>
        <w:numPr>
          <w:ilvl w:val="1"/>
          <w:numId w:val="11"/>
        </w:numPr>
      </w:pPr>
      <w:bookmarkStart w:id="18" w:name="_Toc87860004"/>
      <w:r w:rsidRPr="005210BE">
        <w:t>A qualitative through-chain assessment approach</w:t>
      </w:r>
      <w:bookmarkEnd w:id="18"/>
    </w:p>
    <w:p w14:paraId="770EEAAE" w14:textId="77777777" w:rsidR="00FB04CE" w:rsidRPr="008E5E67" w:rsidRDefault="00FB04CE" w:rsidP="00FB04CE">
      <w:r w:rsidRPr="006F0D64">
        <w:t xml:space="preserve">In </w:t>
      </w:r>
      <w:hyperlink r:id="rId18" w:history="1">
        <w:r w:rsidRPr="006F0D64">
          <w:rPr>
            <w:rStyle w:val="Hyperlink"/>
            <w:color w:val="auto"/>
            <w:u w:val="none"/>
            <w:lang w:bidi="ar-SA"/>
          </w:rPr>
          <w:t>Proposal P1015</w:t>
        </w:r>
      </w:hyperlink>
      <w:r>
        <w:rPr>
          <w:lang w:eastAsia="en-AU" w:bidi="ar-SA"/>
        </w:rPr>
        <w:t xml:space="preserve">, </w:t>
      </w:r>
      <w:r w:rsidRPr="005210BE">
        <w:rPr>
          <w:lang w:bidi="ar-SA"/>
        </w:rPr>
        <w:t xml:space="preserve">FSANZ reviewed reports of foodborne illness associated with fresh horticultural produce from 1990–2011 to </w:t>
      </w:r>
      <w:r w:rsidRPr="005210BE">
        <w:t xml:space="preserve">test assumptions about which commodities and risk factors </w:t>
      </w:r>
      <w:r>
        <w:t>were</w:t>
      </w:r>
      <w:r w:rsidRPr="005210BE">
        <w:t xml:space="preserve"> most likely to result in produce contamination and outbreaks of foodborne illness</w:t>
      </w:r>
      <w:r w:rsidRPr="005210BE">
        <w:rPr>
          <w:lang w:bidi="ar-SA"/>
        </w:rPr>
        <w:t xml:space="preserve">. That review </w:t>
      </w:r>
      <w:r w:rsidRPr="005210BE">
        <w:t xml:space="preserve">identified that the main risk factors for the primary production and processing of fresh horticultural produce </w:t>
      </w:r>
      <w:r>
        <w:t>were</w:t>
      </w:r>
      <w:r w:rsidRPr="005210BE">
        <w:t xml:space="preserve"> the use of poor quality water (pre- and </w:t>
      </w:r>
      <w:r>
        <w:t>postharvest</w:t>
      </w:r>
      <w:r w:rsidRPr="005210BE">
        <w:t>), faecal contamination by wildlife, and poor hygienic practices</w:t>
      </w:r>
      <w:r>
        <w:t xml:space="preserve"> of workers</w:t>
      </w:r>
      <w:r w:rsidRPr="005210BE">
        <w:t xml:space="preserve"> through </w:t>
      </w:r>
      <w:r w:rsidRPr="008E5E67">
        <w:t>the supply chain.</w:t>
      </w:r>
      <w:r w:rsidRPr="008E5E67">
        <w:rPr>
          <w:lang w:bidi="ar-SA"/>
        </w:rPr>
        <w:t xml:space="preserve"> The review found that the commodity sectors most commonly involved in outbreaks included </w:t>
      </w:r>
      <w:r w:rsidRPr="008E5E67">
        <w:t>leafy vegetables, berries, melons, and minimally processed produce.</w:t>
      </w:r>
    </w:p>
    <w:p w14:paraId="124DFD11" w14:textId="77777777" w:rsidR="00FB04CE" w:rsidRPr="008E5E67" w:rsidRDefault="00FB04CE" w:rsidP="00FB04CE">
      <w:pPr>
        <w:rPr>
          <w:lang w:bidi="ar-SA"/>
        </w:rPr>
      </w:pPr>
    </w:p>
    <w:p w14:paraId="54F22AC0" w14:textId="77777777" w:rsidR="00FB04CE" w:rsidRPr="008E5E67" w:rsidRDefault="00FB04CE" w:rsidP="00FB04CE">
      <w:r w:rsidRPr="008E5E67">
        <w:t xml:space="preserve">This assessment complements and builds on </w:t>
      </w:r>
      <w:r w:rsidRPr="008E5E67">
        <w:rPr>
          <w:lang w:bidi="ar-SA"/>
        </w:rPr>
        <w:t xml:space="preserve">the assessment undertaken in </w:t>
      </w:r>
      <w:hyperlink r:id="rId19" w:history="1">
        <w:r w:rsidRPr="008E5E67">
          <w:rPr>
            <w:rStyle w:val="Hyperlink"/>
            <w:color w:val="auto"/>
            <w:u w:val="none"/>
            <w:lang w:bidi="ar-SA"/>
          </w:rPr>
          <w:t>Proposal P1015</w:t>
        </w:r>
      </w:hyperlink>
      <w:r w:rsidRPr="008E5E67">
        <w:rPr>
          <w:rStyle w:val="Hyperlink"/>
          <w:color w:val="auto"/>
          <w:u w:val="none"/>
          <w:lang w:bidi="ar-SA"/>
        </w:rPr>
        <w:t xml:space="preserve">, by </w:t>
      </w:r>
      <w:r w:rsidRPr="008E5E67">
        <w:t>aiming to identify and summarise the scientific evidence of pathways of contamination, persistence and amplification of hazards throughout the primary production and primary processing chain. This assessment has also aimed to identify measures/controls that may minimise contamination of produce. In addition, recent outbreaks and prevalence data (2011-2019, since the P1015 assessment) and consumption characteristics for the in-scope commodities were summarised.</w:t>
      </w:r>
    </w:p>
    <w:p w14:paraId="695EDCB7" w14:textId="77777777" w:rsidR="00FB04CE" w:rsidRPr="008E5E67" w:rsidRDefault="00FB04CE" w:rsidP="00FB04CE">
      <w:pPr>
        <w:rPr>
          <w:lang w:bidi="ar-SA"/>
        </w:rPr>
      </w:pPr>
    </w:p>
    <w:p w14:paraId="774657EE" w14:textId="1853C79B" w:rsidR="00FB04CE" w:rsidRPr="005210BE" w:rsidRDefault="00FB04CE" w:rsidP="00FB04CE">
      <w:pPr>
        <w:rPr>
          <w:lang w:bidi="ar-SA"/>
        </w:rPr>
      </w:pPr>
      <w:r w:rsidRPr="008E5E67">
        <w:rPr>
          <w:lang w:bidi="ar-SA"/>
        </w:rPr>
        <w:t xml:space="preserve">To guide the qualitative through-chain assessment, FSANZ has reviewed the information and data available for the in-scope commodities/hazards against similar factors considered by the FAO/WHO Expert Meeting in 2008 that addressed microbiological hazards associated with </w:t>
      </w:r>
      <w:r w:rsidRPr="005210BE">
        <w:rPr>
          <w:lang w:bidi="ar-SA"/>
        </w:rPr>
        <w:t xml:space="preserve">leafy vegetables and herbs </w:t>
      </w:r>
      <w:r w:rsidR="00657FDB">
        <w:rPr>
          <w:lang w:bidi="ar-SA"/>
        </w:rPr>
        <w:t>(FAO/WHO 2008b)</w:t>
      </w:r>
      <w:r>
        <w:rPr>
          <w:lang w:bidi="ar-SA"/>
        </w:rPr>
        <w:t>.</w:t>
      </w:r>
    </w:p>
    <w:p w14:paraId="60A8448A" w14:textId="77777777" w:rsidR="00FB04CE" w:rsidRPr="000E5401" w:rsidRDefault="00FB04CE" w:rsidP="00FB04CE"/>
    <w:p w14:paraId="325A3E5F" w14:textId="77777777" w:rsidR="00FB04CE" w:rsidRPr="000E5401" w:rsidRDefault="00FB04CE" w:rsidP="00FB04CE">
      <w:r w:rsidRPr="000E5401">
        <w:t xml:space="preserve">Additionally, the assessment for this Proposal aimed to identify if the selected commodity sectors—or specific commodities within them—have commodity specific characteristics or production practices that make them more </w:t>
      </w:r>
      <w:r>
        <w:t>susceptible</w:t>
      </w:r>
      <w:r w:rsidRPr="000E5401">
        <w:t xml:space="preserve"> to contamination, compared to other commodities in the assessment, and subsequently require additional risk management measures.</w:t>
      </w:r>
    </w:p>
    <w:p w14:paraId="4B178CFD" w14:textId="77777777" w:rsidR="00FB04CE" w:rsidRDefault="00FB04CE" w:rsidP="00FB04CE">
      <w:pPr>
        <w:widowControl/>
      </w:pPr>
    </w:p>
    <w:p w14:paraId="6188B4E1" w14:textId="77777777" w:rsidR="00FB04CE" w:rsidRDefault="00FB04CE" w:rsidP="00FB04CE">
      <w:pPr>
        <w:widowControl/>
      </w:pPr>
      <w:r>
        <w:t xml:space="preserve">Literature searches were undertaken to identify available evidence for the in-scope commodities and pathogens against the primary production, harvest, and primary processing activities considered to be in scope for this </w:t>
      </w:r>
      <w:r w:rsidRPr="005B6F91">
        <w:t>assessment (Appendix 1). The</w:t>
      </w:r>
      <w:r>
        <w:t xml:space="preserve"> available data was then compiled and summarised for each commodity.</w:t>
      </w:r>
    </w:p>
    <w:p w14:paraId="548FF5F3" w14:textId="77777777" w:rsidR="00FB04CE" w:rsidRDefault="00FB04CE" w:rsidP="00FB04CE">
      <w:pPr>
        <w:widowControl/>
      </w:pPr>
    </w:p>
    <w:p w14:paraId="31DB5FCB" w14:textId="77777777" w:rsidR="00FB04CE" w:rsidRPr="00011662" w:rsidRDefault="00FB04CE" w:rsidP="00FB04CE">
      <w:pPr>
        <w:rPr>
          <w:rFonts w:cs="Arial"/>
          <w:color w:val="000000" w:themeColor="text1"/>
          <w:szCs w:val="22"/>
          <w:lang w:val="en-AU" w:bidi="ar-SA"/>
        </w:rPr>
      </w:pPr>
      <w:r w:rsidRPr="00527354">
        <w:rPr>
          <w:rFonts w:cs="Arial"/>
          <w:color w:val="000000" w:themeColor="text1"/>
          <w:lang w:val="en-AU"/>
        </w:rPr>
        <w:t>The qualitative nature of the assessment and scope mean</w:t>
      </w:r>
      <w:r>
        <w:rPr>
          <w:rFonts w:cs="Arial"/>
          <w:color w:val="000000" w:themeColor="text1"/>
          <w:lang w:val="en-AU"/>
        </w:rPr>
        <w:t>t it wa</w:t>
      </w:r>
      <w:r w:rsidRPr="00527354">
        <w:rPr>
          <w:rFonts w:cs="Arial"/>
          <w:color w:val="000000" w:themeColor="text1"/>
          <w:lang w:val="en-AU"/>
        </w:rPr>
        <w:t>s not possible to provide comparative estimates of risk (likelihood and the severity of consequences) for the large number of individual risk factors, pathogens, and commodity combinations that were con</w:t>
      </w:r>
      <w:r>
        <w:rPr>
          <w:rFonts w:cs="Arial"/>
          <w:color w:val="000000" w:themeColor="text1"/>
          <w:lang w:val="en-AU"/>
        </w:rPr>
        <w:t>sidered in this assessment. It wa</w:t>
      </w:r>
      <w:r w:rsidRPr="00527354">
        <w:rPr>
          <w:rFonts w:cs="Arial"/>
          <w:color w:val="000000" w:themeColor="text1"/>
          <w:lang w:val="en-AU"/>
        </w:rPr>
        <w:t>s possible to identify risk factors, considering the intrinsic nature of the commodities, that may apply to different commodities and provide an indication of scenarios that may lead to increased levels of risk.</w:t>
      </w:r>
    </w:p>
    <w:p w14:paraId="47F6B388" w14:textId="77777777" w:rsidR="00FB04CE" w:rsidRPr="00075522" w:rsidRDefault="00FB04CE" w:rsidP="00FB04CE">
      <w:pPr>
        <w:pStyle w:val="Default"/>
        <w:rPr>
          <w:sz w:val="22"/>
          <w:szCs w:val="22"/>
        </w:rPr>
      </w:pPr>
    </w:p>
    <w:p w14:paraId="5E523881" w14:textId="382CB57B" w:rsidR="00FB04CE" w:rsidRDefault="00FB04CE" w:rsidP="00FB04CE">
      <w:pPr>
        <w:pStyle w:val="Default"/>
        <w:rPr>
          <w:sz w:val="22"/>
          <w:szCs w:val="22"/>
        </w:rPr>
      </w:pPr>
      <w:r w:rsidRPr="00075522">
        <w:rPr>
          <w:sz w:val="22"/>
          <w:szCs w:val="22"/>
        </w:rPr>
        <w:t xml:space="preserve">Variability and uncertainty are important parameters which influence the interpretation of the risk assessment and the outputs. Variability can relate to biological or other difference such as between consumers, strains of bacteria, or plant species. Uncertainty in the context of this risk assessment relates to the lack of knowledge concerning commodities, pathogens, and risk factors. The uncertainty for a given parameter can be reduced by collecting more data, but variability is an inherent characteristic which cannot be reduced, but can be described. When considering the uncertainty </w:t>
      </w:r>
      <w:r>
        <w:rPr>
          <w:sz w:val="22"/>
          <w:szCs w:val="22"/>
        </w:rPr>
        <w:t xml:space="preserve">associated with the </w:t>
      </w:r>
      <w:r w:rsidRPr="00075522">
        <w:rPr>
          <w:sz w:val="22"/>
          <w:szCs w:val="22"/>
        </w:rPr>
        <w:t>conclusions provided in this assessment the following qualitative categories were used that have previously been described</w:t>
      </w:r>
      <w:r>
        <w:rPr>
          <w:sz w:val="22"/>
          <w:szCs w:val="22"/>
        </w:rPr>
        <w:t xml:space="preserve"> elsewhere </w:t>
      </w:r>
      <w:r w:rsidR="00657FDB">
        <w:rPr>
          <w:sz w:val="22"/>
          <w:szCs w:val="22"/>
        </w:rPr>
        <w:t>(European Food Safety Authority 2006)</w:t>
      </w:r>
      <w:r>
        <w:rPr>
          <w:sz w:val="22"/>
          <w:szCs w:val="22"/>
        </w:rPr>
        <w:t>.</w:t>
      </w:r>
    </w:p>
    <w:p w14:paraId="134E8D60" w14:textId="77777777" w:rsidR="00FB04CE" w:rsidRDefault="00FB04CE" w:rsidP="00FB04CE">
      <w:pPr>
        <w:pStyle w:val="Default"/>
        <w:rPr>
          <w:sz w:val="22"/>
          <w:szCs w:val="22"/>
        </w:rPr>
      </w:pPr>
    </w:p>
    <w:p w14:paraId="3F93EA5B" w14:textId="77777777" w:rsidR="005D0B92" w:rsidRDefault="005D0B92">
      <w:pPr>
        <w:widowControl/>
        <w:rPr>
          <w:rFonts w:cs="Arial"/>
          <w:color w:val="000000"/>
          <w:szCs w:val="22"/>
          <w:u w:val="single"/>
          <w:lang w:eastAsia="en-GB" w:bidi="ar-SA"/>
        </w:rPr>
      </w:pPr>
      <w:r>
        <w:rPr>
          <w:szCs w:val="22"/>
          <w:u w:val="single"/>
        </w:rPr>
        <w:br w:type="page"/>
      </w:r>
    </w:p>
    <w:p w14:paraId="47924D8D" w14:textId="4110E0FC" w:rsidR="00FB04CE" w:rsidRPr="003376A3" w:rsidRDefault="00FB04CE" w:rsidP="00FB04CE">
      <w:pPr>
        <w:pStyle w:val="Default"/>
        <w:rPr>
          <w:sz w:val="22"/>
          <w:szCs w:val="22"/>
          <w:u w:val="single"/>
        </w:rPr>
      </w:pPr>
      <w:r w:rsidRPr="003376A3">
        <w:rPr>
          <w:sz w:val="22"/>
          <w:szCs w:val="22"/>
          <w:u w:val="single"/>
        </w:rPr>
        <w:t>Uncertainty category and interpretation</w:t>
      </w:r>
    </w:p>
    <w:p w14:paraId="52B60478" w14:textId="77777777" w:rsidR="00FB04CE" w:rsidRPr="00A67FD9" w:rsidRDefault="00FB04CE" w:rsidP="00FB04CE">
      <w:pPr>
        <w:rPr>
          <w:b/>
          <w:u w:val="single"/>
        </w:rPr>
      </w:pPr>
    </w:p>
    <w:p w14:paraId="2BD65F2A" w14:textId="77777777" w:rsidR="00FB04CE" w:rsidRDefault="00FB04CE" w:rsidP="00FB04CE">
      <w:r w:rsidRPr="00A67FD9">
        <w:rPr>
          <w:b/>
        </w:rPr>
        <w:t>Low:</w:t>
      </w:r>
      <w:r>
        <w:t xml:space="preserve"> There are solid and complete data available; strong evidence is provided in multiple references; authors report similar conclusions.</w:t>
      </w:r>
    </w:p>
    <w:p w14:paraId="5A0D937E" w14:textId="77777777" w:rsidR="00FB04CE" w:rsidRDefault="00FB04CE" w:rsidP="00FB04CE"/>
    <w:p w14:paraId="55E01C51" w14:textId="77777777" w:rsidR="00FB04CE" w:rsidRDefault="00FB04CE" w:rsidP="00FB04CE">
      <w:r w:rsidRPr="00A67FD9">
        <w:rPr>
          <w:b/>
        </w:rPr>
        <w:t>Medium:</w:t>
      </w:r>
      <w:r>
        <w:t xml:space="preserve"> There are some but no complete data available; evidence is provided in small number of references; authors report conclusions that vary from one another.</w:t>
      </w:r>
    </w:p>
    <w:p w14:paraId="11AB3D93" w14:textId="77777777" w:rsidR="00FB04CE" w:rsidRDefault="00FB04CE" w:rsidP="00FB04CE"/>
    <w:p w14:paraId="7165E453" w14:textId="77777777" w:rsidR="00FB04CE" w:rsidRDefault="00FB04CE" w:rsidP="00FB04CE">
      <w:r w:rsidRPr="00A67FD9">
        <w:rPr>
          <w:b/>
        </w:rPr>
        <w:t>High:</w:t>
      </w:r>
      <w:r>
        <w:t xml:space="preserve"> There are scarce or no data available; evidence is not provided in references but rather in unpublished reports or based on observations, or personal communication; authors report conclusions that vary considerably between them.</w:t>
      </w:r>
    </w:p>
    <w:p w14:paraId="6CF53FA2" w14:textId="77777777" w:rsidR="00FB04CE" w:rsidRDefault="00FB04CE" w:rsidP="00FB04CE"/>
    <w:p w14:paraId="179710E1" w14:textId="77777777" w:rsidR="00FB04CE" w:rsidRPr="00DB4549" w:rsidRDefault="00FB04CE" w:rsidP="00FB04CE">
      <w:pPr>
        <w:widowControl/>
      </w:pPr>
      <w:r>
        <w:t>Where uncertainty is low, confidence in the conclusions is considered high. Where there is medium uncertainty, confidence in the conclusions is considered medium. Where uncertainty is high, confidence in the conclusions is considered low.</w:t>
      </w:r>
    </w:p>
    <w:p w14:paraId="196F584A" w14:textId="77777777" w:rsidR="00FB04CE" w:rsidRDefault="00FB04CE" w:rsidP="00FB04CE">
      <w:pPr>
        <w:widowControl/>
        <w:rPr>
          <w:b/>
          <w:bCs/>
          <w:sz w:val="36"/>
          <w:szCs w:val="28"/>
          <w:lang w:bidi="ar-SA"/>
        </w:rPr>
      </w:pPr>
      <w:bookmarkStart w:id="19" w:name="_Toc45275319"/>
      <w:bookmarkStart w:id="20" w:name="_Toc56693404"/>
      <w:bookmarkStart w:id="21" w:name="_Toc58327756"/>
      <w:bookmarkStart w:id="22" w:name="_Toc58333936"/>
      <w:r>
        <w:br w:type="page"/>
      </w:r>
    </w:p>
    <w:p w14:paraId="5F9ACC79" w14:textId="77777777" w:rsidR="00FB04CE" w:rsidRPr="00E33630" w:rsidRDefault="00FB04CE" w:rsidP="00FB04CE">
      <w:pPr>
        <w:pStyle w:val="Heading1"/>
        <w:numPr>
          <w:ilvl w:val="0"/>
          <w:numId w:val="11"/>
        </w:numPr>
        <w:ind w:right="454"/>
      </w:pPr>
      <w:bookmarkStart w:id="23" w:name="_Ref58344037"/>
      <w:bookmarkStart w:id="24" w:name="_Toc64448744"/>
      <w:bookmarkStart w:id="25" w:name="_Toc87860005"/>
      <w:r>
        <w:t>S</w:t>
      </w:r>
      <w:r w:rsidRPr="00B547C9">
        <w:t xml:space="preserve">election of proxies, </w:t>
      </w:r>
      <w:r>
        <w:t xml:space="preserve">and </w:t>
      </w:r>
      <w:r w:rsidRPr="00B547C9">
        <w:t>assessment approach</w:t>
      </w:r>
      <w:bookmarkEnd w:id="19"/>
      <w:bookmarkEnd w:id="20"/>
      <w:bookmarkEnd w:id="21"/>
      <w:bookmarkEnd w:id="22"/>
      <w:bookmarkEnd w:id="23"/>
      <w:bookmarkEnd w:id="24"/>
      <w:bookmarkEnd w:id="25"/>
    </w:p>
    <w:p w14:paraId="50A323A2" w14:textId="77777777" w:rsidR="00FB04CE" w:rsidRDefault="00FB04CE" w:rsidP="00FB04CE">
      <w:pPr>
        <w:pStyle w:val="Heading2"/>
        <w:numPr>
          <w:ilvl w:val="1"/>
          <w:numId w:val="11"/>
        </w:numPr>
      </w:pPr>
      <w:bookmarkStart w:id="26" w:name="_Toc56693405"/>
      <w:bookmarkStart w:id="27" w:name="_Toc58327757"/>
      <w:bookmarkStart w:id="28" w:name="_Toc58333937"/>
      <w:bookmarkStart w:id="29" w:name="_Toc64448745"/>
      <w:bookmarkStart w:id="30" w:name="_Toc87860006"/>
      <w:r>
        <w:t>Selection of proxies</w:t>
      </w:r>
      <w:bookmarkEnd w:id="26"/>
      <w:bookmarkEnd w:id="27"/>
      <w:bookmarkEnd w:id="28"/>
      <w:bookmarkEnd w:id="29"/>
      <w:bookmarkEnd w:id="30"/>
    </w:p>
    <w:p w14:paraId="1D9AEA5A" w14:textId="77777777" w:rsidR="00FB04CE" w:rsidRPr="004B2233" w:rsidRDefault="00FB04CE" w:rsidP="00FB04CE">
      <w:pPr>
        <w:rPr>
          <w:szCs w:val="22"/>
          <w:lang w:bidi="ar-SA"/>
        </w:rPr>
      </w:pPr>
      <w:r w:rsidRPr="004B2233">
        <w:t>The Australian horticulture industry is very complex, with huge diversity in types of horticultural produce; variation in size and experience of producers and processors; geographic and climatic variability between production zones; and seasonality of produce. In order to assess the risks from horticultural produce in a</w:t>
      </w:r>
      <w:r>
        <w:t>n efficient and effective</w:t>
      </w:r>
      <w:r w:rsidRPr="004B2233">
        <w:t xml:space="preserve"> manner, a proxy approach was utilised, focussing on a few specific </w:t>
      </w:r>
      <w:r>
        <w:t xml:space="preserve">representative </w:t>
      </w:r>
      <w:r w:rsidRPr="004B2233">
        <w:t>products and associated hazards per horticulture sector that enabled consideration of relevant risk factors.</w:t>
      </w:r>
    </w:p>
    <w:p w14:paraId="5B1D32C5" w14:textId="77777777" w:rsidR="00FB04CE" w:rsidRPr="004B2233" w:rsidRDefault="00FB04CE" w:rsidP="00FB04CE"/>
    <w:p w14:paraId="0A3192A0" w14:textId="77777777" w:rsidR="00FB04CE" w:rsidRDefault="00FB04CE" w:rsidP="00FB04CE">
      <w:r w:rsidRPr="004B2233">
        <w:t>The three horticulture sectors included in the scope of the assessment are leafy vegetables</w:t>
      </w:r>
      <w:r>
        <w:t xml:space="preserve">, </w:t>
      </w:r>
      <w:r w:rsidRPr="004B2233">
        <w:t xml:space="preserve">berries and melons. Specific products were selected to represent the variety of products within each sector. </w:t>
      </w:r>
      <w:r>
        <w:t>D</w:t>
      </w:r>
      <w:r w:rsidRPr="004B2233">
        <w:t>ifferences in the properties of the produce</w:t>
      </w:r>
      <w:r>
        <w:t xml:space="preserve"> (e.g. surface structure)</w:t>
      </w:r>
      <w:r w:rsidRPr="004B2233">
        <w:t>, growing conditions, and harvest and primary processing methods were taken into consideration when choosing the proxies.</w:t>
      </w:r>
    </w:p>
    <w:p w14:paraId="2AD2BC8C" w14:textId="77777777" w:rsidR="00FB04CE" w:rsidRPr="001C446E" w:rsidRDefault="00FB04CE" w:rsidP="00787E56">
      <w:pPr>
        <w:pStyle w:val="Heading3"/>
        <w:numPr>
          <w:ilvl w:val="2"/>
          <w:numId w:val="11"/>
        </w:numPr>
      </w:pPr>
      <w:bookmarkStart w:id="31" w:name="_Toc56693406"/>
      <w:bookmarkStart w:id="32" w:name="_Toc58327758"/>
      <w:bookmarkStart w:id="33" w:name="_Toc58333938"/>
      <w:bookmarkStart w:id="34" w:name="_Toc64448746"/>
      <w:bookmarkStart w:id="35" w:name="_Toc87860007"/>
      <w:r>
        <w:t>L</w:t>
      </w:r>
      <w:r w:rsidRPr="001C446E">
        <w:t>eafy vegetables (including leafy herbs)</w:t>
      </w:r>
      <w:bookmarkEnd w:id="31"/>
      <w:bookmarkEnd w:id="32"/>
      <w:bookmarkEnd w:id="33"/>
      <w:bookmarkEnd w:id="34"/>
      <w:bookmarkEnd w:id="35"/>
    </w:p>
    <w:p w14:paraId="3375EC2D" w14:textId="4DF2559C" w:rsidR="008E5E67" w:rsidRPr="001C446E" w:rsidRDefault="00FB04CE" w:rsidP="008E5E67">
      <w:r>
        <w:t>Fresh leafy vegetables and herbs</w:t>
      </w:r>
      <w:r>
        <w:rPr>
          <w:rStyle w:val="FootnoteReference"/>
        </w:rPr>
        <w:footnoteReference w:id="4"/>
      </w:r>
      <w:r>
        <w:t xml:space="preserve"> include all vegetables and herbs of a leafy nature in which the leaf (and core) is intended to be consumed raw </w:t>
      </w:r>
      <w:r w:rsidR="00657FDB">
        <w:t>(FAO/WHO 2008a, 2008b)</w:t>
      </w:r>
      <w:r>
        <w:t>. Examples are lettuce (all varieties), spinach, cabbages, chicory, leafy herbs (coriander, basil, parsley etc.) and watercress. Schedule 22 of the Code classifies leafy vegetables (including brassica leafy vegetables) as a large variety of edible plants with a high surface-to-weight ratio.</w:t>
      </w:r>
      <w:r w:rsidR="008E5E67" w:rsidRPr="008E5E67">
        <w:t xml:space="preserve"> </w:t>
      </w:r>
    </w:p>
    <w:p w14:paraId="4601D8C9" w14:textId="77777777" w:rsidR="008E5E67" w:rsidRPr="001C446E" w:rsidRDefault="008E5E67" w:rsidP="008E5E67"/>
    <w:p w14:paraId="6973F4E3" w14:textId="77777777" w:rsidR="008E5E67" w:rsidRDefault="00FB04CE" w:rsidP="008E5E67">
      <w:pPr>
        <w:shd w:val="clear" w:color="auto" w:fill="FFFFFF"/>
        <w:rPr>
          <w:rFonts w:ascii="Helvetica Neue" w:hAnsi="Helvetica Neue"/>
          <w:sz w:val="19"/>
          <w:szCs w:val="19"/>
          <w:lang w:val="en-US" w:eastAsia="en-GB" w:bidi="ar-SA"/>
        </w:rPr>
      </w:pPr>
      <w:r w:rsidRPr="001C446E">
        <w:t>The main products from this category grown in Australia include cabbage, English spinach/silverbeet/kale, leafy Asian vegetables, leafy salad vegetables, lettuce and fresh herbs. The highest volume product in this category grown i</w:t>
      </w:r>
      <w:r w:rsidR="00E05177">
        <w:t>n Australia is lettuce (138,485 </w:t>
      </w:r>
      <w:r w:rsidRPr="001C446E">
        <w:t>tonnes annually</w:t>
      </w:r>
      <w:r>
        <w:t xml:space="preserve"> in 2017/2018) followed by cabbage (71</w:t>
      </w:r>
      <w:r w:rsidRPr="001C446E">
        <w:t>,165 tonnes annually</w:t>
      </w:r>
      <w:r>
        <w:t xml:space="preserve"> in 2017/2018</w:t>
      </w:r>
      <w:r w:rsidRPr="001C446E">
        <w:t>) and leafy salad vegetables (56,297 tonnes annually</w:t>
      </w:r>
      <w:r>
        <w:t xml:space="preserve"> in 2017/2018</w:t>
      </w:r>
      <w:r w:rsidRPr="001C446E">
        <w:t>)</w:t>
      </w:r>
      <w:r>
        <w:t xml:space="preserve"> </w:t>
      </w:r>
      <w:r w:rsidR="00657FDB">
        <w:t>(Hort Innovation 2019c)</w:t>
      </w:r>
      <w:r w:rsidRPr="001C446E">
        <w:t xml:space="preserve">. Parsley (including continental and curly-leaf) and coriander are the highest volume herbs produced. Production of leafy vegetables and herbs encompasses wide geographical and climatic conditions in Australia </w:t>
      </w:r>
      <w:r w:rsidR="00657FDB">
        <w:t>(Hort Innovation 2019c)</w:t>
      </w:r>
      <w:r>
        <w:rPr>
          <w:color w:val="4F6228" w:themeColor="accent3" w:themeShade="80"/>
        </w:rPr>
        <w:t>.</w:t>
      </w:r>
    </w:p>
    <w:p w14:paraId="492BB245" w14:textId="77777777" w:rsidR="008E5E67" w:rsidRPr="001C446E" w:rsidRDefault="008E5E67" w:rsidP="008E5E67"/>
    <w:p w14:paraId="3155CF11" w14:textId="54AE1E41" w:rsidR="00FB04CE" w:rsidRPr="008E5E67" w:rsidRDefault="00FB04CE" w:rsidP="008E5E67">
      <w:pPr>
        <w:shd w:val="clear" w:color="auto" w:fill="FFFFFF"/>
        <w:rPr>
          <w:rFonts w:ascii="Helvetica Neue" w:hAnsi="Helvetica Neue"/>
          <w:sz w:val="19"/>
          <w:szCs w:val="19"/>
          <w:lang w:val="en-US" w:eastAsia="en-GB" w:bidi="ar-SA"/>
        </w:rPr>
      </w:pPr>
      <w:r w:rsidRPr="001C446E">
        <w:t>Leafy vegetables and herbs can be cultivated in either open fields or in protected cultivation systems, such as the soil</w:t>
      </w:r>
      <w:r>
        <w:t>-</w:t>
      </w:r>
      <w:r w:rsidRPr="001C446E">
        <w:t xml:space="preserve">less hydroponic system; and products may be harvested by hand or mechanically. There can be wide variation in terms of inputs, location, farm size, productivity and target market. </w:t>
      </w:r>
      <w:r w:rsidRPr="001C446E">
        <w:rPr>
          <w:rFonts w:cs="Arial"/>
        </w:rPr>
        <w:t xml:space="preserve">The variability that exists between production environments means that identification of hazards within a particular production system is critical to identifying and applying relevant and effective risk mitigation </w:t>
      </w:r>
      <w:r w:rsidR="00657FDB">
        <w:t>(FAO/WHO 2008b)</w:t>
      </w:r>
      <w:r w:rsidRPr="001C446E">
        <w:t>.</w:t>
      </w:r>
    </w:p>
    <w:p w14:paraId="43F58FB9" w14:textId="77777777" w:rsidR="00FB04CE" w:rsidRPr="001C446E" w:rsidRDefault="00FB04CE" w:rsidP="00FB04CE"/>
    <w:p w14:paraId="3E979029" w14:textId="77777777" w:rsidR="00FB04CE" w:rsidRPr="001C446E" w:rsidRDefault="00FB04CE" w:rsidP="00FB04CE">
      <w:r w:rsidRPr="001C446E">
        <w:t>For leafy vegetables and herbs, food safety risks might be influenced by the production method, e.g. field versus greenhouse and soil versus hydroponics. Product surface/structure properties</w:t>
      </w:r>
      <w:r>
        <w:t xml:space="preserve"> such as </w:t>
      </w:r>
      <w:r w:rsidRPr="001C446E">
        <w:t>waxy versus absorbent and smooth versus crinkly</w:t>
      </w:r>
      <w:r>
        <w:t xml:space="preserve"> </w:t>
      </w:r>
      <w:r w:rsidRPr="001C446E">
        <w:t>ar</w:t>
      </w:r>
      <w:r>
        <w:t xml:space="preserve">e also relevant in terms of risk </w:t>
      </w:r>
      <w:r w:rsidRPr="001C446E">
        <w:t>as is the degree of handling in the production and supply chain.</w:t>
      </w:r>
    </w:p>
    <w:p w14:paraId="57825A92" w14:textId="77777777" w:rsidR="00FB04CE" w:rsidRPr="005D0B92" w:rsidRDefault="00FB04CE" w:rsidP="00FB04CE"/>
    <w:p w14:paraId="5DE90E5B" w14:textId="77777777" w:rsidR="005D0B92" w:rsidRDefault="005D0B92">
      <w:pPr>
        <w:widowControl/>
      </w:pPr>
      <w:r>
        <w:br w:type="page"/>
      </w:r>
    </w:p>
    <w:p w14:paraId="3ED97F89" w14:textId="720C536A" w:rsidR="00FB04CE" w:rsidRPr="001C446E" w:rsidRDefault="00FB04CE" w:rsidP="00FB04CE">
      <w:r w:rsidRPr="001C446E">
        <w:t>Lettuce, baby spinach and leafy herbs such as parsley tend to be field grown in Australia, although there is a small</w:t>
      </w:r>
      <w:r>
        <w:t>,</w:t>
      </w:r>
      <w:r w:rsidRPr="001C446E">
        <w:t xml:space="preserve"> but growing</w:t>
      </w:r>
      <w:r>
        <w:t>,</w:t>
      </w:r>
      <w:r w:rsidRPr="001C446E">
        <w:t xml:space="preserve"> protected cropping and hydroponic production sector (R. Bennett, pers. comm.). Production encompasses wide geographic/climatic conditions (grown all over Australia) and there is variation in methods of water application (</w:t>
      </w:r>
      <w:r w:rsidRPr="009D5A9D">
        <w:t>e.g.</w:t>
      </w:r>
      <w:r w:rsidR="00E05177">
        <w:t> </w:t>
      </w:r>
      <w:r w:rsidRPr="001C446E">
        <w:t>overhead/spray, trickle and furrow irrigation). Lettuce production encompasses dense head varieties such as iceberg through to cos/romaine, butterhead, oak and loose leaf varieties.</w:t>
      </w:r>
    </w:p>
    <w:p w14:paraId="38FE8535" w14:textId="77777777" w:rsidR="00FB04CE" w:rsidRPr="001C446E" w:rsidRDefault="00FB04CE" w:rsidP="00FB04CE"/>
    <w:p w14:paraId="17492550" w14:textId="53F9ABDA" w:rsidR="00FB04CE" w:rsidRPr="001C446E" w:rsidRDefault="00FB04CE" w:rsidP="00FB04CE">
      <w:r w:rsidRPr="001C446E">
        <w:t xml:space="preserve">Few outbreaks in Australia have been directly attributed to a single fresh leafy vegetable or herb. Investigations of outbreaks due to salads or mixed foods typically do not identify individual components that might have introduced the hazard, nor where the hazard </w:t>
      </w:r>
      <w:r>
        <w:t>was</w:t>
      </w:r>
      <w:r w:rsidRPr="001C446E">
        <w:t xml:space="preserve"> introduced. </w:t>
      </w:r>
      <w:r>
        <w:t>NoV</w:t>
      </w:r>
      <w:r w:rsidRPr="001C446E">
        <w:t xml:space="preserve"> and </w:t>
      </w:r>
      <w:r w:rsidRPr="001C446E">
        <w:rPr>
          <w:i/>
        </w:rPr>
        <w:t>Salmonella</w:t>
      </w:r>
      <w:r w:rsidRPr="001C446E">
        <w:t xml:space="preserve"> </w:t>
      </w:r>
      <w:r>
        <w:t>spp. are</w:t>
      </w:r>
      <w:r w:rsidRPr="001C446E">
        <w:t xml:space="preserve"> the main hazards involved in Australian outbreaks (OzFoodNet Annua</w:t>
      </w:r>
      <w:r>
        <w:t>l and Quarterly reports 2003–</w:t>
      </w:r>
      <w:r w:rsidRPr="001C446E">
        <w:t>2015</w:t>
      </w:r>
      <w:r w:rsidRPr="001C446E">
        <w:rPr>
          <w:rStyle w:val="FootnoteReference"/>
        </w:rPr>
        <w:footnoteReference w:id="5"/>
      </w:r>
      <w:r w:rsidRPr="001C446E">
        <w:t xml:space="preserve">). </w:t>
      </w:r>
      <w:r>
        <w:t>T</w:t>
      </w:r>
      <w:r w:rsidRPr="001C446E">
        <w:t xml:space="preserve">he majority of </w:t>
      </w:r>
      <w:r>
        <w:t>NoV</w:t>
      </w:r>
      <w:r w:rsidRPr="001C446E">
        <w:t xml:space="preserve"> contamination occurs during food preparation (e.g. in restaurants) although there is some potential for </w:t>
      </w:r>
      <w:r>
        <w:t>NoV</w:t>
      </w:r>
      <w:r w:rsidRPr="001C446E">
        <w:t xml:space="preserve"> contamination during production or harvesting of fresh produce </w:t>
      </w:r>
      <w:r w:rsidR="00657FDB">
        <w:t>(Hall et al. 2014)</w:t>
      </w:r>
      <w:r w:rsidRPr="001C446E">
        <w:t>.</w:t>
      </w:r>
    </w:p>
    <w:p w14:paraId="6C29267B" w14:textId="77777777" w:rsidR="00FB04CE" w:rsidRPr="001C446E" w:rsidRDefault="00FB04CE" w:rsidP="00FB04CE"/>
    <w:p w14:paraId="01B63446" w14:textId="60914D3A" w:rsidR="00FB04CE" w:rsidRPr="001C446E" w:rsidRDefault="00FB04CE" w:rsidP="00FB04CE">
      <w:r w:rsidRPr="001C446E">
        <w:t xml:space="preserve">Australian data provided to inform the FAO/WHO </w:t>
      </w:r>
      <w:r w:rsidR="00657FDB">
        <w:t>(2008a)</w:t>
      </w:r>
      <w:r w:rsidRPr="001C446E">
        <w:t xml:space="preserve"> meeting identified </w:t>
      </w:r>
      <w:r w:rsidRPr="001C446E">
        <w:rPr>
          <w:i/>
        </w:rPr>
        <w:t>Salmonella</w:t>
      </w:r>
      <w:r>
        <w:t xml:space="preserve"> spp. </w:t>
      </w:r>
      <w:r w:rsidRPr="001C446E">
        <w:t xml:space="preserve">and </w:t>
      </w:r>
      <w:r>
        <w:t>NoV</w:t>
      </w:r>
      <w:r w:rsidRPr="001C446E">
        <w:t xml:space="preserve"> as the principal hazards of concern for leafy vegetables. Considering data and submissions from many countries, the report also included enterohaemorrhagic </w:t>
      </w:r>
      <w:r w:rsidRPr="001C446E">
        <w:rPr>
          <w:i/>
        </w:rPr>
        <w:t>E. coli</w:t>
      </w:r>
      <w:r w:rsidRPr="001C446E">
        <w:t xml:space="preserve">, </w:t>
      </w:r>
      <w:r w:rsidRPr="001C446E">
        <w:rPr>
          <w:i/>
        </w:rPr>
        <w:t>Campylobacter</w:t>
      </w:r>
      <w:r w:rsidRPr="001C446E">
        <w:t xml:space="preserve">, </w:t>
      </w:r>
      <w:r w:rsidRPr="001C446E">
        <w:rPr>
          <w:i/>
        </w:rPr>
        <w:t>Shigella</w:t>
      </w:r>
      <w:r w:rsidRPr="001C446E">
        <w:t xml:space="preserve"> spp., </w:t>
      </w:r>
      <w:r>
        <w:t>HAV</w:t>
      </w:r>
      <w:r w:rsidRPr="001C446E">
        <w:t xml:space="preserve">, </w:t>
      </w:r>
      <w:r w:rsidRPr="001C446E">
        <w:rPr>
          <w:i/>
        </w:rPr>
        <w:t>Cyclospora cayatenensis</w:t>
      </w:r>
      <w:r w:rsidRPr="001C446E">
        <w:t xml:space="preserve">, </w:t>
      </w:r>
      <w:r w:rsidRPr="001C446E">
        <w:rPr>
          <w:i/>
        </w:rPr>
        <w:t>Cryptosporidium</w:t>
      </w:r>
      <w:r w:rsidRPr="001C446E">
        <w:t xml:space="preserve">, </w:t>
      </w:r>
      <w:r>
        <w:rPr>
          <w:i/>
        </w:rPr>
        <w:t>Yersinia </w:t>
      </w:r>
      <w:r w:rsidRPr="001C446E">
        <w:rPr>
          <w:i/>
        </w:rPr>
        <w:t>pseudotuberculosis</w:t>
      </w:r>
      <w:r w:rsidRPr="001C446E">
        <w:t xml:space="preserve"> and </w:t>
      </w:r>
      <w:r w:rsidRPr="001C446E">
        <w:rPr>
          <w:i/>
        </w:rPr>
        <w:t>Listeria monocytogenes</w:t>
      </w:r>
      <w:r w:rsidRPr="001C446E">
        <w:t xml:space="preserve"> as hazards of concern for these products. </w:t>
      </w:r>
    </w:p>
    <w:p w14:paraId="46001102" w14:textId="77777777" w:rsidR="00FB04CE" w:rsidRPr="001C446E" w:rsidRDefault="00FB04CE" w:rsidP="00FB04CE"/>
    <w:p w14:paraId="0B9960AF" w14:textId="77777777" w:rsidR="00FB04CE" w:rsidRPr="001C446E" w:rsidRDefault="00FB04CE" w:rsidP="00FB04CE">
      <w:pPr>
        <w:rPr>
          <w:i/>
        </w:rPr>
      </w:pPr>
      <w:bookmarkStart w:id="36" w:name="_Toc45275320"/>
      <w:r w:rsidRPr="001C446E">
        <w:rPr>
          <w:i/>
        </w:rPr>
        <w:t>Products and relevant hazards for inclusion in the FSANZ work</w:t>
      </w:r>
      <w:bookmarkEnd w:id="36"/>
    </w:p>
    <w:p w14:paraId="161ED3B9" w14:textId="77777777" w:rsidR="00FB04CE" w:rsidRPr="001C446E" w:rsidRDefault="00FB04CE" w:rsidP="00FB04CE"/>
    <w:p w14:paraId="0593F55B" w14:textId="664457C0" w:rsidR="00FB04CE" w:rsidRPr="001C446E" w:rsidRDefault="00FB04CE" w:rsidP="00E5657D">
      <w:pPr>
        <w:spacing w:after="120"/>
      </w:pPr>
      <w:r w:rsidRPr="001C446E">
        <w:t>In order to consider a range of cultivation methods (e.g. hydroponic, field grown etc.), harvest methods, variety in product types, and taking into consideration the volume of product grown in Australia, we identified the following as proxies for fr</w:t>
      </w:r>
      <w:r w:rsidR="00E5657D">
        <w:t>esh leafy vegetables and herbs:</w:t>
      </w:r>
    </w:p>
    <w:p w14:paraId="183846E7" w14:textId="77777777" w:rsidR="00FB04CE" w:rsidRPr="001C446E" w:rsidRDefault="00FB04CE" w:rsidP="00FB04CE">
      <w:pPr>
        <w:pStyle w:val="ListParagraph"/>
        <w:numPr>
          <w:ilvl w:val="0"/>
          <w:numId w:val="5"/>
        </w:numPr>
      </w:pPr>
      <w:r w:rsidRPr="001C446E">
        <w:t>Lettuce (including iceberg, cos/romaine, butterhead, oak)</w:t>
      </w:r>
    </w:p>
    <w:p w14:paraId="292C8CC1" w14:textId="77777777" w:rsidR="00C534EC" w:rsidRPr="001C446E" w:rsidRDefault="00C534EC" w:rsidP="00C534EC">
      <w:pPr>
        <w:pStyle w:val="ListParagraph"/>
        <w:numPr>
          <w:ilvl w:val="0"/>
          <w:numId w:val="5"/>
        </w:numPr>
      </w:pPr>
      <w:r w:rsidRPr="001C446E">
        <w:t>Parsley (including continental and curly-leaf)</w:t>
      </w:r>
    </w:p>
    <w:p w14:paraId="4204D127" w14:textId="77777777" w:rsidR="00FB04CE" w:rsidRPr="001C446E" w:rsidRDefault="00FB04CE" w:rsidP="00FB04CE">
      <w:pPr>
        <w:pStyle w:val="ListParagraph"/>
        <w:numPr>
          <w:ilvl w:val="0"/>
          <w:numId w:val="5"/>
        </w:numPr>
      </w:pPr>
      <w:r>
        <w:t>S</w:t>
      </w:r>
      <w:r w:rsidRPr="001C446E">
        <w:t>pinach</w:t>
      </w:r>
    </w:p>
    <w:p w14:paraId="09676C44" w14:textId="77777777" w:rsidR="00FB04CE" w:rsidRPr="001C446E" w:rsidRDefault="00FB04CE" w:rsidP="00FB04CE"/>
    <w:p w14:paraId="293D959C" w14:textId="79CD9F21" w:rsidR="00FB04CE" w:rsidRPr="001C446E" w:rsidRDefault="00FB04CE" w:rsidP="00E5657D">
      <w:pPr>
        <w:spacing w:after="120"/>
      </w:pPr>
      <w:r w:rsidRPr="001C446E">
        <w:t xml:space="preserve">The </w:t>
      </w:r>
      <w:r>
        <w:t>hazards considered relevant in the Australian context are</w:t>
      </w:r>
      <w:r w:rsidR="00E5657D">
        <w:t>:</w:t>
      </w:r>
    </w:p>
    <w:p w14:paraId="3AA14256" w14:textId="77777777" w:rsidR="00FB04CE" w:rsidRPr="001C446E" w:rsidRDefault="00FB04CE" w:rsidP="00FB04CE">
      <w:pPr>
        <w:pStyle w:val="ListParagraph"/>
        <w:numPr>
          <w:ilvl w:val="0"/>
          <w:numId w:val="10"/>
        </w:numPr>
      </w:pPr>
      <w:r w:rsidRPr="001C446E">
        <w:rPr>
          <w:i/>
        </w:rPr>
        <w:t>Salmonella</w:t>
      </w:r>
      <w:r w:rsidRPr="001C446E">
        <w:t xml:space="preserve"> spp.</w:t>
      </w:r>
    </w:p>
    <w:p w14:paraId="577AADB7" w14:textId="77777777" w:rsidR="00FB04CE" w:rsidRPr="001C446E" w:rsidRDefault="00FB04CE" w:rsidP="00FB04CE">
      <w:pPr>
        <w:pStyle w:val="ListParagraph"/>
        <w:numPr>
          <w:ilvl w:val="0"/>
          <w:numId w:val="10"/>
        </w:numPr>
      </w:pPr>
      <w:r w:rsidRPr="001C446E">
        <w:t xml:space="preserve">STEC </w:t>
      </w:r>
    </w:p>
    <w:p w14:paraId="18672278" w14:textId="5854FE34" w:rsidR="00FB04CE" w:rsidRDefault="00FB04CE" w:rsidP="00FB04CE">
      <w:pPr>
        <w:pStyle w:val="ListParagraph"/>
        <w:numPr>
          <w:ilvl w:val="0"/>
          <w:numId w:val="10"/>
        </w:numPr>
        <w:rPr>
          <w:i/>
        </w:rPr>
      </w:pPr>
      <w:r w:rsidRPr="00D771B8">
        <w:rPr>
          <w:i/>
        </w:rPr>
        <w:t>Listeria monocytogenes</w:t>
      </w:r>
    </w:p>
    <w:p w14:paraId="4FA8EB67" w14:textId="77777777" w:rsidR="00EC19BD" w:rsidRPr="00EC19BD" w:rsidRDefault="00EC19BD" w:rsidP="00EC19BD">
      <w:pPr>
        <w:pStyle w:val="ListParagraph"/>
        <w:rPr>
          <w:i/>
          <w:sz w:val="12"/>
          <w:szCs w:val="12"/>
        </w:rPr>
      </w:pPr>
    </w:p>
    <w:p w14:paraId="47A21907" w14:textId="77777777" w:rsidR="00FB04CE" w:rsidRPr="0029411A" w:rsidRDefault="00FB04CE" w:rsidP="00787E56">
      <w:pPr>
        <w:pStyle w:val="Heading3"/>
        <w:numPr>
          <w:ilvl w:val="2"/>
          <w:numId w:val="11"/>
        </w:numPr>
      </w:pPr>
      <w:bookmarkStart w:id="37" w:name="_Toc56693407"/>
      <w:bookmarkStart w:id="38" w:name="_Toc58327759"/>
      <w:bookmarkStart w:id="39" w:name="_Toc58333939"/>
      <w:bookmarkStart w:id="40" w:name="_Toc64448747"/>
      <w:bookmarkStart w:id="41" w:name="_Toc87860008"/>
      <w:r w:rsidRPr="0029411A">
        <w:t>Berries</w:t>
      </w:r>
      <w:bookmarkEnd w:id="37"/>
      <w:bookmarkEnd w:id="38"/>
      <w:bookmarkEnd w:id="39"/>
      <w:bookmarkEnd w:id="40"/>
      <w:bookmarkEnd w:id="41"/>
    </w:p>
    <w:p w14:paraId="30A70DAA" w14:textId="77777777" w:rsidR="00FB04CE" w:rsidRDefault="00FB04CE" w:rsidP="00FB04CE">
      <w:pPr>
        <w:rPr>
          <w:rFonts w:cs="Arial"/>
          <w:lang w:bidi="ar-SA"/>
        </w:rPr>
      </w:pPr>
      <w:r>
        <w:rPr>
          <w:rFonts w:cs="Arial"/>
          <w:lang w:bidi="ar-SA"/>
        </w:rPr>
        <w:t>Schedule 22 of the Code describes berries as being derived from a variety of perennial plants and shrubs having fruit characterised by a high surface-to-weight ratio, with the seeds often eaten along with the</w:t>
      </w:r>
      <w:r w:rsidRPr="00470E76">
        <w:rPr>
          <w:rFonts w:cs="Arial"/>
          <w:lang w:bidi="ar-SA"/>
        </w:rPr>
        <w:t xml:space="preserve"> </w:t>
      </w:r>
      <w:r>
        <w:rPr>
          <w:rFonts w:cs="Arial"/>
          <w:lang w:bidi="ar-SA"/>
        </w:rPr>
        <w:t xml:space="preserve">fruit. The term ‘berries’ can include, but is not limited to, strawberries, blueberries, raspberries, blackberries and mulberries. </w:t>
      </w:r>
      <w:r w:rsidRPr="00680982">
        <w:rPr>
          <w:rFonts w:cs="Arial"/>
          <w:lang w:bidi="ar-SA"/>
        </w:rPr>
        <w:t>Raspberries</w:t>
      </w:r>
      <w:r>
        <w:rPr>
          <w:rFonts w:cs="Arial"/>
          <w:lang w:bidi="ar-SA"/>
        </w:rPr>
        <w:t>,</w:t>
      </w:r>
      <w:r w:rsidRPr="00680982">
        <w:rPr>
          <w:rFonts w:cs="Arial"/>
          <w:lang w:bidi="ar-SA"/>
        </w:rPr>
        <w:t xml:space="preserve"> blackberries and their hybrid cultivars are members of the genus </w:t>
      </w:r>
      <w:r>
        <w:rPr>
          <w:rFonts w:cs="Arial"/>
          <w:i/>
          <w:lang w:bidi="ar-SA"/>
        </w:rPr>
        <w:t>R</w:t>
      </w:r>
      <w:r w:rsidRPr="00680982">
        <w:rPr>
          <w:rFonts w:cs="Arial"/>
          <w:i/>
          <w:lang w:bidi="ar-SA"/>
        </w:rPr>
        <w:t xml:space="preserve">ubus </w:t>
      </w:r>
      <w:r w:rsidRPr="00680982">
        <w:rPr>
          <w:rFonts w:cs="Arial"/>
          <w:lang w:bidi="ar-SA"/>
        </w:rPr>
        <w:t>and are</w:t>
      </w:r>
      <w:r>
        <w:rPr>
          <w:rFonts w:cs="Arial"/>
          <w:lang w:bidi="ar-SA"/>
        </w:rPr>
        <w:t xml:space="preserve"> described collectively as rubus berries.</w:t>
      </w:r>
    </w:p>
    <w:p w14:paraId="13C410B9" w14:textId="77777777" w:rsidR="00FB04CE" w:rsidRDefault="00FB04CE" w:rsidP="00FB04CE">
      <w:pPr>
        <w:rPr>
          <w:rFonts w:cs="Arial"/>
          <w:lang w:bidi="ar-SA"/>
        </w:rPr>
      </w:pPr>
    </w:p>
    <w:p w14:paraId="63C23424" w14:textId="26E43D21" w:rsidR="00FB04CE" w:rsidRDefault="00FB04CE" w:rsidP="00FB04CE">
      <w:pPr>
        <w:autoSpaceDE w:val="0"/>
        <w:autoSpaceDN w:val="0"/>
        <w:adjustRightInd w:val="0"/>
      </w:pPr>
      <w:r w:rsidRPr="0029411A">
        <w:t>The main products from this category grown in Australia include blueberries, rubus berries (raspberries, blackberries, boysenberries etc.) and strawberries. The highest volume product in this category grown in Australia is strawberries (93,545 tonnes annually</w:t>
      </w:r>
      <w:r>
        <w:t xml:space="preserve"> in 2017/2018</w:t>
      </w:r>
      <w:r w:rsidRPr="0029411A">
        <w:t>), followed by blueberries (16,850 tonnes annually</w:t>
      </w:r>
      <w:r>
        <w:t xml:space="preserve"> in 2017/2018</w:t>
      </w:r>
      <w:r w:rsidRPr="0029411A">
        <w:t>) and raspberries (approximately 5,250 tonnes annually</w:t>
      </w:r>
      <w:r>
        <w:t xml:space="preserve"> in 2017/2018</w:t>
      </w:r>
      <w:r w:rsidRPr="0029411A">
        <w:t>)</w:t>
      </w:r>
      <w:r>
        <w:t xml:space="preserve"> </w:t>
      </w:r>
      <w:r w:rsidR="00657FDB">
        <w:t>(Hort Innovation 2019b)</w:t>
      </w:r>
      <w:r w:rsidRPr="0029411A">
        <w:t>. Production encompasses wide geographical/climatic conditions</w:t>
      </w:r>
      <w:r>
        <w:t xml:space="preserve"> </w:t>
      </w:r>
      <w:r w:rsidR="00657FDB">
        <w:t>(Hort Innovation 2019b)</w:t>
      </w:r>
      <w:r w:rsidRPr="0029411A">
        <w:t>.</w:t>
      </w:r>
    </w:p>
    <w:p w14:paraId="1D09F056" w14:textId="77777777" w:rsidR="009C3E8C" w:rsidRPr="0029411A" w:rsidRDefault="009C3E8C" w:rsidP="00FB04CE">
      <w:pPr>
        <w:autoSpaceDE w:val="0"/>
        <w:autoSpaceDN w:val="0"/>
        <w:adjustRightInd w:val="0"/>
      </w:pPr>
    </w:p>
    <w:p w14:paraId="26593DBE" w14:textId="4E071810" w:rsidR="00FB04CE" w:rsidRPr="008E5E67" w:rsidRDefault="00FB04CE" w:rsidP="00FB04CE">
      <w:pPr>
        <w:rPr>
          <w:rFonts w:cstheme="minorBidi"/>
        </w:rPr>
      </w:pPr>
      <w:r w:rsidRPr="00E02EE9">
        <w:t xml:space="preserve">In Australia most strawberries are grown on the ground in open fields, with only a small proportion grown in glasshouses or hydroponically </w:t>
      </w:r>
      <w:r w:rsidR="00657FDB">
        <w:t>(Strawberries Australia 2013)</w:t>
      </w:r>
      <w:r w:rsidRPr="00E02EE9">
        <w:t xml:space="preserve">. Blueberries and rubus berries are grown on bushes and canes, respectively, and are grown in the field or tunnels. Surface/structure properties (smooth/waxy versus ‘hairy’; aggregated versus single drupe); the robustness of different types of berries to handling (mechanical versus hand </w:t>
      </w:r>
      <w:r w:rsidRPr="008E5E67">
        <w:t>harvesting; degree of postharvest handling) and decontamination steps (such as washing); and the growth habit of plants and hence proximity to soil (e.g. bush/cane versus ground) may influence the level of risk.</w:t>
      </w:r>
    </w:p>
    <w:p w14:paraId="48A26BE7" w14:textId="77777777" w:rsidR="00FB04CE" w:rsidRPr="008E5E67" w:rsidRDefault="00FB04CE" w:rsidP="00FB04CE"/>
    <w:p w14:paraId="121E3DCD" w14:textId="77777777" w:rsidR="00486271" w:rsidRPr="00486271" w:rsidRDefault="00FB04CE" w:rsidP="00486271">
      <w:r w:rsidRPr="008E5E67">
        <w:t xml:space="preserve">Outbreaks in Australia have been associated with imported mixed berries contaminated with </w:t>
      </w:r>
      <w:r w:rsidRPr="00486271">
        <w:t xml:space="preserve">HAV. The FAO/WHO </w:t>
      </w:r>
      <w:r w:rsidR="00657FDB" w:rsidRPr="00486271">
        <w:t>(2008a)</w:t>
      </w:r>
      <w:r w:rsidRPr="00486271">
        <w:t xml:space="preserve"> meeting identified HAV, NoV, </w:t>
      </w:r>
      <w:r w:rsidRPr="00486271">
        <w:rPr>
          <w:i/>
        </w:rPr>
        <w:t>Cyclospora cayatenensis</w:t>
      </w:r>
      <w:r w:rsidRPr="00486271">
        <w:t xml:space="preserve"> and </w:t>
      </w:r>
      <w:r w:rsidRPr="00486271">
        <w:rPr>
          <w:i/>
        </w:rPr>
        <w:t>Cryptosporidium parvum</w:t>
      </w:r>
      <w:r w:rsidRPr="00486271">
        <w:t xml:space="preserve"> as hazards of concern for these products.</w:t>
      </w:r>
      <w:r w:rsidR="00486271" w:rsidRPr="00486271">
        <w:t xml:space="preserve"> In addition, international berry outbreaks have also been associated with the bacterial pathogens STEC and </w:t>
      </w:r>
      <w:r w:rsidR="00486271" w:rsidRPr="00486271">
        <w:rPr>
          <w:i/>
        </w:rPr>
        <w:t>Salmonella </w:t>
      </w:r>
      <w:r w:rsidR="00486271" w:rsidRPr="00486271">
        <w:t>spp.</w:t>
      </w:r>
    </w:p>
    <w:p w14:paraId="4D26DBAE" w14:textId="77777777" w:rsidR="00FB04CE" w:rsidRPr="00E02EE9" w:rsidRDefault="00FB04CE" w:rsidP="00FB04CE"/>
    <w:p w14:paraId="66C693BA" w14:textId="77777777" w:rsidR="00FB04CE" w:rsidRPr="00E02EE9" w:rsidRDefault="00FB04CE" w:rsidP="00FB04CE">
      <w:pPr>
        <w:rPr>
          <w:i/>
        </w:rPr>
      </w:pPr>
      <w:bookmarkStart w:id="42" w:name="_Toc45275322"/>
      <w:r w:rsidRPr="00E02EE9">
        <w:rPr>
          <w:i/>
        </w:rPr>
        <w:t>Products and relevant hazards for inclusion in the FSANZ work</w:t>
      </w:r>
      <w:bookmarkEnd w:id="42"/>
    </w:p>
    <w:p w14:paraId="6B1E2786" w14:textId="77777777" w:rsidR="00FB04CE" w:rsidRPr="00E02EE9" w:rsidRDefault="00FB04CE" w:rsidP="00FB04CE"/>
    <w:p w14:paraId="55E1D001" w14:textId="3939C3FE" w:rsidR="00FB04CE" w:rsidRPr="00E02EE9" w:rsidRDefault="00FB04CE" w:rsidP="00E5657D">
      <w:pPr>
        <w:spacing w:after="120"/>
      </w:pPr>
      <w:r w:rsidRPr="00E02EE9">
        <w:t xml:space="preserve">In order to consider berries of different surface types (e.g. smooth versus aggregate), growing conditions (bush/cane versus ground) and taking into consideration the volume of product grown in Australia, we </w:t>
      </w:r>
      <w:r>
        <w:t>identified</w:t>
      </w:r>
      <w:r w:rsidRPr="00E02EE9">
        <w:t xml:space="preserve"> the fo</w:t>
      </w:r>
      <w:r w:rsidR="00E5657D">
        <w:t>llowing as proxies for berries:</w:t>
      </w:r>
    </w:p>
    <w:p w14:paraId="44E828F4" w14:textId="77777777" w:rsidR="00C534EC" w:rsidRPr="00E02EE9" w:rsidRDefault="00C534EC" w:rsidP="00C534EC">
      <w:pPr>
        <w:pStyle w:val="ListParagraph"/>
        <w:numPr>
          <w:ilvl w:val="0"/>
          <w:numId w:val="5"/>
        </w:numPr>
      </w:pPr>
      <w:r w:rsidRPr="00E02EE9">
        <w:t>Blueberries</w:t>
      </w:r>
    </w:p>
    <w:p w14:paraId="52F588DC" w14:textId="77777777" w:rsidR="00FB04CE" w:rsidRPr="00E02EE9" w:rsidRDefault="00FB04CE" w:rsidP="00FB04CE">
      <w:pPr>
        <w:pStyle w:val="ListParagraph"/>
        <w:numPr>
          <w:ilvl w:val="0"/>
          <w:numId w:val="5"/>
        </w:numPr>
      </w:pPr>
      <w:r w:rsidRPr="00E02EE9">
        <w:t>Raspberries</w:t>
      </w:r>
    </w:p>
    <w:p w14:paraId="27F0A06B" w14:textId="77777777" w:rsidR="00FB04CE" w:rsidRPr="00E02EE9" w:rsidRDefault="00FB04CE" w:rsidP="00FB04CE">
      <w:pPr>
        <w:pStyle w:val="ListParagraph"/>
        <w:numPr>
          <w:ilvl w:val="0"/>
          <w:numId w:val="5"/>
        </w:numPr>
      </w:pPr>
      <w:r w:rsidRPr="00E02EE9">
        <w:t>Strawberries</w:t>
      </w:r>
    </w:p>
    <w:p w14:paraId="5546F8BE" w14:textId="77777777" w:rsidR="00FB04CE" w:rsidRPr="00E02EE9" w:rsidRDefault="00FB04CE" w:rsidP="00FB04CE"/>
    <w:p w14:paraId="00CB0851" w14:textId="3F57E51F" w:rsidR="00FB04CE" w:rsidRPr="00E02EE9" w:rsidRDefault="00FB04CE" w:rsidP="00E5657D">
      <w:pPr>
        <w:spacing w:after="120"/>
      </w:pPr>
      <w:r w:rsidRPr="00E02EE9">
        <w:t xml:space="preserve">The hazards considered </w:t>
      </w:r>
      <w:r>
        <w:t>relevant in the Australian context are</w:t>
      </w:r>
      <w:r w:rsidR="00E5657D">
        <w:t>:</w:t>
      </w:r>
    </w:p>
    <w:p w14:paraId="080ACE31" w14:textId="77777777" w:rsidR="00FB04CE" w:rsidRPr="00E02EE9" w:rsidRDefault="00FB04CE" w:rsidP="00FB04CE">
      <w:pPr>
        <w:pStyle w:val="ListParagraph"/>
        <w:numPr>
          <w:ilvl w:val="0"/>
          <w:numId w:val="10"/>
        </w:numPr>
      </w:pPr>
      <w:r>
        <w:t>HAV</w:t>
      </w:r>
    </w:p>
    <w:p w14:paraId="2194DB36" w14:textId="77777777" w:rsidR="00FB04CE" w:rsidRDefault="00FB04CE" w:rsidP="00FB04CE">
      <w:pPr>
        <w:pStyle w:val="ListParagraph"/>
        <w:numPr>
          <w:ilvl w:val="0"/>
          <w:numId w:val="10"/>
        </w:numPr>
      </w:pPr>
      <w:r>
        <w:t>NoV</w:t>
      </w:r>
    </w:p>
    <w:p w14:paraId="66AA6871" w14:textId="44B1046F" w:rsidR="00FB04CE" w:rsidRDefault="00FB04CE" w:rsidP="00FB04CE">
      <w:pPr>
        <w:pStyle w:val="ListParagraph"/>
        <w:numPr>
          <w:ilvl w:val="0"/>
          <w:numId w:val="10"/>
        </w:numPr>
      </w:pPr>
      <w:r w:rsidRPr="001C446E">
        <w:t>STEC</w:t>
      </w:r>
    </w:p>
    <w:p w14:paraId="5603FC4D" w14:textId="77777777" w:rsidR="00EC19BD" w:rsidRPr="00EC19BD" w:rsidRDefault="00EC19BD" w:rsidP="00EC19BD">
      <w:pPr>
        <w:ind w:left="360"/>
        <w:rPr>
          <w:sz w:val="12"/>
          <w:szCs w:val="12"/>
        </w:rPr>
      </w:pPr>
    </w:p>
    <w:p w14:paraId="327593A0" w14:textId="77777777" w:rsidR="00FB04CE" w:rsidRPr="00E02EE9" w:rsidRDefault="00FB04CE" w:rsidP="00787E56">
      <w:pPr>
        <w:pStyle w:val="Heading3"/>
        <w:numPr>
          <w:ilvl w:val="2"/>
          <w:numId w:val="11"/>
        </w:numPr>
      </w:pPr>
      <w:bookmarkStart w:id="43" w:name="_Toc56693408"/>
      <w:bookmarkStart w:id="44" w:name="_Toc58327760"/>
      <w:bookmarkStart w:id="45" w:name="_Toc58333940"/>
      <w:bookmarkStart w:id="46" w:name="_Toc64448748"/>
      <w:bookmarkStart w:id="47" w:name="_Toc87860009"/>
      <w:r w:rsidRPr="00E02EE9">
        <w:t>Melons</w:t>
      </w:r>
      <w:bookmarkEnd w:id="43"/>
      <w:bookmarkEnd w:id="44"/>
      <w:bookmarkEnd w:id="45"/>
      <w:bookmarkEnd w:id="46"/>
      <w:bookmarkEnd w:id="47"/>
    </w:p>
    <w:p w14:paraId="63AD37BE" w14:textId="77777777" w:rsidR="00FB04CE" w:rsidRDefault="00FB04CE" w:rsidP="00FB04CE">
      <w:pPr>
        <w:rPr>
          <w:rFonts w:cs="Arial"/>
          <w:lang w:bidi="ar-SA"/>
        </w:rPr>
      </w:pPr>
      <w:r>
        <w:rPr>
          <w:rFonts w:cs="Arial"/>
          <w:lang w:bidi="ar-SA"/>
        </w:rPr>
        <w:t xml:space="preserve">Melons are classified in Schedule 22 (Foods and classes of foods) of the Code as fruiting vegetables belonging to the botanical family </w:t>
      </w:r>
      <w:r w:rsidRPr="008D2CD1">
        <w:rPr>
          <w:rFonts w:cs="Arial"/>
          <w:i/>
          <w:lang w:bidi="ar-SA"/>
        </w:rPr>
        <w:t>Cucurbitaceae</w:t>
      </w:r>
      <w:r>
        <w:rPr>
          <w:rFonts w:cs="Arial"/>
          <w:i/>
          <w:lang w:bidi="ar-SA"/>
        </w:rPr>
        <w:t xml:space="preserve"> </w:t>
      </w:r>
      <w:r w:rsidRPr="00C20FBC">
        <w:rPr>
          <w:rFonts w:cs="Arial"/>
          <w:lang w:bidi="ar-SA"/>
        </w:rPr>
        <w:t>(cucurbits)</w:t>
      </w:r>
      <w:r>
        <w:rPr>
          <w:rFonts w:cs="Arial"/>
          <w:lang w:bidi="ar-SA"/>
        </w:rPr>
        <w:t>. They include watermelon, rockmelon, honeydew melon, galia melon, charentais melon, Korean melon, hami melon and piel de sapo.</w:t>
      </w:r>
    </w:p>
    <w:p w14:paraId="07404CF8" w14:textId="77777777" w:rsidR="00FB04CE" w:rsidRPr="008E5E67" w:rsidRDefault="00FB04CE" w:rsidP="00FB04CE"/>
    <w:p w14:paraId="48D56A82" w14:textId="768FD159" w:rsidR="00FB04CE" w:rsidRPr="008E5E67" w:rsidRDefault="00FB04CE" w:rsidP="00FB04CE">
      <w:r w:rsidRPr="008E5E67">
        <w:t>The highest volume product in this category grown in A</w:t>
      </w:r>
      <w:r w:rsidR="00E05177" w:rsidRPr="008E5E67">
        <w:t>ustralia is watermelon (170,039 </w:t>
      </w:r>
      <w:r w:rsidRPr="008E5E67">
        <w:t xml:space="preserve">tonnes annually in 2017/2018), followed by rockmelon (38,658 tonnes annually in 2017/2018) and honeydew (6,367 tonnes annually in 2017/2018) </w:t>
      </w:r>
      <w:r w:rsidR="00657FDB" w:rsidRPr="008E5E67">
        <w:t>(Hort Innovation 2019b)</w:t>
      </w:r>
      <w:r w:rsidRPr="008E5E67">
        <w:t xml:space="preserve">. Production encompasses wide geographical/climatic conditions </w:t>
      </w:r>
      <w:r w:rsidR="00657FDB" w:rsidRPr="008E5E67">
        <w:t>(Hort Innovation 2019b)</w:t>
      </w:r>
      <w:r w:rsidRPr="008E5E67">
        <w:t>.</w:t>
      </w:r>
    </w:p>
    <w:p w14:paraId="3E63E1B5" w14:textId="77777777" w:rsidR="00FB04CE" w:rsidRPr="008E5E67" w:rsidRDefault="00FB04CE" w:rsidP="00FB04CE"/>
    <w:p w14:paraId="18D6A67C" w14:textId="74B24E7E" w:rsidR="00FB04CE" w:rsidRPr="00E02EE9" w:rsidRDefault="00FB04CE" w:rsidP="00FB04CE">
      <w:r w:rsidRPr="008E5E67">
        <w:t xml:space="preserve">Melon plants are grown as a ground vine </w:t>
      </w:r>
      <w:r w:rsidR="00657FDB" w:rsidRPr="008E5E67">
        <w:t>(AMA 2019)</w:t>
      </w:r>
      <w:r w:rsidRPr="008E5E67">
        <w:t xml:space="preserve">. The rough nature of the skin on many types of melon makes it difficult to remove any surface contamination, and it is also difficult to prevent soil and dust from getting onto the fruit and possibly contaminating it </w:t>
      </w:r>
      <w:r w:rsidR="00657FDB" w:rsidRPr="008E5E67">
        <w:t>(FAO/WHO 2008a)</w:t>
      </w:r>
      <w:r w:rsidRPr="008E5E67">
        <w:t xml:space="preserve">. Surface properties (netlike versus smooth) and some aspects of production (water </w:t>
      </w:r>
      <w:r w:rsidRPr="00E02EE9">
        <w:t>use, protection from soil contamination) are the most relevant considerations affecting risk for melons.</w:t>
      </w:r>
    </w:p>
    <w:p w14:paraId="7DBDB2B1" w14:textId="77777777" w:rsidR="00FB04CE" w:rsidRPr="00E02EE9" w:rsidRDefault="00FB04CE" w:rsidP="00FB04CE"/>
    <w:p w14:paraId="717D33B9" w14:textId="51D7DBA2" w:rsidR="00FB04CE" w:rsidRDefault="00FB04CE" w:rsidP="00FB04CE">
      <w:r w:rsidRPr="00E02EE9">
        <w:t xml:space="preserve">Outbreaks in Australia have been linked to </w:t>
      </w:r>
      <w:r w:rsidRPr="00E02EE9">
        <w:rPr>
          <w:i/>
        </w:rPr>
        <w:t>Salmonella</w:t>
      </w:r>
      <w:r w:rsidRPr="00E02EE9">
        <w:t xml:space="preserve"> </w:t>
      </w:r>
      <w:r>
        <w:t xml:space="preserve">spp. </w:t>
      </w:r>
      <w:r w:rsidRPr="00E02EE9">
        <w:t xml:space="preserve">(2006, 2016) and </w:t>
      </w:r>
      <w:r w:rsidRPr="00E02EE9">
        <w:rPr>
          <w:i/>
        </w:rPr>
        <w:t>L.</w:t>
      </w:r>
      <w:r>
        <w:rPr>
          <w:i/>
        </w:rPr>
        <w:t> </w:t>
      </w:r>
      <w:r w:rsidRPr="00E02EE9">
        <w:rPr>
          <w:i/>
        </w:rPr>
        <w:t>monocytogenes</w:t>
      </w:r>
      <w:r w:rsidRPr="00E02EE9">
        <w:t xml:space="preserve"> (2010, 2018) in rockmelons. The FAO/WHO </w:t>
      </w:r>
      <w:r w:rsidR="00657FDB">
        <w:t>(2008a)</w:t>
      </w:r>
      <w:r w:rsidRPr="00E02EE9">
        <w:t xml:space="preserve"> meeting identified </w:t>
      </w:r>
      <w:r w:rsidRPr="00E02EE9">
        <w:rPr>
          <w:i/>
        </w:rPr>
        <w:t>Salmonella</w:t>
      </w:r>
      <w:r>
        <w:rPr>
          <w:i/>
        </w:rPr>
        <w:t xml:space="preserve"> </w:t>
      </w:r>
      <w:r>
        <w:t>spp.</w:t>
      </w:r>
      <w:r w:rsidRPr="00E02EE9">
        <w:t xml:space="preserve">, enterohaemorrhagic </w:t>
      </w:r>
      <w:r w:rsidRPr="00E02EE9">
        <w:rPr>
          <w:i/>
        </w:rPr>
        <w:t>E. coli</w:t>
      </w:r>
      <w:r w:rsidRPr="00E02EE9">
        <w:t xml:space="preserve"> and </w:t>
      </w:r>
      <w:r>
        <w:t>NoV</w:t>
      </w:r>
      <w:r w:rsidRPr="00E02EE9">
        <w:t xml:space="preserve"> as hazards of concern for melons.</w:t>
      </w:r>
    </w:p>
    <w:p w14:paraId="6B36311F" w14:textId="77777777" w:rsidR="00FB04CE" w:rsidRPr="005D0B92" w:rsidRDefault="00FB04CE" w:rsidP="00FB04CE"/>
    <w:p w14:paraId="19076847" w14:textId="40052704" w:rsidR="00FB04CE" w:rsidRPr="00E02EE9" w:rsidRDefault="00FB04CE" w:rsidP="00FB04CE">
      <w:pPr>
        <w:rPr>
          <w:i/>
        </w:rPr>
      </w:pPr>
      <w:bookmarkStart w:id="48" w:name="_Toc45275321"/>
      <w:r w:rsidRPr="00E02EE9">
        <w:rPr>
          <w:i/>
        </w:rPr>
        <w:t>Products and relevant hazards for inclusion in the FSANZ work</w:t>
      </w:r>
      <w:bookmarkEnd w:id="48"/>
    </w:p>
    <w:p w14:paraId="4C382291" w14:textId="77777777" w:rsidR="00FB04CE" w:rsidRPr="00E02EE9" w:rsidRDefault="00FB04CE" w:rsidP="00FB04CE"/>
    <w:p w14:paraId="3E903E3D" w14:textId="622B02A7" w:rsidR="00FB04CE" w:rsidRPr="00E02EE9" w:rsidRDefault="00FB04CE" w:rsidP="00E5657D">
      <w:pPr>
        <w:spacing w:after="120"/>
      </w:pPr>
      <w:r w:rsidRPr="00E02EE9">
        <w:t>In order to consider melons of different surfaces types (e.g. netlike versus smooth) and taking into consideration the volume of product grown in Australia, we identified the f</w:t>
      </w:r>
      <w:r w:rsidR="00E5657D">
        <w:t>ollowing as proxies for melons:</w:t>
      </w:r>
    </w:p>
    <w:p w14:paraId="3EB088DF" w14:textId="77777777" w:rsidR="00FB04CE" w:rsidRPr="00E02EE9" w:rsidRDefault="00FB04CE" w:rsidP="00FB04CE">
      <w:pPr>
        <w:pStyle w:val="ListParagraph"/>
        <w:numPr>
          <w:ilvl w:val="0"/>
          <w:numId w:val="5"/>
        </w:numPr>
      </w:pPr>
      <w:r w:rsidRPr="00E02EE9">
        <w:t>Rockmelon</w:t>
      </w:r>
      <w:r>
        <w:t xml:space="preserve"> (netted varieties)</w:t>
      </w:r>
    </w:p>
    <w:p w14:paraId="157F9D45" w14:textId="77777777" w:rsidR="00FB04CE" w:rsidRPr="00E02EE9" w:rsidRDefault="00FB04CE" w:rsidP="00FB04CE">
      <w:pPr>
        <w:pStyle w:val="ListParagraph"/>
        <w:numPr>
          <w:ilvl w:val="0"/>
          <w:numId w:val="5"/>
        </w:numPr>
      </w:pPr>
      <w:r w:rsidRPr="00E02EE9">
        <w:t>Watermelon</w:t>
      </w:r>
    </w:p>
    <w:p w14:paraId="5BC113C4" w14:textId="77777777" w:rsidR="00FB04CE" w:rsidRPr="00E02EE9" w:rsidRDefault="00FB04CE" w:rsidP="00FB04CE"/>
    <w:p w14:paraId="0262C1B0" w14:textId="1C852319" w:rsidR="00FB04CE" w:rsidRPr="00E02EE9" w:rsidRDefault="00FB04CE" w:rsidP="00E5657D">
      <w:pPr>
        <w:spacing w:after="120"/>
      </w:pPr>
      <w:r w:rsidRPr="00E02EE9">
        <w:t xml:space="preserve">The hazards considered </w:t>
      </w:r>
      <w:r>
        <w:t>relevant in the Australian context are</w:t>
      </w:r>
      <w:r w:rsidR="00E5657D">
        <w:t>:</w:t>
      </w:r>
    </w:p>
    <w:p w14:paraId="12877263" w14:textId="77777777" w:rsidR="00C534EC" w:rsidRPr="00E02EE9" w:rsidRDefault="00C534EC" w:rsidP="00C534EC">
      <w:pPr>
        <w:pStyle w:val="ListParagraph"/>
        <w:numPr>
          <w:ilvl w:val="0"/>
          <w:numId w:val="10"/>
        </w:numPr>
      </w:pPr>
      <w:r w:rsidRPr="00E02EE9">
        <w:rPr>
          <w:i/>
        </w:rPr>
        <w:t>Listeria monocytogenes</w:t>
      </w:r>
    </w:p>
    <w:p w14:paraId="21AD25ED" w14:textId="77777777" w:rsidR="00FB04CE" w:rsidRPr="00E02EE9" w:rsidRDefault="00FB04CE" w:rsidP="00FB04CE">
      <w:pPr>
        <w:pStyle w:val="ListParagraph"/>
        <w:numPr>
          <w:ilvl w:val="0"/>
          <w:numId w:val="10"/>
        </w:numPr>
      </w:pPr>
      <w:r w:rsidRPr="00E02EE9">
        <w:rPr>
          <w:i/>
        </w:rPr>
        <w:t>Salmonella</w:t>
      </w:r>
      <w:r w:rsidRPr="00E02EE9">
        <w:t xml:space="preserve"> spp.</w:t>
      </w:r>
    </w:p>
    <w:p w14:paraId="0622006A" w14:textId="77777777" w:rsidR="00FB04CE" w:rsidRPr="005D0B92" w:rsidRDefault="00FB04CE" w:rsidP="00FB04CE">
      <w:pPr>
        <w:rPr>
          <w:lang w:bidi="ar-SA"/>
        </w:rPr>
      </w:pPr>
    </w:p>
    <w:p w14:paraId="61769994" w14:textId="77777777" w:rsidR="00FB04CE" w:rsidRDefault="00FB04CE" w:rsidP="00FB04CE">
      <w:pPr>
        <w:widowControl/>
        <w:rPr>
          <w:b/>
          <w:bCs/>
          <w:sz w:val="36"/>
          <w:szCs w:val="28"/>
          <w:lang w:bidi="ar-SA"/>
        </w:rPr>
      </w:pPr>
      <w:r>
        <w:br w:type="page"/>
      </w:r>
    </w:p>
    <w:p w14:paraId="1DEEB003" w14:textId="77777777" w:rsidR="00FB04CE" w:rsidRDefault="00FB04CE" w:rsidP="00FB04CE">
      <w:pPr>
        <w:pStyle w:val="Heading1"/>
        <w:numPr>
          <w:ilvl w:val="0"/>
          <w:numId w:val="11"/>
        </w:numPr>
        <w:ind w:right="454"/>
      </w:pPr>
      <w:bookmarkStart w:id="49" w:name="_Toc45275323"/>
      <w:bookmarkStart w:id="50" w:name="_Toc56693409"/>
      <w:bookmarkStart w:id="51" w:name="_Toc58327761"/>
      <w:bookmarkStart w:id="52" w:name="_Toc58333941"/>
      <w:bookmarkStart w:id="53" w:name="_Toc64448749"/>
      <w:bookmarkStart w:id="54" w:name="_Toc87860010"/>
      <w:r>
        <w:t>Outbreaks and prevalence of hazards in horticulture products</w:t>
      </w:r>
      <w:bookmarkEnd w:id="49"/>
      <w:bookmarkEnd w:id="50"/>
      <w:bookmarkEnd w:id="51"/>
      <w:bookmarkEnd w:id="52"/>
      <w:bookmarkEnd w:id="53"/>
      <w:bookmarkEnd w:id="54"/>
    </w:p>
    <w:p w14:paraId="68E3367C" w14:textId="00FAFBB0" w:rsidR="00FB04CE" w:rsidRPr="004D2624" w:rsidRDefault="00FB04CE" w:rsidP="00FB04CE">
      <w:pPr>
        <w:pStyle w:val="Heading2"/>
        <w:numPr>
          <w:ilvl w:val="1"/>
          <w:numId w:val="11"/>
        </w:numPr>
      </w:pPr>
      <w:bookmarkStart w:id="55" w:name="_Toc87860011"/>
      <w:bookmarkStart w:id="56" w:name="_Toc45275324"/>
      <w:bookmarkStart w:id="57" w:name="_Toc56693410"/>
      <w:bookmarkStart w:id="58" w:name="_Toc58327762"/>
      <w:bookmarkStart w:id="59" w:name="_Toc58333942"/>
      <w:bookmarkStart w:id="60" w:name="_Toc64448750"/>
      <w:r w:rsidRPr="004D2624">
        <w:t>Australian outbreaks of foodborne illness associated with fresh horticultural produce</w:t>
      </w:r>
      <w:bookmarkEnd w:id="55"/>
      <w:r w:rsidRPr="004D2624">
        <w:t xml:space="preserve"> </w:t>
      </w:r>
      <w:bookmarkEnd w:id="56"/>
      <w:bookmarkEnd w:id="57"/>
      <w:bookmarkEnd w:id="58"/>
      <w:bookmarkEnd w:id="59"/>
      <w:bookmarkEnd w:id="60"/>
    </w:p>
    <w:p w14:paraId="6FAE1341" w14:textId="397F2425" w:rsidR="00FB04CE" w:rsidRDefault="00FB04CE" w:rsidP="00FB04CE">
      <w:r w:rsidRPr="00E02EE9">
        <w:rPr>
          <w:lang w:eastAsia="en-AU" w:bidi="ar-SA"/>
        </w:rPr>
        <w:t xml:space="preserve">As part of </w:t>
      </w:r>
      <w:r w:rsidRPr="0035412F">
        <w:rPr>
          <w:lang w:bidi="ar-SA"/>
        </w:rPr>
        <w:t>Proposal P1015</w:t>
      </w:r>
      <w:r w:rsidRPr="00E02EE9">
        <w:rPr>
          <w:lang w:eastAsia="en-AU" w:bidi="ar-SA"/>
        </w:rPr>
        <w:t xml:space="preserve">, FSANZ undertook a </w:t>
      </w:r>
      <w:r w:rsidRPr="00E02EE9">
        <w:t xml:space="preserve">review of foodborne illness associated with fresh </w:t>
      </w:r>
      <w:r>
        <w:t xml:space="preserve">horticultural produce </w:t>
      </w:r>
      <w:r w:rsidR="0052075C">
        <w:t xml:space="preserve">in Australia </w:t>
      </w:r>
      <w:r>
        <w:t>from 1990-</w:t>
      </w:r>
      <w:r w:rsidRPr="00E02EE9">
        <w:t xml:space="preserve">2011. Similarly, </w:t>
      </w:r>
      <w:r>
        <w:t xml:space="preserve">for P1052 </w:t>
      </w:r>
      <w:r w:rsidRPr="00E02EE9">
        <w:t xml:space="preserve">FSANZ </w:t>
      </w:r>
      <w:r>
        <w:t>has undertaken</w:t>
      </w:r>
      <w:r w:rsidRPr="00E02EE9">
        <w:t xml:space="preserve"> a review of scientific literature and technical reports published in the period 2011-</w:t>
      </w:r>
      <w:r w:rsidR="001F39CB">
        <w:t xml:space="preserve">October </w:t>
      </w:r>
      <w:r w:rsidRPr="00E02EE9">
        <w:t>20</w:t>
      </w:r>
      <w:r w:rsidR="00C04FCF">
        <w:t>21</w:t>
      </w:r>
      <w:r w:rsidRPr="00E02EE9">
        <w:t xml:space="preserve"> to identify</w:t>
      </w:r>
      <w:r w:rsidR="0052075C">
        <w:t xml:space="preserve"> Australian</w:t>
      </w:r>
      <w:r w:rsidRPr="00E02EE9">
        <w:t xml:space="preserve"> outbreaks of foodborne illness associated with </w:t>
      </w:r>
      <w:r w:rsidRPr="005B6F91">
        <w:t xml:space="preserve">fresh horticultural produce that occurred, or were reported, since the review undertaken for Proposal P1015. FSANZ also analysed outbreaks described in publicly available reports (see </w:t>
      </w:r>
      <w:r w:rsidRPr="005B6F91">
        <w:rPr>
          <w:b/>
        </w:rPr>
        <w:fldChar w:fldCharType="begin"/>
      </w:r>
      <w:r w:rsidRPr="005B6F91">
        <w:instrText xml:space="preserve"> REF _Ref54629980 \h </w:instrText>
      </w:r>
      <w:r w:rsidRPr="005B6F91">
        <w:rPr>
          <w:b/>
        </w:rPr>
        <w:instrText xml:space="preserve"> \* MERGEFORMAT </w:instrText>
      </w:r>
      <w:r w:rsidRPr="005B6F91">
        <w:rPr>
          <w:b/>
        </w:rPr>
      </w:r>
      <w:r w:rsidRPr="005B6F91">
        <w:rPr>
          <w:b/>
        </w:rPr>
        <w:fldChar w:fldCharType="separate"/>
      </w:r>
      <w:r w:rsidR="00A952A2">
        <w:t xml:space="preserve">Table </w:t>
      </w:r>
      <w:r w:rsidR="00A952A2">
        <w:rPr>
          <w:noProof/>
        </w:rPr>
        <w:t>1</w:t>
      </w:r>
      <w:r w:rsidRPr="005B6F91">
        <w:rPr>
          <w:b/>
        </w:rPr>
        <w:fldChar w:fldCharType="end"/>
      </w:r>
      <w:r w:rsidRPr="005B6F91">
        <w:t xml:space="preserve">), such as those published by OzFoodNet—Australia’s enhanced foodborne disease surveillance network—and food recall data (see </w:t>
      </w:r>
      <w:r w:rsidRPr="005B6F91">
        <w:fldChar w:fldCharType="begin"/>
      </w:r>
      <w:r w:rsidRPr="005B6F91">
        <w:instrText xml:space="preserve"> REF _Ref45567234 \h  \* MERGEFORMAT </w:instrText>
      </w:r>
      <w:r w:rsidRPr="005B6F91">
        <w:fldChar w:fldCharType="separate"/>
      </w:r>
      <w:r w:rsidR="00A952A2">
        <w:t xml:space="preserve">Table </w:t>
      </w:r>
      <w:r w:rsidR="00A952A2">
        <w:rPr>
          <w:noProof/>
        </w:rPr>
        <w:t>2</w:t>
      </w:r>
      <w:r w:rsidRPr="005B6F91">
        <w:fldChar w:fldCharType="end"/>
      </w:r>
      <w:r w:rsidRPr="005B6F91">
        <w:t>), to provide a broader overview of the incidence of horticulture-related foodborne illness and microbial contamination</w:t>
      </w:r>
      <w:r w:rsidRPr="00E02EE9">
        <w:t xml:space="preserve"> of fresh horticultural produce in Australia.</w:t>
      </w:r>
    </w:p>
    <w:p w14:paraId="04258726" w14:textId="77777777" w:rsidR="00FB04CE" w:rsidRPr="00E02EE9" w:rsidRDefault="00FB04CE" w:rsidP="00FB04CE"/>
    <w:p w14:paraId="2EBE6AE3" w14:textId="17C99D30" w:rsidR="00FB04CE" w:rsidRDefault="00FB04CE" w:rsidP="00FB04CE">
      <w:pPr>
        <w:rPr>
          <w:rFonts w:cs="Arial"/>
          <w:szCs w:val="22"/>
          <w:lang w:eastAsia="en-GB" w:bidi="ar-SA"/>
        </w:rPr>
      </w:pPr>
      <w:r>
        <w:t>The 1990-</w:t>
      </w:r>
      <w:r w:rsidRPr="00E02EE9">
        <w:t xml:space="preserve">2011 review identified five fresh </w:t>
      </w:r>
      <w:r w:rsidRPr="00E02EE9">
        <w:rPr>
          <w:rFonts w:cs="Arial"/>
        </w:rPr>
        <w:t xml:space="preserve">horticultural </w:t>
      </w:r>
      <w:r w:rsidRPr="00E02EE9">
        <w:t xml:space="preserve">produce related outbreaks that occurred in Australia </w:t>
      </w:r>
      <w:r>
        <w:t>(</w:t>
      </w:r>
      <w:r w:rsidRPr="00E02EE9">
        <w:t xml:space="preserve">and met strict inclusion </w:t>
      </w:r>
      <w:r>
        <w:t xml:space="preserve">search </w:t>
      </w:r>
      <w:r w:rsidRPr="00E02EE9">
        <w:t>criteria</w:t>
      </w:r>
      <w:r>
        <w:t xml:space="preserve">) </w:t>
      </w:r>
      <w:r w:rsidR="00657FDB">
        <w:t>(FSANZ 2011)</w:t>
      </w:r>
      <w:r w:rsidR="00C7249A">
        <w:t xml:space="preserve"> (see Table 1)</w:t>
      </w:r>
      <w:r>
        <w:t>.</w:t>
      </w:r>
      <w:r w:rsidRPr="00E02EE9">
        <w:t xml:space="preserve"> Three of these outbreaks were associated with domestically produced product and two with imported product. For two of the outbreaks related to domestic product—rockmelon with </w:t>
      </w:r>
      <w:r>
        <w:rPr>
          <w:i/>
        </w:rPr>
        <w:t>Salmonella </w:t>
      </w:r>
      <w:r w:rsidRPr="00E02EE9">
        <w:t xml:space="preserve">Saintpaul and papaya with </w:t>
      </w:r>
      <w:r w:rsidRPr="00E02EE9">
        <w:rPr>
          <w:i/>
        </w:rPr>
        <w:t xml:space="preserve">Salmonella </w:t>
      </w:r>
      <w:r w:rsidRPr="00E02EE9">
        <w:t>Litchfield—</w:t>
      </w:r>
      <w:r>
        <w:t xml:space="preserve">primary production </w:t>
      </w:r>
      <w:r w:rsidRPr="00E02EE9">
        <w:t xml:space="preserve">food safety issues were identified that may have contributed to produce contamination, including </w:t>
      </w:r>
      <w:r w:rsidRPr="00E02EE9">
        <w:rPr>
          <w:szCs w:val="22"/>
          <w:lang w:eastAsia="en-GB" w:bidi="ar-SA"/>
        </w:rPr>
        <w:t xml:space="preserve">the use of untreated or inadequately treated water and incorrect use of chemical disinfectants </w:t>
      </w:r>
      <w:r w:rsidR="00657FDB">
        <w:rPr>
          <w:szCs w:val="22"/>
          <w:lang w:eastAsia="en-GB" w:bidi="ar-SA"/>
        </w:rPr>
        <w:t>(Gibbs et al. 2009; Munnoch et al. 2009)</w:t>
      </w:r>
      <w:r w:rsidRPr="00E02EE9">
        <w:rPr>
          <w:szCs w:val="22"/>
          <w:lang w:eastAsia="en-GB" w:bidi="ar-SA"/>
        </w:rPr>
        <w:t xml:space="preserve">. </w:t>
      </w:r>
      <w:r w:rsidRPr="00E02EE9">
        <w:rPr>
          <w:rFonts w:cs="Arial"/>
          <w:szCs w:val="22"/>
          <w:lang w:eastAsia="en-GB" w:bidi="ar-SA"/>
        </w:rPr>
        <w:t xml:space="preserve">The </w:t>
      </w:r>
      <w:r>
        <w:rPr>
          <w:szCs w:val="22"/>
          <w:lang w:eastAsia="en-GB" w:bidi="ar-SA"/>
        </w:rPr>
        <w:t xml:space="preserve">probable </w:t>
      </w:r>
      <w:r w:rsidRPr="00E02EE9">
        <w:rPr>
          <w:rFonts w:cs="Arial"/>
          <w:szCs w:val="22"/>
          <w:lang w:eastAsia="en-GB" w:bidi="ar-SA"/>
        </w:rPr>
        <w:t xml:space="preserve">source of </w:t>
      </w:r>
      <w:r>
        <w:rPr>
          <w:szCs w:val="22"/>
          <w:lang w:eastAsia="en-GB" w:bidi="ar-SA"/>
        </w:rPr>
        <w:t>one</w:t>
      </w:r>
      <w:r w:rsidRPr="00E02EE9">
        <w:t xml:space="preserve"> of the </w:t>
      </w:r>
      <w:r w:rsidRPr="00E02EE9">
        <w:rPr>
          <w:rFonts w:cs="Arial"/>
          <w:szCs w:val="22"/>
          <w:lang w:eastAsia="en-GB" w:bidi="ar-SA"/>
        </w:rPr>
        <w:t>outbreaks related to imported product</w:t>
      </w:r>
      <w:r w:rsidRPr="00E02EE9">
        <w:t>—baby corn</w:t>
      </w:r>
      <w:r>
        <w:t xml:space="preserve"> and </w:t>
      </w:r>
      <w:r w:rsidRPr="00E02EE9">
        <w:rPr>
          <w:rFonts w:cs="Arial"/>
          <w:i/>
        </w:rPr>
        <w:t>Shigella sonnei</w:t>
      </w:r>
      <w:r w:rsidRPr="00E02EE9">
        <w:t>—</w:t>
      </w:r>
      <w:r>
        <w:t>was</w:t>
      </w:r>
      <w:r w:rsidRPr="00E02EE9">
        <w:rPr>
          <w:rFonts w:cs="Arial"/>
          <w:szCs w:val="22"/>
          <w:lang w:eastAsia="en-GB" w:bidi="ar-SA"/>
        </w:rPr>
        <w:t xml:space="preserve"> poor sanitation at the packing and/or collection houses </w:t>
      </w:r>
      <w:r w:rsidR="00657FDB">
        <w:t>(Lewis et al. 2009)</w:t>
      </w:r>
      <w:r w:rsidRPr="00E02EE9">
        <w:t>.</w:t>
      </w:r>
      <w:r>
        <w:rPr>
          <w:szCs w:val="22"/>
          <w:lang w:eastAsia="en-GB" w:bidi="ar-SA"/>
        </w:rPr>
        <w:t xml:space="preserve"> </w:t>
      </w:r>
      <w:r w:rsidRPr="00E02EE9">
        <w:rPr>
          <w:rFonts w:cs="Arial"/>
          <w:szCs w:val="22"/>
          <w:lang w:eastAsia="en-GB" w:bidi="ar-SA"/>
        </w:rPr>
        <w:t xml:space="preserve">The source of contamination was not determined </w:t>
      </w:r>
      <w:r>
        <w:rPr>
          <w:rFonts w:cs="Arial"/>
          <w:szCs w:val="22"/>
          <w:lang w:eastAsia="en-GB" w:bidi="ar-SA"/>
        </w:rPr>
        <w:t>for the other</w:t>
      </w:r>
      <w:r w:rsidRPr="00E02EE9">
        <w:rPr>
          <w:szCs w:val="22"/>
          <w:lang w:eastAsia="en-GB" w:bidi="ar-SA"/>
        </w:rPr>
        <w:t xml:space="preserve"> </w:t>
      </w:r>
      <w:r w:rsidRPr="00E02EE9">
        <w:t>outbreak</w:t>
      </w:r>
      <w:r>
        <w:t>s</w:t>
      </w:r>
      <w:r w:rsidRPr="00E02EE9">
        <w:t xml:space="preserve"> related to domestic </w:t>
      </w:r>
      <w:r>
        <w:t>and</w:t>
      </w:r>
      <w:r w:rsidRPr="00E02EE9">
        <w:rPr>
          <w:rFonts w:cs="Arial"/>
          <w:szCs w:val="22"/>
          <w:lang w:eastAsia="en-GB" w:bidi="ar-SA"/>
        </w:rPr>
        <w:t xml:space="preserve"> imported product.</w:t>
      </w:r>
    </w:p>
    <w:p w14:paraId="5A175523" w14:textId="77777777" w:rsidR="00FB04CE" w:rsidRPr="005D0B92" w:rsidRDefault="00FB04CE" w:rsidP="00FB04CE"/>
    <w:p w14:paraId="4C2A1547" w14:textId="08AA28D5" w:rsidR="00FB04CE" w:rsidRDefault="00FB04CE" w:rsidP="00FB04CE">
      <w:r w:rsidRPr="00E02EE9">
        <w:t>Since 2011 there have been a number of outbreaks of foodborne illness associated with consumption of horticultural produce in Australia (</w:t>
      </w:r>
      <w:r w:rsidR="00C7249A">
        <w:t xml:space="preserve">see </w:t>
      </w:r>
      <w:r w:rsidRPr="00E02EE9">
        <w:rPr>
          <w:b/>
        </w:rPr>
        <w:fldChar w:fldCharType="begin"/>
      </w:r>
      <w:r w:rsidRPr="00E02EE9">
        <w:instrText xml:space="preserve"> REF _Ref54629980 \h </w:instrText>
      </w:r>
      <w:r w:rsidRPr="00E02EE9">
        <w:rPr>
          <w:b/>
        </w:rPr>
        <w:instrText xml:space="preserve"> \* MERGEFORMAT </w:instrText>
      </w:r>
      <w:r w:rsidRPr="00E02EE9">
        <w:rPr>
          <w:b/>
        </w:rPr>
      </w:r>
      <w:r w:rsidRPr="00E02EE9">
        <w:rPr>
          <w:b/>
        </w:rPr>
        <w:fldChar w:fldCharType="separate"/>
      </w:r>
      <w:r w:rsidR="00A952A2">
        <w:t xml:space="preserve">Table </w:t>
      </w:r>
      <w:r w:rsidR="00A952A2">
        <w:rPr>
          <w:noProof/>
        </w:rPr>
        <w:t>1</w:t>
      </w:r>
      <w:r w:rsidRPr="00E02EE9">
        <w:rPr>
          <w:b/>
        </w:rPr>
        <w:fldChar w:fldCharType="end"/>
      </w:r>
      <w:r w:rsidRPr="00E02EE9">
        <w:t xml:space="preserve">). Data on Australian outbreaks of foodborne illness associated with horticultural produce indicate </w:t>
      </w:r>
      <w:r w:rsidRPr="00E02EE9">
        <w:rPr>
          <w:i/>
        </w:rPr>
        <w:t xml:space="preserve">Salmonella </w:t>
      </w:r>
      <w:r>
        <w:t xml:space="preserve">spp. </w:t>
      </w:r>
      <w:r w:rsidRPr="00E02EE9">
        <w:t>and viruses (</w:t>
      </w:r>
      <w:r>
        <w:t xml:space="preserve">HAV </w:t>
      </w:r>
      <w:r w:rsidRPr="00E02EE9">
        <w:t xml:space="preserve">and </w:t>
      </w:r>
      <w:r>
        <w:t>NoV</w:t>
      </w:r>
      <w:r w:rsidRPr="00E02EE9">
        <w:t xml:space="preserve">) are responsible for the majority of recorded outbreaks. Leafy vegetables, berries </w:t>
      </w:r>
      <w:r>
        <w:t xml:space="preserve">and </w:t>
      </w:r>
      <w:r w:rsidRPr="00E02EE9">
        <w:t>melons</w:t>
      </w:r>
      <w:r>
        <w:t xml:space="preserve"> </w:t>
      </w:r>
      <w:r w:rsidRPr="00E02EE9">
        <w:t xml:space="preserve">are the commodity sectors most often associated with these outbreaks. There was a lack of data from outbreak investigations regarding potential supply chain failure points for the majority of these outbreaks. However, the investigations into the outbreaks associated with melons identified some potential contributing factors. </w:t>
      </w:r>
      <w:r>
        <w:t xml:space="preserve">For example, </w:t>
      </w:r>
      <w:r w:rsidRPr="00E02EE9">
        <w:t xml:space="preserve">the 2016 </w:t>
      </w:r>
      <w:r w:rsidRPr="00E02EE9">
        <w:rPr>
          <w:i/>
        </w:rPr>
        <w:t>Salmonella</w:t>
      </w:r>
      <w:r w:rsidRPr="00E02EE9">
        <w:t xml:space="preserve"> outbreak attributed to rockmelons </w:t>
      </w:r>
      <w:r w:rsidR="00FB4F66">
        <w:t>noted</w:t>
      </w:r>
      <w:r w:rsidR="00FB4F66" w:rsidRPr="00E02EE9">
        <w:t xml:space="preserve"> </w:t>
      </w:r>
      <w:r w:rsidRPr="00E02EE9">
        <w:t xml:space="preserve">the insufficient monitoring and application </w:t>
      </w:r>
      <w:r>
        <w:t>of</w:t>
      </w:r>
      <w:r w:rsidRPr="00E02EE9">
        <w:t xml:space="preserve"> sanitiser and low general hygiene of the facilities </w:t>
      </w:r>
      <w:r w:rsidR="00657FDB">
        <w:t>(NSW Food Authority 2017)</w:t>
      </w:r>
      <w:r w:rsidRPr="00E02EE9">
        <w:t xml:space="preserve">. The investigation following the 2018 </w:t>
      </w:r>
      <w:r w:rsidRPr="00E02EE9">
        <w:rPr>
          <w:i/>
        </w:rPr>
        <w:t>L. monocytogenes</w:t>
      </w:r>
      <w:r w:rsidRPr="00E02EE9">
        <w:t xml:space="preserve"> outbreak attributed to rockmelons conclu</w:t>
      </w:r>
      <w:r>
        <w:t xml:space="preserve">ded that site hygiene was generally adequate but </w:t>
      </w:r>
      <w:r w:rsidRPr="00E02EE9">
        <w:t>extreme weather events</w:t>
      </w:r>
      <w:r>
        <w:t>,</w:t>
      </w:r>
      <w:r w:rsidRPr="00E02EE9">
        <w:t xml:space="preserve"> including dust storms and heavy rainfall</w:t>
      </w:r>
      <w:r>
        <w:t>,</w:t>
      </w:r>
      <w:r w:rsidRPr="00E02EE9">
        <w:t xml:space="preserve"> preceded the outbreak </w:t>
      </w:r>
      <w:r w:rsidR="00657FDB">
        <w:t>(NSW DPI 2018)</w:t>
      </w:r>
      <w:r w:rsidRPr="00E02EE9">
        <w:t xml:space="preserve">. The report concluded that </w:t>
      </w:r>
      <w:r>
        <w:t xml:space="preserve">the </w:t>
      </w:r>
      <w:r w:rsidRPr="00E02EE9">
        <w:t xml:space="preserve">extreme weather events (heavy rainfall in December prior to harvest, followed by dust storms) could have been a significant contributing </w:t>
      </w:r>
      <w:r>
        <w:t>factor to the outbreak due to a potential</w:t>
      </w:r>
      <w:r w:rsidRPr="00E02EE9">
        <w:t xml:space="preserve"> increase of organic load and </w:t>
      </w:r>
      <w:r w:rsidRPr="00E02EE9">
        <w:rPr>
          <w:i/>
        </w:rPr>
        <w:t>L.</w:t>
      </w:r>
      <w:r>
        <w:rPr>
          <w:i/>
        </w:rPr>
        <w:t> </w:t>
      </w:r>
      <w:r w:rsidRPr="00E02EE9">
        <w:rPr>
          <w:i/>
        </w:rPr>
        <w:t xml:space="preserve">monocytogenes </w:t>
      </w:r>
      <w:r w:rsidRPr="00E02EE9">
        <w:t xml:space="preserve">on the surface of rockmelons before harvest. The outbreak report stated that the sanitising step may not have been sufficient to remove all </w:t>
      </w:r>
      <w:r w:rsidRPr="00E02EE9">
        <w:rPr>
          <w:i/>
        </w:rPr>
        <w:t xml:space="preserve">L. monocytogenes </w:t>
      </w:r>
      <w:r w:rsidRPr="00E02EE9">
        <w:t>resulting in levels high enough to cause illness in the immunocompromised.</w:t>
      </w:r>
    </w:p>
    <w:p w14:paraId="057F1E69" w14:textId="77777777" w:rsidR="00FB04CE" w:rsidRPr="005D0B92" w:rsidRDefault="00FB04CE" w:rsidP="00FB04CE">
      <w:pPr>
        <w:rPr>
          <w:rFonts w:cs="Arial"/>
        </w:rPr>
      </w:pPr>
    </w:p>
    <w:p w14:paraId="447E94C8" w14:textId="77777777" w:rsidR="00702CD0" w:rsidRDefault="00702CD0">
      <w:pPr>
        <w:widowControl/>
        <w:rPr>
          <w:rFonts w:cs="Arial"/>
        </w:rPr>
      </w:pPr>
      <w:r>
        <w:rPr>
          <w:rFonts w:cs="Arial"/>
        </w:rPr>
        <w:br w:type="page"/>
      </w:r>
    </w:p>
    <w:p w14:paraId="3A4BF666" w14:textId="43452695" w:rsidR="00FB04CE" w:rsidRPr="007A179B" w:rsidRDefault="00FB04CE" w:rsidP="00B33F57">
      <w:pPr>
        <w:spacing w:after="120"/>
        <w:rPr>
          <w:rFonts w:cs="Arial"/>
        </w:rPr>
      </w:pPr>
      <w:r>
        <w:rPr>
          <w:rFonts w:cs="Arial"/>
        </w:rPr>
        <w:t xml:space="preserve">While the outbreak data suggest that few outbreaks related to horticulture produce are reported, there are limitations to outbreak data. </w:t>
      </w:r>
      <w:r w:rsidRPr="00E02EE9">
        <w:rPr>
          <w:rFonts w:cs="Arial"/>
        </w:rPr>
        <w:t xml:space="preserve">Nearly half of the foodborne outbreaks identified in Australia have an unknown associated food vehicle </w:t>
      </w:r>
      <w:r w:rsidR="00657FDB">
        <w:rPr>
          <w:rFonts w:cs="Arial"/>
        </w:rPr>
        <w:t>(Astridge et al. 2011)</w:t>
      </w:r>
      <w:r w:rsidRPr="00E02EE9">
        <w:rPr>
          <w:rFonts w:cs="Arial"/>
        </w:rPr>
        <w:t xml:space="preserve">. Sources of foodborne illness are generally determined through epidemiological and/or microbiological associations in outbreak investigations. Critical in this process is the ability to identify an outbreak through the existing surveillance system to enable an investigation to then proceed. </w:t>
      </w:r>
      <w:r>
        <w:rPr>
          <w:rFonts w:cs="Arial"/>
        </w:rPr>
        <w:t xml:space="preserve">There are however challenges associated with </w:t>
      </w:r>
      <w:r w:rsidRPr="00E02EE9">
        <w:rPr>
          <w:rFonts w:cs="Arial"/>
        </w:rPr>
        <w:t>identifying and attributing illness to a particular food</w:t>
      </w:r>
      <w:r>
        <w:rPr>
          <w:rFonts w:cs="Arial"/>
        </w:rPr>
        <w:t>,</w:t>
      </w:r>
      <w:r w:rsidRPr="00E02EE9">
        <w:rPr>
          <w:rFonts w:cs="Arial"/>
        </w:rPr>
        <w:t xml:space="preserve"> </w:t>
      </w:r>
      <w:r>
        <w:rPr>
          <w:rFonts w:cs="Arial"/>
        </w:rPr>
        <w:t xml:space="preserve">and </w:t>
      </w:r>
      <w:r w:rsidR="00B33F57">
        <w:rPr>
          <w:rFonts w:cs="Arial"/>
        </w:rPr>
        <w:t>include:</w:t>
      </w:r>
    </w:p>
    <w:p w14:paraId="0F38744F" w14:textId="77777777" w:rsidR="00FB04CE" w:rsidRPr="007A179B" w:rsidRDefault="00FB04CE" w:rsidP="00FB04CE">
      <w:pPr>
        <w:pStyle w:val="ListParagraph"/>
        <w:widowControl w:val="0"/>
        <w:numPr>
          <w:ilvl w:val="0"/>
          <w:numId w:val="12"/>
        </w:numPr>
        <w:rPr>
          <w:rFonts w:cs="Arial"/>
        </w:rPr>
      </w:pPr>
      <w:r w:rsidRPr="007A179B">
        <w:rPr>
          <w:rFonts w:cs="Arial"/>
        </w:rPr>
        <w:t xml:space="preserve">Food recall biases when gathering food consumption histories (compounded by pathogens with long incubation periods, e.g. </w:t>
      </w:r>
      <w:r>
        <w:rPr>
          <w:rFonts w:cs="Arial"/>
        </w:rPr>
        <w:t>HAV</w:t>
      </w:r>
      <w:r w:rsidRPr="007A179B">
        <w:rPr>
          <w:rFonts w:cs="Arial"/>
        </w:rPr>
        <w:t>)</w:t>
      </w:r>
    </w:p>
    <w:p w14:paraId="03D2B898" w14:textId="77777777" w:rsidR="00FB04CE" w:rsidRPr="007A179B" w:rsidRDefault="00FB04CE" w:rsidP="00FB04CE">
      <w:pPr>
        <w:pStyle w:val="ListParagraph"/>
        <w:widowControl w:val="0"/>
        <w:numPr>
          <w:ilvl w:val="0"/>
          <w:numId w:val="12"/>
        </w:numPr>
        <w:rPr>
          <w:rFonts w:cs="Arial"/>
        </w:rPr>
      </w:pPr>
      <w:r w:rsidRPr="007A179B">
        <w:rPr>
          <w:rFonts w:cs="Arial"/>
        </w:rPr>
        <w:t>Time delays in recognition or notification of an outbreak, including:</w:t>
      </w:r>
    </w:p>
    <w:p w14:paraId="4600540B" w14:textId="77777777" w:rsidR="00FB04CE" w:rsidRPr="007A179B" w:rsidRDefault="00FB04CE" w:rsidP="00FB04CE">
      <w:pPr>
        <w:pStyle w:val="ListParagraph"/>
        <w:widowControl w:val="0"/>
        <w:numPr>
          <w:ilvl w:val="1"/>
          <w:numId w:val="12"/>
        </w:numPr>
        <w:rPr>
          <w:rFonts w:cs="Arial"/>
        </w:rPr>
      </w:pPr>
      <w:r w:rsidRPr="007A179B">
        <w:rPr>
          <w:rFonts w:cs="Arial"/>
        </w:rPr>
        <w:t>the time taken for infected persons to seek medical treatment</w:t>
      </w:r>
    </w:p>
    <w:p w14:paraId="15A50603" w14:textId="77777777" w:rsidR="00FB04CE" w:rsidRPr="007A179B" w:rsidRDefault="00FB04CE" w:rsidP="00FB04CE">
      <w:pPr>
        <w:pStyle w:val="ListParagraph"/>
        <w:widowControl w:val="0"/>
        <w:numPr>
          <w:ilvl w:val="1"/>
          <w:numId w:val="12"/>
        </w:numPr>
        <w:rPr>
          <w:rFonts w:cs="Arial"/>
        </w:rPr>
      </w:pPr>
      <w:r w:rsidRPr="007A179B">
        <w:rPr>
          <w:rFonts w:cs="Arial"/>
        </w:rPr>
        <w:t>obtaining stool samples</w:t>
      </w:r>
    </w:p>
    <w:p w14:paraId="76E456A9" w14:textId="77777777" w:rsidR="00FB04CE" w:rsidRPr="007A179B" w:rsidRDefault="00FB04CE" w:rsidP="00FB04CE">
      <w:pPr>
        <w:pStyle w:val="ListParagraph"/>
        <w:widowControl w:val="0"/>
        <w:numPr>
          <w:ilvl w:val="1"/>
          <w:numId w:val="12"/>
        </w:numPr>
        <w:rPr>
          <w:rFonts w:cs="Arial"/>
        </w:rPr>
      </w:pPr>
      <w:r w:rsidRPr="007A179B">
        <w:rPr>
          <w:rFonts w:cs="Arial"/>
        </w:rPr>
        <w:t>laboratory confirmation of the presence of pathogenic organisms</w:t>
      </w:r>
    </w:p>
    <w:p w14:paraId="30DD8CBA" w14:textId="77777777" w:rsidR="00FB04CE" w:rsidRPr="007A179B" w:rsidRDefault="00FB04CE" w:rsidP="00FB04CE">
      <w:pPr>
        <w:pStyle w:val="ListParagraph"/>
        <w:widowControl w:val="0"/>
        <w:numPr>
          <w:ilvl w:val="1"/>
          <w:numId w:val="12"/>
        </w:numPr>
        <w:rPr>
          <w:rFonts w:cs="Arial"/>
        </w:rPr>
      </w:pPr>
      <w:r w:rsidRPr="007A179B">
        <w:rPr>
          <w:rFonts w:cs="Arial"/>
        </w:rPr>
        <w:t>notification to public health authorities, and</w:t>
      </w:r>
    </w:p>
    <w:p w14:paraId="3E6C94CF" w14:textId="77777777" w:rsidR="00FB04CE" w:rsidRPr="007A179B" w:rsidRDefault="00FB04CE" w:rsidP="00FB04CE">
      <w:pPr>
        <w:pStyle w:val="ListParagraph"/>
        <w:widowControl w:val="0"/>
        <w:numPr>
          <w:ilvl w:val="1"/>
          <w:numId w:val="12"/>
        </w:numPr>
        <w:rPr>
          <w:rFonts w:cs="Arial"/>
        </w:rPr>
      </w:pPr>
      <w:r w:rsidRPr="007A179B">
        <w:rPr>
          <w:rFonts w:cs="Arial"/>
        </w:rPr>
        <w:t>identification and subsequent investigation of the outbreak</w:t>
      </w:r>
    </w:p>
    <w:p w14:paraId="6695AFD9" w14:textId="77777777" w:rsidR="00FB04CE" w:rsidRPr="007A179B" w:rsidRDefault="00FB04CE" w:rsidP="00FB04CE">
      <w:pPr>
        <w:pStyle w:val="ListParagraph"/>
        <w:numPr>
          <w:ilvl w:val="0"/>
          <w:numId w:val="12"/>
        </w:numPr>
        <w:rPr>
          <w:rFonts w:cs="Arial"/>
        </w:rPr>
      </w:pPr>
      <w:r w:rsidRPr="007A179B">
        <w:rPr>
          <w:rFonts w:cs="Arial"/>
        </w:rPr>
        <w:t>Inability to trace food products to their source</w:t>
      </w:r>
    </w:p>
    <w:p w14:paraId="17881231" w14:textId="77777777" w:rsidR="00FB04CE" w:rsidRPr="007A179B" w:rsidRDefault="00FB04CE" w:rsidP="00FB04CE">
      <w:pPr>
        <w:pStyle w:val="ListParagraph"/>
        <w:numPr>
          <w:ilvl w:val="0"/>
          <w:numId w:val="12"/>
        </w:numPr>
        <w:rPr>
          <w:rFonts w:cs="Arial"/>
        </w:rPr>
      </w:pPr>
      <w:r w:rsidRPr="007A179B">
        <w:rPr>
          <w:rFonts w:cs="Arial"/>
        </w:rPr>
        <w:t>Reluctance of individuals to participate in investigations</w:t>
      </w:r>
    </w:p>
    <w:p w14:paraId="5A2EAD07" w14:textId="77777777" w:rsidR="00FB04CE" w:rsidRPr="007A179B" w:rsidRDefault="00FB04CE" w:rsidP="00FB04CE">
      <w:pPr>
        <w:pStyle w:val="ListParagraph"/>
        <w:numPr>
          <w:ilvl w:val="0"/>
          <w:numId w:val="12"/>
        </w:numPr>
        <w:rPr>
          <w:rFonts w:cs="Arial"/>
        </w:rPr>
      </w:pPr>
      <w:r w:rsidRPr="007A179B">
        <w:rPr>
          <w:rFonts w:cs="Arial"/>
        </w:rPr>
        <w:t xml:space="preserve">Long exposure windows for specific pathogens (e.g. </w:t>
      </w:r>
      <w:r w:rsidRPr="007A179B">
        <w:rPr>
          <w:rFonts w:cs="Arial"/>
          <w:i/>
        </w:rPr>
        <w:t>L. monocytogenes</w:t>
      </w:r>
      <w:r w:rsidRPr="007A179B">
        <w:rPr>
          <w:rFonts w:cs="Arial"/>
        </w:rPr>
        <w:t>)</w:t>
      </w:r>
    </w:p>
    <w:p w14:paraId="4BB0CD78" w14:textId="77777777" w:rsidR="00FB04CE" w:rsidRPr="007A179B" w:rsidRDefault="00FB04CE" w:rsidP="00FB04CE">
      <w:pPr>
        <w:pStyle w:val="ListParagraph"/>
        <w:numPr>
          <w:ilvl w:val="0"/>
          <w:numId w:val="12"/>
        </w:numPr>
        <w:rPr>
          <w:rFonts w:cs="Arial"/>
        </w:rPr>
      </w:pPr>
      <w:r w:rsidRPr="007A179B">
        <w:rPr>
          <w:rFonts w:cs="Arial"/>
        </w:rPr>
        <w:t>Inability to obtain representative food samples for analysis</w:t>
      </w:r>
    </w:p>
    <w:p w14:paraId="58C74BF5" w14:textId="77777777" w:rsidR="00FB04CE" w:rsidRPr="007A179B" w:rsidRDefault="00FB04CE" w:rsidP="00FB04CE">
      <w:pPr>
        <w:pStyle w:val="ListParagraph"/>
        <w:numPr>
          <w:ilvl w:val="0"/>
          <w:numId w:val="12"/>
        </w:numPr>
        <w:rPr>
          <w:rFonts w:cs="Arial"/>
        </w:rPr>
      </w:pPr>
      <w:r w:rsidRPr="007A179B">
        <w:rPr>
          <w:rFonts w:cs="Arial"/>
        </w:rPr>
        <w:t>A lack of precision in, or suitable methods for, sample analysis and pathogen identification</w:t>
      </w:r>
    </w:p>
    <w:p w14:paraId="70B9EE43" w14:textId="77777777" w:rsidR="00FB04CE" w:rsidRPr="007A179B" w:rsidRDefault="00FB04CE" w:rsidP="00FB04CE">
      <w:pPr>
        <w:pStyle w:val="ListParagraph"/>
        <w:numPr>
          <w:ilvl w:val="0"/>
          <w:numId w:val="12"/>
        </w:numPr>
        <w:rPr>
          <w:rFonts w:cs="Arial"/>
        </w:rPr>
      </w:pPr>
      <w:r w:rsidRPr="007A179B">
        <w:rPr>
          <w:rFonts w:cs="Arial"/>
        </w:rPr>
        <w:t>Immune status of the exposed population</w:t>
      </w:r>
    </w:p>
    <w:p w14:paraId="27F66EA3" w14:textId="77777777" w:rsidR="00FB04CE" w:rsidRPr="007A179B" w:rsidRDefault="00FB04CE" w:rsidP="00FB04CE">
      <w:pPr>
        <w:pStyle w:val="ListParagraph"/>
        <w:numPr>
          <w:ilvl w:val="0"/>
          <w:numId w:val="12"/>
        </w:numPr>
        <w:rPr>
          <w:rFonts w:cs="Arial"/>
        </w:rPr>
      </w:pPr>
      <w:r w:rsidRPr="007A179B">
        <w:rPr>
          <w:rFonts w:cs="Arial"/>
        </w:rPr>
        <w:t xml:space="preserve">Food attribution in dishes with multiple food items </w:t>
      </w:r>
    </w:p>
    <w:p w14:paraId="33FF2514" w14:textId="77777777" w:rsidR="00FB04CE" w:rsidRPr="007A179B" w:rsidRDefault="00FB04CE" w:rsidP="00FB04CE">
      <w:pPr>
        <w:pStyle w:val="ListParagraph"/>
        <w:numPr>
          <w:ilvl w:val="0"/>
          <w:numId w:val="12"/>
        </w:numPr>
        <w:rPr>
          <w:rFonts w:cs="Arial"/>
        </w:rPr>
      </w:pPr>
      <w:r w:rsidRPr="007A179B">
        <w:rPr>
          <w:rFonts w:cs="Arial"/>
        </w:rPr>
        <w:t>The potential for variation in categorising features of outbreaks depending on investigator interpretation and circumstances</w:t>
      </w:r>
      <w:r>
        <w:rPr>
          <w:rFonts w:cs="Arial"/>
        </w:rPr>
        <w:t>.</w:t>
      </w:r>
      <w:r w:rsidRPr="007A179B">
        <w:rPr>
          <w:rFonts w:cs="Arial"/>
        </w:rPr>
        <w:t xml:space="preserve"> </w:t>
      </w:r>
    </w:p>
    <w:p w14:paraId="5E3E3D24" w14:textId="77777777" w:rsidR="00FB04CE" w:rsidRPr="005D0B92" w:rsidRDefault="00FB04CE" w:rsidP="00FB04CE">
      <w:pPr>
        <w:rPr>
          <w:rFonts w:cs="Arial"/>
        </w:rPr>
      </w:pPr>
    </w:p>
    <w:p w14:paraId="14BC75DB" w14:textId="77777777" w:rsidR="00FB04CE" w:rsidRDefault="00FB04CE" w:rsidP="00FB04CE">
      <w:pPr>
        <w:rPr>
          <w:rFonts w:cs="Arial"/>
        </w:rPr>
      </w:pPr>
      <w:r w:rsidRPr="007A179B">
        <w:rPr>
          <w:rFonts w:cs="Arial"/>
        </w:rPr>
        <w:t xml:space="preserve">Therefore, it is important to recognise that outbreak data are likely to only represent a small proportion of actual cases of foodborne illness, due to the reasons </w:t>
      </w:r>
      <w:r>
        <w:rPr>
          <w:rFonts w:cs="Arial"/>
        </w:rPr>
        <w:t xml:space="preserve">given </w:t>
      </w:r>
      <w:r w:rsidRPr="007A179B">
        <w:rPr>
          <w:rFonts w:cs="Arial"/>
        </w:rPr>
        <w:t>above and as many people do not always seek medical attention for mild forms of gastroenteritis, medical practitioners do not always collect specimens for analysis</w:t>
      </w:r>
      <w:r>
        <w:rPr>
          <w:rFonts w:cs="Arial"/>
        </w:rPr>
        <w:t>,</w:t>
      </w:r>
      <w:r w:rsidRPr="007A179B">
        <w:rPr>
          <w:rFonts w:cs="Arial"/>
        </w:rPr>
        <w:t xml:space="preserve"> and not all foodborne illnesses require notification to health authorities</w:t>
      </w:r>
      <w:r>
        <w:rPr>
          <w:rStyle w:val="FootnoteReference"/>
          <w:rFonts w:cs="Arial"/>
        </w:rPr>
        <w:footnoteReference w:id="6"/>
      </w:r>
      <w:r w:rsidRPr="007A179B">
        <w:rPr>
          <w:rFonts w:cs="Arial"/>
        </w:rPr>
        <w:t>. Furthermore, some national data regarding the number of people affected was unavailable for more recent outbreaks.</w:t>
      </w:r>
    </w:p>
    <w:p w14:paraId="532519FA" w14:textId="77777777" w:rsidR="00FB04CE" w:rsidRDefault="00FB04CE" w:rsidP="00FB04CE"/>
    <w:p w14:paraId="51626E93" w14:textId="77777777" w:rsidR="00FB04CE" w:rsidRDefault="00FB04CE" w:rsidP="00FB04CE">
      <w:pPr>
        <w:sectPr w:rsidR="00FB04CE" w:rsidSect="00837C34">
          <w:headerReference w:type="even" r:id="rId20"/>
          <w:headerReference w:type="default" r:id="rId21"/>
          <w:footerReference w:type="even" r:id="rId22"/>
          <w:footerReference w:type="default" r:id="rId23"/>
          <w:headerReference w:type="first" r:id="rId24"/>
          <w:pgSz w:w="11906" w:h="16838"/>
          <w:pgMar w:top="1418" w:right="1418" w:bottom="1134" w:left="1418" w:header="709" w:footer="709" w:gutter="0"/>
          <w:pgNumType w:start="1"/>
          <w:cols w:space="708"/>
          <w:docGrid w:linePitch="360"/>
        </w:sectPr>
      </w:pPr>
    </w:p>
    <w:p w14:paraId="49F65C8E" w14:textId="2EEFFA96" w:rsidR="00FB04CE" w:rsidRDefault="00FB04CE" w:rsidP="00FB04CE">
      <w:pPr>
        <w:pStyle w:val="Caption"/>
        <w:keepNext/>
        <w:spacing w:after="0"/>
      </w:pPr>
      <w:bookmarkStart w:id="61" w:name="_Ref45567160"/>
      <w:bookmarkStart w:id="62" w:name="_Ref54629980"/>
      <w:r>
        <w:t xml:space="preserve">Table </w:t>
      </w:r>
      <w:fldSimple w:instr=" SEQ Table \* ARABIC ">
        <w:r w:rsidR="00A952A2">
          <w:rPr>
            <w:noProof/>
          </w:rPr>
          <w:t>1</w:t>
        </w:r>
      </w:fldSimple>
      <w:bookmarkEnd w:id="61"/>
      <w:bookmarkEnd w:id="62"/>
      <w:r>
        <w:t xml:space="preserve">. </w:t>
      </w:r>
      <w:r w:rsidRPr="004D761F">
        <w:t>Summary of Australian outbreaks associated with fresh and minimally proce</w:t>
      </w:r>
      <w:r>
        <w:t xml:space="preserve">ssed horticultural produce </w:t>
      </w:r>
    </w:p>
    <w:p w14:paraId="0B498809" w14:textId="77777777" w:rsidR="00FB04CE" w:rsidRPr="00BB57D6" w:rsidRDefault="00FB04CE" w:rsidP="00FB04CE"/>
    <w:tbl>
      <w:tblPr>
        <w:tblStyle w:val="TableGrid"/>
        <w:tblW w:w="14775" w:type="dxa"/>
        <w:tblLook w:val="04A0" w:firstRow="1" w:lastRow="0" w:firstColumn="1" w:lastColumn="0" w:noHBand="0" w:noVBand="1"/>
        <w:tblCaption w:val="Table 1. Summary of Australian outbreaks associated with fresh and minimally processed horticultural produce (2011-2019)"/>
      </w:tblPr>
      <w:tblGrid>
        <w:gridCol w:w="483"/>
        <w:gridCol w:w="2552"/>
        <w:gridCol w:w="2347"/>
        <w:gridCol w:w="850"/>
        <w:gridCol w:w="1134"/>
        <w:gridCol w:w="889"/>
        <w:gridCol w:w="861"/>
        <w:gridCol w:w="3108"/>
        <w:gridCol w:w="2551"/>
      </w:tblGrid>
      <w:tr w:rsidR="00FB04CE" w:rsidRPr="00B04CF6" w14:paraId="2C53BB1A" w14:textId="77777777" w:rsidTr="002011F1">
        <w:trPr>
          <w:trHeight w:val="210"/>
          <w:tblHeader/>
        </w:trPr>
        <w:tc>
          <w:tcPr>
            <w:tcW w:w="483" w:type="dxa"/>
            <w:shd w:val="clear" w:color="auto" w:fill="C6D9F1" w:themeFill="text2" w:themeFillTint="33"/>
          </w:tcPr>
          <w:p w14:paraId="1EF46995" w14:textId="77777777" w:rsidR="00FB04CE" w:rsidRDefault="00FB04CE" w:rsidP="00837C34">
            <w:pPr>
              <w:jc w:val="center"/>
              <w:rPr>
                <w:b/>
                <w:bCs/>
                <w:sz w:val="20"/>
                <w:szCs w:val="20"/>
              </w:rPr>
            </w:pPr>
            <w:r>
              <w:rPr>
                <w:b/>
                <w:bCs/>
                <w:sz w:val="20"/>
                <w:szCs w:val="20"/>
              </w:rPr>
              <w:t>No</w:t>
            </w:r>
          </w:p>
        </w:tc>
        <w:tc>
          <w:tcPr>
            <w:tcW w:w="2552" w:type="dxa"/>
            <w:shd w:val="clear" w:color="auto" w:fill="C6D9F1" w:themeFill="text2" w:themeFillTint="33"/>
            <w:noWrap/>
            <w:hideMark/>
          </w:tcPr>
          <w:p w14:paraId="21834855" w14:textId="77777777" w:rsidR="00FB04CE" w:rsidRPr="00B04CF6" w:rsidRDefault="00FB04CE" w:rsidP="00837C34">
            <w:pPr>
              <w:jc w:val="center"/>
              <w:rPr>
                <w:b/>
                <w:bCs/>
                <w:sz w:val="20"/>
                <w:szCs w:val="20"/>
              </w:rPr>
            </w:pPr>
            <w:r w:rsidRPr="00B04CF6">
              <w:rPr>
                <w:b/>
                <w:bCs/>
                <w:sz w:val="20"/>
                <w:szCs w:val="20"/>
              </w:rPr>
              <w:t>Commodity</w:t>
            </w:r>
          </w:p>
        </w:tc>
        <w:tc>
          <w:tcPr>
            <w:tcW w:w="2347" w:type="dxa"/>
            <w:shd w:val="clear" w:color="auto" w:fill="C6D9F1" w:themeFill="text2" w:themeFillTint="33"/>
            <w:hideMark/>
          </w:tcPr>
          <w:p w14:paraId="447A9821" w14:textId="77777777" w:rsidR="00FB04CE" w:rsidRPr="00B04CF6" w:rsidRDefault="00FB04CE" w:rsidP="00837C34">
            <w:pPr>
              <w:jc w:val="center"/>
              <w:rPr>
                <w:b/>
                <w:bCs/>
                <w:sz w:val="20"/>
                <w:szCs w:val="20"/>
              </w:rPr>
            </w:pPr>
            <w:r w:rsidRPr="00B04CF6">
              <w:rPr>
                <w:b/>
                <w:bCs/>
                <w:sz w:val="20"/>
                <w:szCs w:val="20"/>
              </w:rPr>
              <w:t>Pathogen</w:t>
            </w:r>
          </w:p>
        </w:tc>
        <w:tc>
          <w:tcPr>
            <w:tcW w:w="850" w:type="dxa"/>
            <w:shd w:val="clear" w:color="auto" w:fill="C6D9F1" w:themeFill="text2" w:themeFillTint="33"/>
            <w:noWrap/>
            <w:hideMark/>
          </w:tcPr>
          <w:p w14:paraId="2E2B0D1F" w14:textId="77777777" w:rsidR="00FB04CE" w:rsidRPr="00B04CF6" w:rsidRDefault="00FB04CE" w:rsidP="00837C34">
            <w:pPr>
              <w:jc w:val="center"/>
              <w:rPr>
                <w:b/>
                <w:bCs/>
                <w:sz w:val="20"/>
                <w:szCs w:val="20"/>
              </w:rPr>
            </w:pPr>
            <w:r w:rsidRPr="00B04CF6">
              <w:rPr>
                <w:b/>
                <w:bCs/>
                <w:sz w:val="20"/>
                <w:szCs w:val="20"/>
              </w:rPr>
              <w:t>Year</w:t>
            </w:r>
          </w:p>
        </w:tc>
        <w:tc>
          <w:tcPr>
            <w:tcW w:w="1134" w:type="dxa"/>
            <w:shd w:val="clear" w:color="auto" w:fill="C6D9F1" w:themeFill="text2" w:themeFillTint="33"/>
            <w:noWrap/>
            <w:hideMark/>
          </w:tcPr>
          <w:p w14:paraId="44A31DA7" w14:textId="77777777" w:rsidR="00FB04CE" w:rsidRPr="00B04CF6" w:rsidRDefault="00FB04CE" w:rsidP="00837C34">
            <w:pPr>
              <w:jc w:val="center"/>
              <w:rPr>
                <w:b/>
                <w:bCs/>
                <w:sz w:val="20"/>
                <w:szCs w:val="20"/>
              </w:rPr>
            </w:pPr>
            <w:r w:rsidRPr="00B04CF6">
              <w:rPr>
                <w:b/>
                <w:bCs/>
                <w:sz w:val="20"/>
                <w:szCs w:val="20"/>
              </w:rPr>
              <w:t>Imported or domestic</w:t>
            </w:r>
          </w:p>
        </w:tc>
        <w:tc>
          <w:tcPr>
            <w:tcW w:w="889" w:type="dxa"/>
            <w:shd w:val="clear" w:color="auto" w:fill="C6D9F1" w:themeFill="text2" w:themeFillTint="33"/>
            <w:noWrap/>
            <w:hideMark/>
          </w:tcPr>
          <w:p w14:paraId="40B55CC5" w14:textId="77777777" w:rsidR="00FB04CE" w:rsidRPr="00B04CF6" w:rsidRDefault="00FB04CE" w:rsidP="00837C34">
            <w:pPr>
              <w:jc w:val="center"/>
              <w:rPr>
                <w:b/>
                <w:bCs/>
                <w:sz w:val="20"/>
                <w:szCs w:val="20"/>
              </w:rPr>
            </w:pPr>
            <w:r w:rsidRPr="00B04CF6">
              <w:rPr>
                <w:b/>
                <w:bCs/>
                <w:sz w:val="20"/>
                <w:szCs w:val="20"/>
              </w:rPr>
              <w:t>No. of cases</w:t>
            </w:r>
          </w:p>
        </w:tc>
        <w:tc>
          <w:tcPr>
            <w:tcW w:w="861" w:type="dxa"/>
            <w:shd w:val="clear" w:color="auto" w:fill="C6D9F1" w:themeFill="text2" w:themeFillTint="33"/>
          </w:tcPr>
          <w:p w14:paraId="08B4C7E3" w14:textId="77777777" w:rsidR="00FB04CE" w:rsidRDefault="00FB04CE" w:rsidP="00837C34">
            <w:pPr>
              <w:jc w:val="center"/>
              <w:rPr>
                <w:b/>
                <w:bCs/>
                <w:sz w:val="20"/>
                <w:szCs w:val="20"/>
              </w:rPr>
            </w:pPr>
            <w:r>
              <w:rPr>
                <w:b/>
                <w:bCs/>
                <w:sz w:val="20"/>
                <w:szCs w:val="20"/>
              </w:rPr>
              <w:t>No. of deaths</w:t>
            </w:r>
          </w:p>
        </w:tc>
        <w:tc>
          <w:tcPr>
            <w:tcW w:w="3108" w:type="dxa"/>
            <w:shd w:val="clear" w:color="auto" w:fill="C6D9F1" w:themeFill="text2" w:themeFillTint="33"/>
            <w:noWrap/>
            <w:hideMark/>
          </w:tcPr>
          <w:p w14:paraId="1A650C89" w14:textId="77777777" w:rsidR="00FB04CE" w:rsidRPr="00B04CF6" w:rsidRDefault="00FB04CE" w:rsidP="00837C34">
            <w:pPr>
              <w:jc w:val="center"/>
              <w:rPr>
                <w:b/>
                <w:bCs/>
                <w:sz w:val="20"/>
                <w:szCs w:val="20"/>
              </w:rPr>
            </w:pPr>
            <w:r w:rsidRPr="00B04CF6">
              <w:rPr>
                <w:b/>
                <w:bCs/>
                <w:sz w:val="20"/>
                <w:szCs w:val="20"/>
              </w:rPr>
              <w:t>Potential contributing factors</w:t>
            </w:r>
          </w:p>
        </w:tc>
        <w:tc>
          <w:tcPr>
            <w:tcW w:w="2551" w:type="dxa"/>
            <w:shd w:val="clear" w:color="auto" w:fill="C6D9F1" w:themeFill="text2" w:themeFillTint="33"/>
            <w:noWrap/>
            <w:hideMark/>
          </w:tcPr>
          <w:p w14:paraId="319E98AC" w14:textId="77777777" w:rsidR="00FB04CE" w:rsidRPr="00B04CF6" w:rsidRDefault="00FB04CE" w:rsidP="00837C34">
            <w:pPr>
              <w:jc w:val="center"/>
              <w:rPr>
                <w:b/>
                <w:bCs/>
                <w:sz w:val="20"/>
                <w:szCs w:val="20"/>
              </w:rPr>
            </w:pPr>
            <w:r w:rsidRPr="00B04CF6">
              <w:rPr>
                <w:b/>
                <w:bCs/>
                <w:sz w:val="20"/>
                <w:szCs w:val="20"/>
              </w:rPr>
              <w:t>References</w:t>
            </w:r>
          </w:p>
        </w:tc>
      </w:tr>
      <w:tr w:rsidR="00FB04CE" w:rsidRPr="00B04CF6" w14:paraId="2F6F155B" w14:textId="77777777" w:rsidTr="009320AA">
        <w:trPr>
          <w:trHeight w:val="1098"/>
        </w:trPr>
        <w:tc>
          <w:tcPr>
            <w:tcW w:w="483" w:type="dxa"/>
          </w:tcPr>
          <w:p w14:paraId="233DAC43" w14:textId="77777777" w:rsidR="00FB04CE" w:rsidRPr="00B04CF6" w:rsidRDefault="00FB04CE" w:rsidP="00837C34">
            <w:pPr>
              <w:jc w:val="center"/>
              <w:rPr>
                <w:sz w:val="20"/>
                <w:szCs w:val="20"/>
              </w:rPr>
            </w:pPr>
            <w:r>
              <w:rPr>
                <w:sz w:val="20"/>
                <w:szCs w:val="20"/>
              </w:rPr>
              <w:t>1</w:t>
            </w:r>
          </w:p>
        </w:tc>
        <w:tc>
          <w:tcPr>
            <w:tcW w:w="2552" w:type="dxa"/>
            <w:noWrap/>
            <w:hideMark/>
          </w:tcPr>
          <w:p w14:paraId="10065BB0" w14:textId="77777777" w:rsidR="00FB04CE" w:rsidRPr="00B04CF6" w:rsidRDefault="00FB04CE" w:rsidP="00837C34">
            <w:pPr>
              <w:rPr>
                <w:sz w:val="20"/>
                <w:szCs w:val="20"/>
              </w:rPr>
            </w:pPr>
            <w:r w:rsidRPr="00B04CF6">
              <w:rPr>
                <w:sz w:val="20"/>
                <w:szCs w:val="20"/>
              </w:rPr>
              <w:t>Rockmelon</w:t>
            </w:r>
          </w:p>
        </w:tc>
        <w:tc>
          <w:tcPr>
            <w:tcW w:w="2347" w:type="dxa"/>
            <w:noWrap/>
            <w:hideMark/>
          </w:tcPr>
          <w:p w14:paraId="5EF81E24" w14:textId="77777777" w:rsidR="00FB04CE" w:rsidRPr="00B04CF6" w:rsidRDefault="00FB04CE" w:rsidP="00837C34">
            <w:pPr>
              <w:rPr>
                <w:sz w:val="20"/>
                <w:szCs w:val="20"/>
              </w:rPr>
            </w:pPr>
            <w:r w:rsidRPr="00B04CF6">
              <w:rPr>
                <w:i/>
                <w:iCs/>
                <w:sz w:val="20"/>
                <w:szCs w:val="20"/>
              </w:rPr>
              <w:t>Salmonella</w:t>
            </w:r>
            <w:r w:rsidRPr="00B04CF6">
              <w:rPr>
                <w:sz w:val="20"/>
                <w:szCs w:val="20"/>
              </w:rPr>
              <w:t xml:space="preserve"> Saintpaul</w:t>
            </w:r>
          </w:p>
        </w:tc>
        <w:tc>
          <w:tcPr>
            <w:tcW w:w="850" w:type="dxa"/>
            <w:noWrap/>
            <w:hideMark/>
          </w:tcPr>
          <w:p w14:paraId="6FA9358C" w14:textId="77777777" w:rsidR="00FB04CE" w:rsidRPr="00B04CF6" w:rsidRDefault="00FB04CE" w:rsidP="00837C34">
            <w:pPr>
              <w:jc w:val="center"/>
              <w:rPr>
                <w:sz w:val="20"/>
                <w:szCs w:val="20"/>
              </w:rPr>
            </w:pPr>
            <w:r w:rsidRPr="00B04CF6">
              <w:rPr>
                <w:sz w:val="20"/>
                <w:szCs w:val="20"/>
              </w:rPr>
              <w:t>2006</w:t>
            </w:r>
          </w:p>
        </w:tc>
        <w:tc>
          <w:tcPr>
            <w:tcW w:w="1134" w:type="dxa"/>
            <w:noWrap/>
            <w:hideMark/>
          </w:tcPr>
          <w:p w14:paraId="49784055" w14:textId="77777777" w:rsidR="00FB04CE" w:rsidRPr="00B04CF6" w:rsidRDefault="00FB04CE" w:rsidP="00837C34">
            <w:pPr>
              <w:rPr>
                <w:sz w:val="20"/>
                <w:szCs w:val="20"/>
              </w:rPr>
            </w:pPr>
            <w:r w:rsidRPr="00B04CF6">
              <w:rPr>
                <w:sz w:val="20"/>
                <w:szCs w:val="20"/>
              </w:rPr>
              <w:t>Domestic</w:t>
            </w:r>
          </w:p>
        </w:tc>
        <w:tc>
          <w:tcPr>
            <w:tcW w:w="889" w:type="dxa"/>
            <w:noWrap/>
            <w:hideMark/>
          </w:tcPr>
          <w:p w14:paraId="2548DC1D" w14:textId="77777777" w:rsidR="00FB04CE" w:rsidRPr="00B04CF6" w:rsidRDefault="00FB04CE" w:rsidP="00837C34">
            <w:pPr>
              <w:jc w:val="center"/>
              <w:rPr>
                <w:sz w:val="20"/>
                <w:szCs w:val="20"/>
              </w:rPr>
            </w:pPr>
            <w:r w:rsidRPr="00B04CF6">
              <w:rPr>
                <w:sz w:val="20"/>
                <w:szCs w:val="20"/>
              </w:rPr>
              <w:t>100</w:t>
            </w:r>
          </w:p>
        </w:tc>
        <w:tc>
          <w:tcPr>
            <w:tcW w:w="861" w:type="dxa"/>
          </w:tcPr>
          <w:p w14:paraId="77311933" w14:textId="77777777" w:rsidR="00FB04CE" w:rsidRDefault="00FB04CE" w:rsidP="00837C34">
            <w:pPr>
              <w:jc w:val="center"/>
              <w:rPr>
                <w:sz w:val="20"/>
                <w:szCs w:val="20"/>
              </w:rPr>
            </w:pPr>
            <w:r>
              <w:rPr>
                <w:sz w:val="20"/>
                <w:szCs w:val="20"/>
              </w:rPr>
              <w:t>0</w:t>
            </w:r>
          </w:p>
        </w:tc>
        <w:tc>
          <w:tcPr>
            <w:tcW w:w="3108" w:type="dxa"/>
            <w:hideMark/>
          </w:tcPr>
          <w:p w14:paraId="31A0C379" w14:textId="77777777" w:rsidR="00FB04CE" w:rsidRPr="00B04CF6" w:rsidRDefault="00FB04CE" w:rsidP="00837C34">
            <w:pPr>
              <w:rPr>
                <w:sz w:val="20"/>
                <w:szCs w:val="20"/>
              </w:rPr>
            </w:pPr>
            <w:r w:rsidRPr="00B04CF6">
              <w:rPr>
                <w:sz w:val="20"/>
                <w:szCs w:val="20"/>
              </w:rPr>
              <w:t>Use of untreated or inadequately treated water, incorrect use of chemical disinfectants, temperature differential between fruit and wash water</w:t>
            </w:r>
          </w:p>
        </w:tc>
        <w:tc>
          <w:tcPr>
            <w:tcW w:w="2551" w:type="dxa"/>
            <w:noWrap/>
            <w:hideMark/>
          </w:tcPr>
          <w:p w14:paraId="7F77BBDD" w14:textId="5C38FB95" w:rsidR="00FB04CE" w:rsidRPr="00B04CF6" w:rsidRDefault="00657FDB" w:rsidP="00837C34">
            <w:pPr>
              <w:rPr>
                <w:sz w:val="20"/>
                <w:szCs w:val="20"/>
              </w:rPr>
            </w:pPr>
            <w:r>
              <w:rPr>
                <w:sz w:val="20"/>
                <w:szCs w:val="20"/>
              </w:rPr>
              <w:t>(Munnoch et al. 2009)</w:t>
            </w:r>
          </w:p>
        </w:tc>
      </w:tr>
      <w:tr w:rsidR="00FB04CE" w:rsidRPr="00B04CF6" w14:paraId="32DD9C28" w14:textId="77777777" w:rsidTr="009320AA">
        <w:trPr>
          <w:trHeight w:val="639"/>
        </w:trPr>
        <w:tc>
          <w:tcPr>
            <w:tcW w:w="483" w:type="dxa"/>
          </w:tcPr>
          <w:p w14:paraId="53931880" w14:textId="77777777" w:rsidR="00FB04CE" w:rsidRPr="00B04CF6" w:rsidRDefault="00FB04CE" w:rsidP="00837C34">
            <w:pPr>
              <w:jc w:val="center"/>
              <w:rPr>
                <w:sz w:val="20"/>
                <w:szCs w:val="20"/>
              </w:rPr>
            </w:pPr>
            <w:r>
              <w:rPr>
                <w:sz w:val="20"/>
                <w:szCs w:val="20"/>
              </w:rPr>
              <w:t>2</w:t>
            </w:r>
          </w:p>
        </w:tc>
        <w:tc>
          <w:tcPr>
            <w:tcW w:w="2552" w:type="dxa"/>
            <w:noWrap/>
            <w:hideMark/>
          </w:tcPr>
          <w:p w14:paraId="4D1FDB8A" w14:textId="77777777" w:rsidR="00FB04CE" w:rsidRPr="00B04CF6" w:rsidRDefault="00FB04CE" w:rsidP="00837C34">
            <w:pPr>
              <w:rPr>
                <w:sz w:val="20"/>
                <w:szCs w:val="20"/>
              </w:rPr>
            </w:pPr>
            <w:r w:rsidRPr="00B04CF6">
              <w:rPr>
                <w:sz w:val="20"/>
                <w:szCs w:val="20"/>
              </w:rPr>
              <w:t>Papaya</w:t>
            </w:r>
          </w:p>
        </w:tc>
        <w:tc>
          <w:tcPr>
            <w:tcW w:w="2347" w:type="dxa"/>
            <w:noWrap/>
            <w:hideMark/>
          </w:tcPr>
          <w:p w14:paraId="5A360C55" w14:textId="77777777" w:rsidR="00FB04CE" w:rsidRPr="00B04CF6" w:rsidRDefault="00FB04CE" w:rsidP="00837C34">
            <w:pPr>
              <w:rPr>
                <w:sz w:val="20"/>
                <w:szCs w:val="20"/>
              </w:rPr>
            </w:pPr>
            <w:r w:rsidRPr="00B04CF6">
              <w:rPr>
                <w:i/>
                <w:iCs/>
                <w:sz w:val="20"/>
                <w:szCs w:val="20"/>
              </w:rPr>
              <w:t>Salmonella</w:t>
            </w:r>
            <w:r w:rsidRPr="00B04CF6">
              <w:rPr>
                <w:sz w:val="20"/>
                <w:szCs w:val="20"/>
              </w:rPr>
              <w:t xml:space="preserve"> Litchfield</w:t>
            </w:r>
          </w:p>
        </w:tc>
        <w:tc>
          <w:tcPr>
            <w:tcW w:w="850" w:type="dxa"/>
            <w:noWrap/>
            <w:hideMark/>
          </w:tcPr>
          <w:p w14:paraId="6683F27E" w14:textId="77777777" w:rsidR="00FB04CE" w:rsidRPr="00B04CF6" w:rsidRDefault="00FB04CE" w:rsidP="00837C34">
            <w:pPr>
              <w:jc w:val="center"/>
              <w:rPr>
                <w:sz w:val="20"/>
                <w:szCs w:val="20"/>
              </w:rPr>
            </w:pPr>
            <w:r w:rsidRPr="00B04CF6">
              <w:rPr>
                <w:sz w:val="20"/>
                <w:szCs w:val="20"/>
              </w:rPr>
              <w:t>2006</w:t>
            </w:r>
          </w:p>
        </w:tc>
        <w:tc>
          <w:tcPr>
            <w:tcW w:w="1134" w:type="dxa"/>
            <w:noWrap/>
            <w:hideMark/>
          </w:tcPr>
          <w:p w14:paraId="6EFAAEE7" w14:textId="77777777" w:rsidR="00FB04CE" w:rsidRPr="00B04CF6" w:rsidRDefault="00FB04CE" w:rsidP="00837C34">
            <w:pPr>
              <w:rPr>
                <w:sz w:val="20"/>
                <w:szCs w:val="20"/>
              </w:rPr>
            </w:pPr>
            <w:r w:rsidRPr="00B04CF6">
              <w:rPr>
                <w:sz w:val="20"/>
                <w:szCs w:val="20"/>
              </w:rPr>
              <w:t>Domestic</w:t>
            </w:r>
          </w:p>
        </w:tc>
        <w:tc>
          <w:tcPr>
            <w:tcW w:w="889" w:type="dxa"/>
            <w:noWrap/>
            <w:hideMark/>
          </w:tcPr>
          <w:p w14:paraId="2214B9AC" w14:textId="77777777" w:rsidR="00FB04CE" w:rsidRPr="00B04CF6" w:rsidRDefault="00FB04CE" w:rsidP="00837C34">
            <w:pPr>
              <w:jc w:val="center"/>
              <w:rPr>
                <w:sz w:val="20"/>
                <w:szCs w:val="20"/>
              </w:rPr>
            </w:pPr>
            <w:r w:rsidRPr="00B04CF6">
              <w:rPr>
                <w:sz w:val="20"/>
                <w:szCs w:val="20"/>
              </w:rPr>
              <w:t>26</w:t>
            </w:r>
          </w:p>
        </w:tc>
        <w:tc>
          <w:tcPr>
            <w:tcW w:w="861" w:type="dxa"/>
          </w:tcPr>
          <w:p w14:paraId="1023C8BD" w14:textId="77777777" w:rsidR="00FB04CE" w:rsidRDefault="00FB04CE" w:rsidP="00837C34">
            <w:pPr>
              <w:jc w:val="center"/>
              <w:rPr>
                <w:sz w:val="20"/>
                <w:szCs w:val="20"/>
              </w:rPr>
            </w:pPr>
            <w:r>
              <w:rPr>
                <w:sz w:val="20"/>
                <w:szCs w:val="20"/>
              </w:rPr>
              <w:t>0</w:t>
            </w:r>
          </w:p>
        </w:tc>
        <w:tc>
          <w:tcPr>
            <w:tcW w:w="3108" w:type="dxa"/>
            <w:hideMark/>
          </w:tcPr>
          <w:p w14:paraId="47D8B88D" w14:textId="77777777" w:rsidR="00FB04CE" w:rsidRPr="00B04CF6" w:rsidRDefault="00FB04CE" w:rsidP="00837C34">
            <w:pPr>
              <w:rPr>
                <w:sz w:val="20"/>
                <w:szCs w:val="20"/>
              </w:rPr>
            </w:pPr>
            <w:r w:rsidRPr="00B04CF6">
              <w:rPr>
                <w:sz w:val="20"/>
                <w:szCs w:val="20"/>
              </w:rPr>
              <w:t>Use of untreated river water, incorrect use of chemical disinfectants</w:t>
            </w:r>
          </w:p>
        </w:tc>
        <w:tc>
          <w:tcPr>
            <w:tcW w:w="2551" w:type="dxa"/>
            <w:noWrap/>
            <w:hideMark/>
          </w:tcPr>
          <w:p w14:paraId="602CD469" w14:textId="2368153D" w:rsidR="00FB04CE" w:rsidRPr="00B04CF6" w:rsidRDefault="00657FDB" w:rsidP="00837C34">
            <w:pPr>
              <w:rPr>
                <w:sz w:val="20"/>
                <w:szCs w:val="20"/>
              </w:rPr>
            </w:pPr>
            <w:r>
              <w:rPr>
                <w:sz w:val="20"/>
                <w:szCs w:val="20"/>
              </w:rPr>
              <w:t>(Gibbs et al. 2009)</w:t>
            </w:r>
          </w:p>
        </w:tc>
      </w:tr>
      <w:tr w:rsidR="00FB04CE" w:rsidRPr="00B04CF6" w14:paraId="31E2ED97" w14:textId="77777777" w:rsidTr="009320AA">
        <w:trPr>
          <w:trHeight w:val="218"/>
        </w:trPr>
        <w:tc>
          <w:tcPr>
            <w:tcW w:w="483" w:type="dxa"/>
          </w:tcPr>
          <w:p w14:paraId="7ABC8677" w14:textId="77777777" w:rsidR="00FB04CE" w:rsidRPr="00B04CF6" w:rsidRDefault="00FB04CE" w:rsidP="00837C34">
            <w:pPr>
              <w:jc w:val="center"/>
              <w:rPr>
                <w:sz w:val="20"/>
                <w:szCs w:val="20"/>
              </w:rPr>
            </w:pPr>
            <w:r>
              <w:rPr>
                <w:sz w:val="20"/>
                <w:szCs w:val="20"/>
              </w:rPr>
              <w:t>3</w:t>
            </w:r>
          </w:p>
        </w:tc>
        <w:tc>
          <w:tcPr>
            <w:tcW w:w="2552" w:type="dxa"/>
            <w:noWrap/>
            <w:hideMark/>
          </w:tcPr>
          <w:p w14:paraId="2D7F7E90" w14:textId="77777777" w:rsidR="00FB04CE" w:rsidRPr="00B04CF6" w:rsidRDefault="00FB04CE" w:rsidP="00837C34">
            <w:pPr>
              <w:rPr>
                <w:sz w:val="20"/>
                <w:szCs w:val="20"/>
              </w:rPr>
            </w:pPr>
            <w:r w:rsidRPr="00B04CF6">
              <w:rPr>
                <w:sz w:val="20"/>
                <w:szCs w:val="20"/>
              </w:rPr>
              <w:t>Baby corn</w:t>
            </w:r>
          </w:p>
        </w:tc>
        <w:tc>
          <w:tcPr>
            <w:tcW w:w="2347" w:type="dxa"/>
            <w:noWrap/>
            <w:hideMark/>
          </w:tcPr>
          <w:p w14:paraId="0F27338E" w14:textId="77777777" w:rsidR="00FB04CE" w:rsidRPr="00B04CF6" w:rsidRDefault="00FB04CE" w:rsidP="00837C34">
            <w:pPr>
              <w:rPr>
                <w:i/>
                <w:iCs/>
                <w:sz w:val="20"/>
                <w:szCs w:val="20"/>
              </w:rPr>
            </w:pPr>
            <w:r w:rsidRPr="00B04CF6">
              <w:rPr>
                <w:i/>
                <w:iCs/>
                <w:sz w:val="20"/>
                <w:szCs w:val="20"/>
              </w:rPr>
              <w:t>Shigella sonnei</w:t>
            </w:r>
          </w:p>
        </w:tc>
        <w:tc>
          <w:tcPr>
            <w:tcW w:w="850" w:type="dxa"/>
            <w:noWrap/>
            <w:hideMark/>
          </w:tcPr>
          <w:p w14:paraId="6DF18EDF" w14:textId="77777777" w:rsidR="00FB04CE" w:rsidRPr="00B04CF6" w:rsidRDefault="00FB04CE" w:rsidP="00837C34">
            <w:pPr>
              <w:jc w:val="center"/>
              <w:rPr>
                <w:sz w:val="20"/>
                <w:szCs w:val="20"/>
              </w:rPr>
            </w:pPr>
            <w:r w:rsidRPr="00B04CF6">
              <w:rPr>
                <w:sz w:val="20"/>
                <w:szCs w:val="20"/>
              </w:rPr>
              <w:t>2007</w:t>
            </w:r>
          </w:p>
        </w:tc>
        <w:tc>
          <w:tcPr>
            <w:tcW w:w="1134" w:type="dxa"/>
            <w:noWrap/>
            <w:hideMark/>
          </w:tcPr>
          <w:p w14:paraId="6702FB5E" w14:textId="77777777" w:rsidR="00FB04CE" w:rsidRPr="00B04CF6" w:rsidRDefault="00FB04CE" w:rsidP="00837C34">
            <w:pPr>
              <w:rPr>
                <w:sz w:val="20"/>
                <w:szCs w:val="20"/>
              </w:rPr>
            </w:pPr>
            <w:r w:rsidRPr="00B04CF6">
              <w:rPr>
                <w:sz w:val="20"/>
                <w:szCs w:val="20"/>
              </w:rPr>
              <w:t>Imported</w:t>
            </w:r>
          </w:p>
        </w:tc>
        <w:tc>
          <w:tcPr>
            <w:tcW w:w="889" w:type="dxa"/>
            <w:noWrap/>
            <w:hideMark/>
          </w:tcPr>
          <w:p w14:paraId="787236D0" w14:textId="77777777" w:rsidR="00FB04CE" w:rsidRPr="00B04CF6" w:rsidRDefault="00FB04CE" w:rsidP="00837C34">
            <w:pPr>
              <w:jc w:val="center"/>
              <w:rPr>
                <w:sz w:val="20"/>
                <w:szCs w:val="20"/>
              </w:rPr>
            </w:pPr>
            <w:r w:rsidRPr="00B04CF6">
              <w:rPr>
                <w:sz w:val="20"/>
                <w:szCs w:val="20"/>
              </w:rPr>
              <w:t>12</w:t>
            </w:r>
          </w:p>
        </w:tc>
        <w:tc>
          <w:tcPr>
            <w:tcW w:w="861" w:type="dxa"/>
          </w:tcPr>
          <w:p w14:paraId="50ADB875" w14:textId="77777777" w:rsidR="00FB04CE" w:rsidRDefault="00FB04CE" w:rsidP="00837C34">
            <w:pPr>
              <w:jc w:val="center"/>
              <w:rPr>
                <w:sz w:val="20"/>
                <w:szCs w:val="20"/>
              </w:rPr>
            </w:pPr>
            <w:r>
              <w:rPr>
                <w:sz w:val="20"/>
                <w:szCs w:val="20"/>
              </w:rPr>
              <w:t>0</w:t>
            </w:r>
          </w:p>
        </w:tc>
        <w:tc>
          <w:tcPr>
            <w:tcW w:w="3108" w:type="dxa"/>
            <w:noWrap/>
            <w:hideMark/>
          </w:tcPr>
          <w:p w14:paraId="338A33C0" w14:textId="77777777" w:rsidR="00FB04CE" w:rsidRPr="00B04CF6" w:rsidRDefault="00FB04CE" w:rsidP="00837C34">
            <w:pPr>
              <w:rPr>
                <w:sz w:val="20"/>
                <w:szCs w:val="20"/>
              </w:rPr>
            </w:pPr>
            <w:r w:rsidRPr="00B04CF6">
              <w:rPr>
                <w:sz w:val="20"/>
                <w:szCs w:val="20"/>
              </w:rPr>
              <w:t>Poor sanitation</w:t>
            </w:r>
          </w:p>
        </w:tc>
        <w:tc>
          <w:tcPr>
            <w:tcW w:w="2551" w:type="dxa"/>
            <w:noWrap/>
            <w:hideMark/>
          </w:tcPr>
          <w:p w14:paraId="57F01F05" w14:textId="19E86FBC" w:rsidR="00FB04CE" w:rsidRPr="00B04CF6" w:rsidRDefault="00657FDB" w:rsidP="00837C34">
            <w:pPr>
              <w:rPr>
                <w:sz w:val="20"/>
                <w:szCs w:val="20"/>
              </w:rPr>
            </w:pPr>
            <w:r>
              <w:rPr>
                <w:sz w:val="20"/>
                <w:szCs w:val="20"/>
              </w:rPr>
              <w:t>(Lewis et al. 2009)</w:t>
            </w:r>
          </w:p>
        </w:tc>
      </w:tr>
      <w:tr w:rsidR="00FB04CE" w:rsidRPr="00B04CF6" w14:paraId="613AB700" w14:textId="77777777" w:rsidTr="009320AA">
        <w:trPr>
          <w:trHeight w:val="210"/>
        </w:trPr>
        <w:tc>
          <w:tcPr>
            <w:tcW w:w="483" w:type="dxa"/>
          </w:tcPr>
          <w:p w14:paraId="69C18D79" w14:textId="77777777" w:rsidR="00FB04CE" w:rsidRPr="00B04CF6" w:rsidRDefault="00FB04CE" w:rsidP="00837C34">
            <w:pPr>
              <w:jc w:val="center"/>
              <w:rPr>
                <w:sz w:val="20"/>
                <w:szCs w:val="20"/>
              </w:rPr>
            </w:pPr>
            <w:r>
              <w:rPr>
                <w:sz w:val="20"/>
                <w:szCs w:val="20"/>
              </w:rPr>
              <w:t>4</w:t>
            </w:r>
          </w:p>
        </w:tc>
        <w:tc>
          <w:tcPr>
            <w:tcW w:w="2552" w:type="dxa"/>
            <w:noWrap/>
            <w:hideMark/>
          </w:tcPr>
          <w:p w14:paraId="415D5012" w14:textId="77777777" w:rsidR="00FB04CE" w:rsidRPr="00B04CF6" w:rsidRDefault="00FB04CE" w:rsidP="00837C34">
            <w:pPr>
              <w:rPr>
                <w:sz w:val="20"/>
                <w:szCs w:val="20"/>
              </w:rPr>
            </w:pPr>
            <w:r w:rsidRPr="00B04CF6">
              <w:rPr>
                <w:sz w:val="20"/>
                <w:szCs w:val="20"/>
              </w:rPr>
              <w:t>Tomato semi-dried</w:t>
            </w:r>
          </w:p>
        </w:tc>
        <w:tc>
          <w:tcPr>
            <w:tcW w:w="2347" w:type="dxa"/>
            <w:noWrap/>
            <w:hideMark/>
          </w:tcPr>
          <w:p w14:paraId="33D598B5" w14:textId="77777777" w:rsidR="00FB04CE" w:rsidRPr="00B04CF6" w:rsidRDefault="00FB04CE" w:rsidP="00837C34">
            <w:pPr>
              <w:rPr>
                <w:sz w:val="20"/>
                <w:szCs w:val="20"/>
              </w:rPr>
            </w:pPr>
            <w:r>
              <w:rPr>
                <w:sz w:val="20"/>
                <w:szCs w:val="20"/>
              </w:rPr>
              <w:t>HAV</w:t>
            </w:r>
          </w:p>
        </w:tc>
        <w:tc>
          <w:tcPr>
            <w:tcW w:w="850" w:type="dxa"/>
            <w:noWrap/>
            <w:hideMark/>
          </w:tcPr>
          <w:p w14:paraId="24502D40" w14:textId="77777777" w:rsidR="00FB04CE" w:rsidRPr="00B04CF6" w:rsidRDefault="00FB04CE" w:rsidP="00837C34">
            <w:pPr>
              <w:jc w:val="center"/>
              <w:rPr>
                <w:sz w:val="20"/>
                <w:szCs w:val="20"/>
              </w:rPr>
            </w:pPr>
            <w:r w:rsidRPr="00B04CF6">
              <w:rPr>
                <w:sz w:val="20"/>
                <w:szCs w:val="20"/>
              </w:rPr>
              <w:t>2009</w:t>
            </w:r>
          </w:p>
        </w:tc>
        <w:tc>
          <w:tcPr>
            <w:tcW w:w="1134" w:type="dxa"/>
            <w:noWrap/>
            <w:hideMark/>
          </w:tcPr>
          <w:p w14:paraId="32E4AD65" w14:textId="77777777" w:rsidR="00FB04CE" w:rsidRPr="00B04CF6" w:rsidRDefault="00FB04CE" w:rsidP="00837C34">
            <w:pPr>
              <w:rPr>
                <w:sz w:val="20"/>
                <w:szCs w:val="20"/>
              </w:rPr>
            </w:pPr>
            <w:r w:rsidRPr="00B04CF6">
              <w:rPr>
                <w:sz w:val="20"/>
                <w:szCs w:val="20"/>
              </w:rPr>
              <w:t>Imported</w:t>
            </w:r>
          </w:p>
        </w:tc>
        <w:tc>
          <w:tcPr>
            <w:tcW w:w="889" w:type="dxa"/>
            <w:noWrap/>
            <w:hideMark/>
          </w:tcPr>
          <w:p w14:paraId="09DCB790" w14:textId="77777777" w:rsidR="00FB04CE" w:rsidRPr="00B04CF6" w:rsidRDefault="00FB04CE" w:rsidP="00837C34">
            <w:pPr>
              <w:jc w:val="center"/>
              <w:rPr>
                <w:sz w:val="20"/>
                <w:szCs w:val="20"/>
              </w:rPr>
            </w:pPr>
            <w:r w:rsidRPr="00B04CF6">
              <w:rPr>
                <w:sz w:val="20"/>
                <w:szCs w:val="20"/>
              </w:rPr>
              <w:t>563</w:t>
            </w:r>
          </w:p>
        </w:tc>
        <w:tc>
          <w:tcPr>
            <w:tcW w:w="861" w:type="dxa"/>
          </w:tcPr>
          <w:p w14:paraId="737AC7CE" w14:textId="77777777" w:rsidR="00FB04CE" w:rsidRDefault="00FB04CE" w:rsidP="00837C34">
            <w:pPr>
              <w:jc w:val="center"/>
              <w:rPr>
                <w:sz w:val="20"/>
                <w:szCs w:val="20"/>
              </w:rPr>
            </w:pPr>
            <w:r>
              <w:rPr>
                <w:sz w:val="20"/>
                <w:szCs w:val="20"/>
              </w:rPr>
              <w:t>0</w:t>
            </w:r>
          </w:p>
        </w:tc>
        <w:tc>
          <w:tcPr>
            <w:tcW w:w="3108" w:type="dxa"/>
            <w:noWrap/>
            <w:hideMark/>
          </w:tcPr>
          <w:p w14:paraId="48502864" w14:textId="77777777" w:rsidR="00FB04CE" w:rsidRPr="00B04CF6" w:rsidRDefault="00FB04CE" w:rsidP="00837C34">
            <w:pPr>
              <w:rPr>
                <w:sz w:val="20"/>
                <w:szCs w:val="20"/>
              </w:rPr>
            </w:pPr>
            <w:r>
              <w:rPr>
                <w:sz w:val="20"/>
                <w:szCs w:val="20"/>
              </w:rPr>
              <w:t>Not reported</w:t>
            </w:r>
          </w:p>
        </w:tc>
        <w:tc>
          <w:tcPr>
            <w:tcW w:w="2551" w:type="dxa"/>
            <w:noWrap/>
            <w:hideMark/>
          </w:tcPr>
          <w:p w14:paraId="462A563A" w14:textId="677897CA" w:rsidR="00FB04CE" w:rsidRPr="00B04CF6" w:rsidRDefault="00657FDB" w:rsidP="00837C34">
            <w:pPr>
              <w:rPr>
                <w:sz w:val="20"/>
                <w:szCs w:val="20"/>
              </w:rPr>
            </w:pPr>
            <w:r>
              <w:rPr>
                <w:sz w:val="20"/>
                <w:szCs w:val="20"/>
              </w:rPr>
              <w:t>(Donnan et al. 2012)</w:t>
            </w:r>
          </w:p>
        </w:tc>
      </w:tr>
      <w:tr w:rsidR="00FB04CE" w:rsidRPr="00B04CF6" w14:paraId="4ADCC502" w14:textId="77777777" w:rsidTr="009320AA">
        <w:trPr>
          <w:trHeight w:val="428"/>
        </w:trPr>
        <w:tc>
          <w:tcPr>
            <w:tcW w:w="483" w:type="dxa"/>
          </w:tcPr>
          <w:p w14:paraId="248B633A" w14:textId="77777777" w:rsidR="00FB04CE" w:rsidRPr="00B04CF6" w:rsidRDefault="00FB04CE" w:rsidP="00837C34">
            <w:pPr>
              <w:jc w:val="center"/>
              <w:rPr>
                <w:sz w:val="20"/>
                <w:szCs w:val="20"/>
              </w:rPr>
            </w:pPr>
            <w:r>
              <w:rPr>
                <w:sz w:val="20"/>
                <w:szCs w:val="20"/>
              </w:rPr>
              <w:t>5</w:t>
            </w:r>
          </w:p>
        </w:tc>
        <w:tc>
          <w:tcPr>
            <w:tcW w:w="2552" w:type="dxa"/>
            <w:hideMark/>
          </w:tcPr>
          <w:p w14:paraId="126A74F3" w14:textId="77777777" w:rsidR="00FB04CE" w:rsidRPr="00B04CF6" w:rsidRDefault="00FB04CE" w:rsidP="00837C34">
            <w:pPr>
              <w:rPr>
                <w:sz w:val="20"/>
                <w:szCs w:val="20"/>
              </w:rPr>
            </w:pPr>
            <w:r w:rsidRPr="00B04CF6">
              <w:rPr>
                <w:sz w:val="20"/>
                <w:szCs w:val="20"/>
              </w:rPr>
              <w:t>Rockmelon and/or honeydew melon</w:t>
            </w:r>
          </w:p>
        </w:tc>
        <w:tc>
          <w:tcPr>
            <w:tcW w:w="2347" w:type="dxa"/>
            <w:noWrap/>
            <w:hideMark/>
          </w:tcPr>
          <w:p w14:paraId="19154FB1" w14:textId="77777777" w:rsidR="00FB04CE" w:rsidRPr="00B04CF6" w:rsidRDefault="00FB04CE" w:rsidP="00837C34">
            <w:pPr>
              <w:rPr>
                <w:i/>
                <w:iCs/>
                <w:sz w:val="20"/>
                <w:szCs w:val="20"/>
              </w:rPr>
            </w:pPr>
            <w:r>
              <w:rPr>
                <w:i/>
                <w:iCs/>
                <w:sz w:val="20"/>
                <w:szCs w:val="20"/>
              </w:rPr>
              <w:t>L.</w:t>
            </w:r>
            <w:r w:rsidRPr="00B04CF6">
              <w:rPr>
                <w:i/>
                <w:iCs/>
                <w:sz w:val="20"/>
                <w:szCs w:val="20"/>
              </w:rPr>
              <w:t xml:space="preserve"> monocytogenes</w:t>
            </w:r>
          </w:p>
        </w:tc>
        <w:tc>
          <w:tcPr>
            <w:tcW w:w="850" w:type="dxa"/>
            <w:noWrap/>
            <w:hideMark/>
          </w:tcPr>
          <w:p w14:paraId="619F02BB" w14:textId="77777777" w:rsidR="00FB04CE" w:rsidRPr="00B04CF6" w:rsidRDefault="00FB04CE" w:rsidP="00837C34">
            <w:pPr>
              <w:jc w:val="center"/>
              <w:rPr>
                <w:sz w:val="20"/>
                <w:szCs w:val="20"/>
              </w:rPr>
            </w:pPr>
            <w:r w:rsidRPr="00B04CF6">
              <w:rPr>
                <w:sz w:val="20"/>
                <w:szCs w:val="20"/>
              </w:rPr>
              <w:t>2010</w:t>
            </w:r>
          </w:p>
        </w:tc>
        <w:tc>
          <w:tcPr>
            <w:tcW w:w="1134" w:type="dxa"/>
            <w:noWrap/>
            <w:hideMark/>
          </w:tcPr>
          <w:p w14:paraId="2C389A13" w14:textId="77777777" w:rsidR="00FB04CE" w:rsidRPr="00B04CF6" w:rsidRDefault="00FB04CE" w:rsidP="00837C34">
            <w:pPr>
              <w:rPr>
                <w:sz w:val="20"/>
                <w:szCs w:val="20"/>
              </w:rPr>
            </w:pPr>
            <w:r w:rsidRPr="00B04CF6">
              <w:rPr>
                <w:sz w:val="20"/>
                <w:szCs w:val="20"/>
              </w:rPr>
              <w:t>Domestic</w:t>
            </w:r>
          </w:p>
        </w:tc>
        <w:tc>
          <w:tcPr>
            <w:tcW w:w="889" w:type="dxa"/>
            <w:noWrap/>
            <w:hideMark/>
          </w:tcPr>
          <w:p w14:paraId="127B9216" w14:textId="77777777" w:rsidR="00FB04CE" w:rsidRPr="00B04CF6" w:rsidRDefault="00FB04CE" w:rsidP="00837C34">
            <w:pPr>
              <w:jc w:val="center"/>
              <w:rPr>
                <w:sz w:val="20"/>
                <w:szCs w:val="20"/>
              </w:rPr>
            </w:pPr>
            <w:r w:rsidRPr="00B04CF6">
              <w:rPr>
                <w:sz w:val="20"/>
                <w:szCs w:val="20"/>
              </w:rPr>
              <w:t>9</w:t>
            </w:r>
          </w:p>
        </w:tc>
        <w:tc>
          <w:tcPr>
            <w:tcW w:w="861" w:type="dxa"/>
          </w:tcPr>
          <w:p w14:paraId="29A01EE6" w14:textId="77777777" w:rsidR="00FB04CE" w:rsidRDefault="00FB04CE" w:rsidP="00837C34">
            <w:pPr>
              <w:jc w:val="center"/>
              <w:rPr>
                <w:sz w:val="20"/>
                <w:szCs w:val="20"/>
              </w:rPr>
            </w:pPr>
            <w:r>
              <w:rPr>
                <w:sz w:val="20"/>
                <w:szCs w:val="20"/>
              </w:rPr>
              <w:t>2</w:t>
            </w:r>
          </w:p>
        </w:tc>
        <w:tc>
          <w:tcPr>
            <w:tcW w:w="3108" w:type="dxa"/>
            <w:noWrap/>
            <w:hideMark/>
          </w:tcPr>
          <w:p w14:paraId="7ECE2D46" w14:textId="77777777" w:rsidR="00FB04CE" w:rsidRPr="00B04CF6" w:rsidRDefault="00FB04CE" w:rsidP="00837C34">
            <w:pPr>
              <w:rPr>
                <w:sz w:val="20"/>
                <w:szCs w:val="20"/>
              </w:rPr>
            </w:pPr>
            <w:r>
              <w:rPr>
                <w:sz w:val="20"/>
                <w:szCs w:val="20"/>
              </w:rPr>
              <w:t>Not reported</w:t>
            </w:r>
          </w:p>
        </w:tc>
        <w:tc>
          <w:tcPr>
            <w:tcW w:w="2551" w:type="dxa"/>
            <w:noWrap/>
            <w:hideMark/>
          </w:tcPr>
          <w:p w14:paraId="46ABE0D2" w14:textId="4070CC4E" w:rsidR="00FB04CE" w:rsidRPr="00B04CF6" w:rsidRDefault="00657FDB" w:rsidP="00837C34">
            <w:pPr>
              <w:rPr>
                <w:sz w:val="20"/>
                <w:szCs w:val="20"/>
              </w:rPr>
            </w:pPr>
            <w:r>
              <w:rPr>
                <w:sz w:val="20"/>
                <w:szCs w:val="20"/>
              </w:rPr>
              <w:t>(OzFoodNet 2010)</w:t>
            </w:r>
          </w:p>
        </w:tc>
      </w:tr>
      <w:tr w:rsidR="00FB04CE" w:rsidRPr="00B04CF6" w14:paraId="0FEF49F0" w14:textId="77777777" w:rsidTr="009320AA">
        <w:trPr>
          <w:trHeight w:val="210"/>
        </w:trPr>
        <w:tc>
          <w:tcPr>
            <w:tcW w:w="483" w:type="dxa"/>
          </w:tcPr>
          <w:p w14:paraId="127ECD13" w14:textId="77777777" w:rsidR="00FB04CE" w:rsidRPr="00B04CF6" w:rsidRDefault="00FB04CE" w:rsidP="00837C34">
            <w:pPr>
              <w:jc w:val="center"/>
              <w:rPr>
                <w:sz w:val="20"/>
                <w:szCs w:val="20"/>
              </w:rPr>
            </w:pPr>
            <w:r>
              <w:rPr>
                <w:sz w:val="20"/>
                <w:szCs w:val="20"/>
              </w:rPr>
              <w:t>6</w:t>
            </w:r>
          </w:p>
        </w:tc>
        <w:tc>
          <w:tcPr>
            <w:tcW w:w="2552" w:type="dxa"/>
            <w:noWrap/>
            <w:hideMark/>
          </w:tcPr>
          <w:p w14:paraId="258E023C" w14:textId="77777777" w:rsidR="00FB04CE" w:rsidRPr="00B04CF6" w:rsidRDefault="00FB04CE" w:rsidP="00837C34">
            <w:pPr>
              <w:rPr>
                <w:sz w:val="20"/>
                <w:szCs w:val="20"/>
              </w:rPr>
            </w:pPr>
            <w:r w:rsidRPr="00B04CF6">
              <w:rPr>
                <w:sz w:val="20"/>
                <w:szCs w:val="20"/>
              </w:rPr>
              <w:t>Fruit</w:t>
            </w:r>
          </w:p>
        </w:tc>
        <w:tc>
          <w:tcPr>
            <w:tcW w:w="2347" w:type="dxa"/>
            <w:hideMark/>
          </w:tcPr>
          <w:p w14:paraId="53F87157" w14:textId="77777777" w:rsidR="00FB04CE" w:rsidRPr="00B04CF6" w:rsidRDefault="00FB04CE" w:rsidP="00837C34">
            <w:pPr>
              <w:rPr>
                <w:sz w:val="20"/>
                <w:szCs w:val="20"/>
              </w:rPr>
            </w:pPr>
            <w:r>
              <w:rPr>
                <w:sz w:val="20"/>
                <w:szCs w:val="20"/>
              </w:rPr>
              <w:t>NoV</w:t>
            </w:r>
          </w:p>
        </w:tc>
        <w:tc>
          <w:tcPr>
            <w:tcW w:w="850" w:type="dxa"/>
            <w:noWrap/>
            <w:hideMark/>
          </w:tcPr>
          <w:p w14:paraId="7D21039F" w14:textId="77777777" w:rsidR="00FB04CE" w:rsidRPr="00B04CF6" w:rsidRDefault="00FB04CE" w:rsidP="00837C34">
            <w:pPr>
              <w:jc w:val="center"/>
              <w:rPr>
                <w:sz w:val="20"/>
                <w:szCs w:val="20"/>
              </w:rPr>
            </w:pPr>
            <w:r w:rsidRPr="00B04CF6">
              <w:rPr>
                <w:sz w:val="20"/>
                <w:szCs w:val="20"/>
              </w:rPr>
              <w:t>2011</w:t>
            </w:r>
          </w:p>
        </w:tc>
        <w:tc>
          <w:tcPr>
            <w:tcW w:w="1134" w:type="dxa"/>
            <w:noWrap/>
            <w:hideMark/>
          </w:tcPr>
          <w:p w14:paraId="7694F5FA" w14:textId="77777777" w:rsidR="00FB04CE" w:rsidRPr="00B04CF6" w:rsidRDefault="00FB04CE" w:rsidP="00837C34">
            <w:pPr>
              <w:rPr>
                <w:sz w:val="20"/>
                <w:szCs w:val="20"/>
              </w:rPr>
            </w:pPr>
            <w:r w:rsidRPr="00B04CF6">
              <w:rPr>
                <w:sz w:val="20"/>
                <w:szCs w:val="20"/>
              </w:rPr>
              <w:t>Domestic</w:t>
            </w:r>
          </w:p>
        </w:tc>
        <w:tc>
          <w:tcPr>
            <w:tcW w:w="889" w:type="dxa"/>
            <w:noWrap/>
            <w:hideMark/>
          </w:tcPr>
          <w:p w14:paraId="4BAD648A" w14:textId="77777777" w:rsidR="00FB04CE" w:rsidRPr="00B04CF6" w:rsidRDefault="00FB04CE" w:rsidP="00837C34">
            <w:pPr>
              <w:jc w:val="center"/>
              <w:rPr>
                <w:sz w:val="20"/>
                <w:szCs w:val="20"/>
              </w:rPr>
            </w:pPr>
            <w:r w:rsidRPr="00B04CF6">
              <w:rPr>
                <w:sz w:val="20"/>
                <w:szCs w:val="20"/>
              </w:rPr>
              <w:t>15</w:t>
            </w:r>
          </w:p>
        </w:tc>
        <w:tc>
          <w:tcPr>
            <w:tcW w:w="861" w:type="dxa"/>
          </w:tcPr>
          <w:p w14:paraId="55F6F18D" w14:textId="77777777" w:rsidR="00FB04CE" w:rsidRDefault="00FB04CE" w:rsidP="00837C34">
            <w:pPr>
              <w:jc w:val="center"/>
              <w:rPr>
                <w:sz w:val="20"/>
                <w:szCs w:val="20"/>
              </w:rPr>
            </w:pPr>
            <w:r>
              <w:rPr>
                <w:sz w:val="20"/>
                <w:szCs w:val="20"/>
              </w:rPr>
              <w:t>0</w:t>
            </w:r>
          </w:p>
        </w:tc>
        <w:tc>
          <w:tcPr>
            <w:tcW w:w="3108" w:type="dxa"/>
            <w:noWrap/>
            <w:hideMark/>
          </w:tcPr>
          <w:p w14:paraId="7D9D8BE1" w14:textId="77777777" w:rsidR="00FB04CE" w:rsidRPr="00B04CF6" w:rsidRDefault="00FB04CE" w:rsidP="00837C34">
            <w:pPr>
              <w:rPr>
                <w:sz w:val="20"/>
                <w:szCs w:val="20"/>
              </w:rPr>
            </w:pPr>
            <w:r>
              <w:rPr>
                <w:sz w:val="20"/>
                <w:szCs w:val="20"/>
              </w:rPr>
              <w:t>Not reported</w:t>
            </w:r>
          </w:p>
        </w:tc>
        <w:tc>
          <w:tcPr>
            <w:tcW w:w="2551" w:type="dxa"/>
            <w:noWrap/>
            <w:hideMark/>
          </w:tcPr>
          <w:p w14:paraId="200C38E4" w14:textId="0FBED18A" w:rsidR="00FB04CE" w:rsidRPr="00B04CF6" w:rsidRDefault="00657FDB" w:rsidP="00837C34">
            <w:pPr>
              <w:rPr>
                <w:sz w:val="20"/>
                <w:szCs w:val="20"/>
              </w:rPr>
            </w:pPr>
            <w:r>
              <w:rPr>
                <w:sz w:val="20"/>
                <w:szCs w:val="20"/>
              </w:rPr>
              <w:t>(OzFoodNet 2015)</w:t>
            </w:r>
          </w:p>
        </w:tc>
      </w:tr>
      <w:tr w:rsidR="00FB04CE" w:rsidRPr="00B04CF6" w14:paraId="71B96616" w14:textId="77777777" w:rsidTr="009320AA">
        <w:trPr>
          <w:trHeight w:val="639"/>
        </w:trPr>
        <w:tc>
          <w:tcPr>
            <w:tcW w:w="483" w:type="dxa"/>
          </w:tcPr>
          <w:p w14:paraId="69F43E1F" w14:textId="77777777" w:rsidR="00FB04CE" w:rsidRPr="00B04CF6" w:rsidRDefault="00FB04CE" w:rsidP="00837C34">
            <w:pPr>
              <w:jc w:val="center"/>
              <w:rPr>
                <w:sz w:val="20"/>
                <w:szCs w:val="20"/>
              </w:rPr>
            </w:pPr>
            <w:r>
              <w:rPr>
                <w:sz w:val="20"/>
                <w:szCs w:val="20"/>
              </w:rPr>
              <w:t>7</w:t>
            </w:r>
          </w:p>
        </w:tc>
        <w:tc>
          <w:tcPr>
            <w:tcW w:w="2552" w:type="dxa"/>
            <w:noWrap/>
            <w:hideMark/>
          </w:tcPr>
          <w:p w14:paraId="5A002578" w14:textId="77777777" w:rsidR="00FB04CE" w:rsidRPr="00B04CF6" w:rsidRDefault="00FB04CE" w:rsidP="00837C34">
            <w:pPr>
              <w:rPr>
                <w:sz w:val="20"/>
                <w:szCs w:val="20"/>
              </w:rPr>
            </w:pPr>
            <w:r w:rsidRPr="00B04CF6">
              <w:rPr>
                <w:sz w:val="20"/>
                <w:szCs w:val="20"/>
              </w:rPr>
              <w:t>Leafy vegetables, salads</w:t>
            </w:r>
          </w:p>
        </w:tc>
        <w:tc>
          <w:tcPr>
            <w:tcW w:w="2347" w:type="dxa"/>
            <w:hideMark/>
          </w:tcPr>
          <w:p w14:paraId="52AA503F" w14:textId="77777777" w:rsidR="00FB04CE" w:rsidRPr="00B04CF6" w:rsidRDefault="00FB04CE" w:rsidP="00837C34">
            <w:pPr>
              <w:rPr>
                <w:sz w:val="20"/>
                <w:szCs w:val="20"/>
              </w:rPr>
            </w:pPr>
            <w:r w:rsidRPr="00B04CF6">
              <w:rPr>
                <w:i/>
                <w:iCs/>
                <w:sz w:val="20"/>
                <w:szCs w:val="20"/>
              </w:rPr>
              <w:t xml:space="preserve">Salmonella </w:t>
            </w:r>
            <w:r w:rsidRPr="00B04CF6">
              <w:rPr>
                <w:sz w:val="20"/>
                <w:szCs w:val="20"/>
              </w:rPr>
              <w:t>Anatum</w:t>
            </w:r>
          </w:p>
        </w:tc>
        <w:tc>
          <w:tcPr>
            <w:tcW w:w="850" w:type="dxa"/>
            <w:noWrap/>
            <w:hideMark/>
          </w:tcPr>
          <w:p w14:paraId="6AD5710D" w14:textId="77777777" w:rsidR="00FB04CE" w:rsidRPr="00B04CF6" w:rsidRDefault="00FB04CE" w:rsidP="00837C34">
            <w:pPr>
              <w:jc w:val="center"/>
              <w:rPr>
                <w:sz w:val="20"/>
                <w:szCs w:val="20"/>
              </w:rPr>
            </w:pPr>
            <w:r w:rsidRPr="00B04CF6">
              <w:rPr>
                <w:sz w:val="20"/>
                <w:szCs w:val="20"/>
              </w:rPr>
              <w:t>2012</w:t>
            </w:r>
          </w:p>
        </w:tc>
        <w:tc>
          <w:tcPr>
            <w:tcW w:w="1134" w:type="dxa"/>
            <w:noWrap/>
            <w:hideMark/>
          </w:tcPr>
          <w:p w14:paraId="195EFCB5" w14:textId="77777777" w:rsidR="00FB04CE" w:rsidRPr="00B04CF6" w:rsidRDefault="00FB04CE" w:rsidP="00837C34">
            <w:pPr>
              <w:rPr>
                <w:sz w:val="20"/>
                <w:szCs w:val="20"/>
              </w:rPr>
            </w:pPr>
            <w:r w:rsidRPr="00B04CF6">
              <w:rPr>
                <w:sz w:val="20"/>
                <w:szCs w:val="20"/>
              </w:rPr>
              <w:t>Domestic</w:t>
            </w:r>
          </w:p>
        </w:tc>
        <w:tc>
          <w:tcPr>
            <w:tcW w:w="889" w:type="dxa"/>
            <w:noWrap/>
            <w:hideMark/>
          </w:tcPr>
          <w:p w14:paraId="6C115E54" w14:textId="77777777" w:rsidR="00FB04CE" w:rsidRPr="00B04CF6" w:rsidRDefault="00FB04CE" w:rsidP="00837C34">
            <w:pPr>
              <w:jc w:val="center"/>
              <w:rPr>
                <w:sz w:val="20"/>
                <w:szCs w:val="20"/>
              </w:rPr>
            </w:pPr>
            <w:r w:rsidRPr="00B04CF6">
              <w:rPr>
                <w:sz w:val="20"/>
                <w:szCs w:val="20"/>
              </w:rPr>
              <w:t>15</w:t>
            </w:r>
          </w:p>
        </w:tc>
        <w:tc>
          <w:tcPr>
            <w:tcW w:w="861" w:type="dxa"/>
          </w:tcPr>
          <w:p w14:paraId="715CADA8" w14:textId="77777777" w:rsidR="00FB04CE" w:rsidRDefault="00FB04CE" w:rsidP="00837C34">
            <w:pPr>
              <w:jc w:val="center"/>
              <w:rPr>
                <w:sz w:val="20"/>
                <w:szCs w:val="20"/>
              </w:rPr>
            </w:pPr>
            <w:r>
              <w:rPr>
                <w:sz w:val="20"/>
                <w:szCs w:val="20"/>
              </w:rPr>
              <w:t>0</w:t>
            </w:r>
          </w:p>
        </w:tc>
        <w:tc>
          <w:tcPr>
            <w:tcW w:w="3108" w:type="dxa"/>
            <w:hideMark/>
          </w:tcPr>
          <w:p w14:paraId="0B7EEAAA" w14:textId="53C1D19D" w:rsidR="00FB04CE" w:rsidRPr="00B04CF6" w:rsidRDefault="002E23E0" w:rsidP="00837C34">
            <w:pPr>
              <w:rPr>
                <w:sz w:val="20"/>
                <w:szCs w:val="20"/>
              </w:rPr>
            </w:pPr>
            <w:r>
              <w:rPr>
                <w:sz w:val="20"/>
                <w:szCs w:val="20"/>
              </w:rPr>
              <w:t>Contaminated raw product,</w:t>
            </w:r>
            <w:r w:rsidR="00FB04CE" w:rsidRPr="00B04CF6">
              <w:rPr>
                <w:sz w:val="20"/>
                <w:szCs w:val="20"/>
              </w:rPr>
              <w:t xml:space="preserve"> inadequate cleaning of equipment</w:t>
            </w:r>
          </w:p>
        </w:tc>
        <w:tc>
          <w:tcPr>
            <w:tcW w:w="2551" w:type="dxa"/>
            <w:noWrap/>
            <w:hideMark/>
          </w:tcPr>
          <w:p w14:paraId="1EFD2D23" w14:textId="674E5945" w:rsidR="00FB04CE" w:rsidRPr="00B04CF6" w:rsidRDefault="00657FDB" w:rsidP="00837C34">
            <w:pPr>
              <w:rPr>
                <w:sz w:val="20"/>
                <w:szCs w:val="20"/>
              </w:rPr>
            </w:pPr>
            <w:r>
              <w:rPr>
                <w:sz w:val="20"/>
                <w:szCs w:val="20"/>
              </w:rPr>
              <w:t>(OzFoodNet 2015)</w:t>
            </w:r>
          </w:p>
        </w:tc>
      </w:tr>
      <w:tr w:rsidR="00AE6722" w:rsidRPr="00B04CF6" w14:paraId="4F6DD185" w14:textId="77777777" w:rsidTr="009320AA">
        <w:trPr>
          <w:trHeight w:val="210"/>
        </w:trPr>
        <w:tc>
          <w:tcPr>
            <w:tcW w:w="483" w:type="dxa"/>
          </w:tcPr>
          <w:p w14:paraId="71F7D00C" w14:textId="178A1499" w:rsidR="00AE6722" w:rsidRDefault="00F04E22" w:rsidP="00F04E22">
            <w:pPr>
              <w:jc w:val="center"/>
              <w:rPr>
                <w:sz w:val="20"/>
                <w:szCs w:val="20"/>
              </w:rPr>
            </w:pPr>
            <w:r>
              <w:rPr>
                <w:sz w:val="20"/>
                <w:szCs w:val="20"/>
              </w:rPr>
              <w:t>8</w:t>
            </w:r>
          </w:p>
        </w:tc>
        <w:tc>
          <w:tcPr>
            <w:tcW w:w="2552" w:type="dxa"/>
            <w:noWrap/>
          </w:tcPr>
          <w:p w14:paraId="4AF53FA4" w14:textId="4ACFC87B" w:rsidR="00AE6722" w:rsidRPr="00B04CF6" w:rsidRDefault="00AE6722" w:rsidP="00AE6722">
            <w:pPr>
              <w:rPr>
                <w:sz w:val="20"/>
                <w:szCs w:val="20"/>
              </w:rPr>
            </w:pPr>
            <w:r>
              <w:rPr>
                <w:sz w:val="20"/>
                <w:szCs w:val="20"/>
              </w:rPr>
              <w:t>Salad</w:t>
            </w:r>
          </w:p>
        </w:tc>
        <w:tc>
          <w:tcPr>
            <w:tcW w:w="2347" w:type="dxa"/>
          </w:tcPr>
          <w:p w14:paraId="3D9743FB" w14:textId="37006F7A" w:rsidR="00AE6722" w:rsidRPr="009F0156" w:rsidRDefault="00AE6722" w:rsidP="00AE6722">
            <w:pPr>
              <w:rPr>
                <w:sz w:val="20"/>
                <w:szCs w:val="20"/>
              </w:rPr>
            </w:pPr>
            <w:r>
              <w:rPr>
                <w:i/>
                <w:sz w:val="20"/>
                <w:szCs w:val="20"/>
              </w:rPr>
              <w:t xml:space="preserve">Salmonella </w:t>
            </w:r>
            <w:r>
              <w:rPr>
                <w:sz w:val="20"/>
                <w:szCs w:val="20"/>
              </w:rPr>
              <w:t>Mississippi</w:t>
            </w:r>
          </w:p>
        </w:tc>
        <w:tc>
          <w:tcPr>
            <w:tcW w:w="850" w:type="dxa"/>
            <w:noWrap/>
          </w:tcPr>
          <w:p w14:paraId="6F17C002" w14:textId="13A95776" w:rsidR="00AE6722" w:rsidRPr="00B04CF6" w:rsidRDefault="00AE6722" w:rsidP="00AE6722">
            <w:pPr>
              <w:jc w:val="center"/>
              <w:rPr>
                <w:sz w:val="20"/>
                <w:szCs w:val="20"/>
              </w:rPr>
            </w:pPr>
            <w:r>
              <w:rPr>
                <w:sz w:val="20"/>
                <w:szCs w:val="20"/>
              </w:rPr>
              <w:t>2013</w:t>
            </w:r>
          </w:p>
        </w:tc>
        <w:tc>
          <w:tcPr>
            <w:tcW w:w="1134" w:type="dxa"/>
            <w:noWrap/>
          </w:tcPr>
          <w:p w14:paraId="7D2E0608" w14:textId="390D8E3A" w:rsidR="00AE6722" w:rsidRPr="00B04CF6" w:rsidRDefault="00AE6722" w:rsidP="00AE6722">
            <w:pPr>
              <w:rPr>
                <w:sz w:val="20"/>
                <w:szCs w:val="20"/>
              </w:rPr>
            </w:pPr>
            <w:r>
              <w:rPr>
                <w:sz w:val="20"/>
                <w:szCs w:val="20"/>
              </w:rPr>
              <w:t>Domestic</w:t>
            </w:r>
          </w:p>
        </w:tc>
        <w:tc>
          <w:tcPr>
            <w:tcW w:w="889" w:type="dxa"/>
            <w:noWrap/>
          </w:tcPr>
          <w:p w14:paraId="69AA641A" w14:textId="44213534" w:rsidR="00AE6722" w:rsidRPr="00B04CF6" w:rsidRDefault="00AE6722" w:rsidP="00AE6722">
            <w:pPr>
              <w:jc w:val="center"/>
              <w:rPr>
                <w:sz w:val="20"/>
                <w:szCs w:val="20"/>
              </w:rPr>
            </w:pPr>
            <w:r>
              <w:rPr>
                <w:sz w:val="20"/>
                <w:szCs w:val="20"/>
              </w:rPr>
              <w:t>36</w:t>
            </w:r>
          </w:p>
        </w:tc>
        <w:tc>
          <w:tcPr>
            <w:tcW w:w="861" w:type="dxa"/>
          </w:tcPr>
          <w:p w14:paraId="48CF3BBF" w14:textId="51607B02" w:rsidR="00AE6722" w:rsidRDefault="00AE6722" w:rsidP="00AE6722">
            <w:pPr>
              <w:jc w:val="center"/>
              <w:rPr>
                <w:sz w:val="20"/>
                <w:szCs w:val="20"/>
              </w:rPr>
            </w:pPr>
            <w:r>
              <w:rPr>
                <w:sz w:val="20"/>
                <w:szCs w:val="20"/>
              </w:rPr>
              <w:t>0</w:t>
            </w:r>
          </w:p>
        </w:tc>
        <w:tc>
          <w:tcPr>
            <w:tcW w:w="3108" w:type="dxa"/>
            <w:noWrap/>
          </w:tcPr>
          <w:p w14:paraId="5133E35B" w14:textId="01F014AD" w:rsidR="00AE6722" w:rsidRDefault="00AE6722" w:rsidP="00AE6722">
            <w:pPr>
              <w:rPr>
                <w:sz w:val="20"/>
                <w:szCs w:val="20"/>
              </w:rPr>
            </w:pPr>
            <w:r>
              <w:rPr>
                <w:sz w:val="20"/>
                <w:szCs w:val="20"/>
              </w:rPr>
              <w:t xml:space="preserve">Not reported </w:t>
            </w:r>
          </w:p>
        </w:tc>
        <w:tc>
          <w:tcPr>
            <w:tcW w:w="2551" w:type="dxa"/>
            <w:noWrap/>
          </w:tcPr>
          <w:p w14:paraId="4EA5F326" w14:textId="1B824FBB" w:rsidR="00AE6722" w:rsidRDefault="00AE6722" w:rsidP="00AE6722">
            <w:pPr>
              <w:rPr>
                <w:sz w:val="20"/>
                <w:szCs w:val="20"/>
              </w:rPr>
            </w:pPr>
            <w:r>
              <w:rPr>
                <w:sz w:val="20"/>
                <w:szCs w:val="20"/>
              </w:rPr>
              <w:t>(OzFoodNet 2021b)</w:t>
            </w:r>
          </w:p>
        </w:tc>
      </w:tr>
      <w:tr w:rsidR="00213249" w:rsidRPr="00B04CF6" w14:paraId="1112794F" w14:textId="77777777" w:rsidTr="009320AA">
        <w:trPr>
          <w:trHeight w:val="210"/>
        </w:trPr>
        <w:tc>
          <w:tcPr>
            <w:tcW w:w="483" w:type="dxa"/>
          </w:tcPr>
          <w:p w14:paraId="394B717F" w14:textId="4883717E" w:rsidR="00213249" w:rsidRDefault="00F04E22" w:rsidP="00F04E22">
            <w:pPr>
              <w:jc w:val="center"/>
              <w:rPr>
                <w:sz w:val="20"/>
                <w:szCs w:val="20"/>
              </w:rPr>
            </w:pPr>
            <w:r>
              <w:rPr>
                <w:sz w:val="20"/>
                <w:szCs w:val="20"/>
              </w:rPr>
              <w:t>9</w:t>
            </w:r>
          </w:p>
        </w:tc>
        <w:tc>
          <w:tcPr>
            <w:tcW w:w="2552" w:type="dxa"/>
            <w:noWrap/>
          </w:tcPr>
          <w:p w14:paraId="1E4DD940" w14:textId="67B04986" w:rsidR="00213249" w:rsidRPr="00B04CF6" w:rsidRDefault="00213249" w:rsidP="00213249">
            <w:pPr>
              <w:rPr>
                <w:sz w:val="20"/>
                <w:szCs w:val="20"/>
              </w:rPr>
            </w:pPr>
            <w:r>
              <w:rPr>
                <w:sz w:val="20"/>
                <w:szCs w:val="20"/>
              </w:rPr>
              <w:t>Leafy greens</w:t>
            </w:r>
          </w:p>
        </w:tc>
        <w:tc>
          <w:tcPr>
            <w:tcW w:w="2347" w:type="dxa"/>
          </w:tcPr>
          <w:p w14:paraId="2B942400" w14:textId="390892A2" w:rsidR="00213249" w:rsidRPr="001D13E2" w:rsidRDefault="00213249" w:rsidP="00213249">
            <w:pPr>
              <w:rPr>
                <w:sz w:val="20"/>
                <w:szCs w:val="20"/>
              </w:rPr>
            </w:pPr>
            <w:r>
              <w:rPr>
                <w:i/>
                <w:sz w:val="20"/>
                <w:szCs w:val="20"/>
              </w:rPr>
              <w:t>E. coli</w:t>
            </w:r>
          </w:p>
        </w:tc>
        <w:tc>
          <w:tcPr>
            <w:tcW w:w="850" w:type="dxa"/>
            <w:noWrap/>
          </w:tcPr>
          <w:p w14:paraId="6D35CCDE" w14:textId="67E82D37" w:rsidR="00213249" w:rsidRPr="00B04CF6" w:rsidRDefault="00213249" w:rsidP="00213249">
            <w:pPr>
              <w:jc w:val="center"/>
              <w:rPr>
                <w:sz w:val="20"/>
                <w:szCs w:val="20"/>
              </w:rPr>
            </w:pPr>
            <w:r>
              <w:rPr>
                <w:sz w:val="20"/>
                <w:szCs w:val="20"/>
              </w:rPr>
              <w:t>2014</w:t>
            </w:r>
          </w:p>
        </w:tc>
        <w:tc>
          <w:tcPr>
            <w:tcW w:w="1134" w:type="dxa"/>
            <w:noWrap/>
          </w:tcPr>
          <w:p w14:paraId="44015BAE" w14:textId="2F659FCD" w:rsidR="00213249" w:rsidRPr="00B04CF6" w:rsidRDefault="00213249" w:rsidP="00213249">
            <w:pPr>
              <w:rPr>
                <w:sz w:val="20"/>
                <w:szCs w:val="20"/>
              </w:rPr>
            </w:pPr>
            <w:r>
              <w:rPr>
                <w:sz w:val="20"/>
                <w:szCs w:val="20"/>
              </w:rPr>
              <w:t>Domestic</w:t>
            </w:r>
          </w:p>
        </w:tc>
        <w:tc>
          <w:tcPr>
            <w:tcW w:w="889" w:type="dxa"/>
            <w:noWrap/>
          </w:tcPr>
          <w:p w14:paraId="032705F2" w14:textId="215EB095" w:rsidR="00213249" w:rsidRPr="00B04CF6" w:rsidRDefault="00213249" w:rsidP="00213249">
            <w:pPr>
              <w:jc w:val="center"/>
              <w:rPr>
                <w:sz w:val="20"/>
                <w:szCs w:val="20"/>
              </w:rPr>
            </w:pPr>
            <w:r>
              <w:rPr>
                <w:sz w:val="20"/>
                <w:szCs w:val="20"/>
              </w:rPr>
              <w:t>3</w:t>
            </w:r>
          </w:p>
        </w:tc>
        <w:tc>
          <w:tcPr>
            <w:tcW w:w="861" w:type="dxa"/>
          </w:tcPr>
          <w:p w14:paraId="0B1BBF54" w14:textId="1DAD1F70" w:rsidR="00213249" w:rsidRDefault="00213249" w:rsidP="00213249">
            <w:pPr>
              <w:jc w:val="center"/>
              <w:rPr>
                <w:sz w:val="20"/>
                <w:szCs w:val="20"/>
              </w:rPr>
            </w:pPr>
            <w:r>
              <w:rPr>
                <w:sz w:val="20"/>
                <w:szCs w:val="20"/>
              </w:rPr>
              <w:t>0</w:t>
            </w:r>
          </w:p>
        </w:tc>
        <w:tc>
          <w:tcPr>
            <w:tcW w:w="3108" w:type="dxa"/>
            <w:noWrap/>
          </w:tcPr>
          <w:p w14:paraId="4287A5A7" w14:textId="5A3B4928" w:rsidR="00213249" w:rsidRDefault="00213249" w:rsidP="00213249">
            <w:pPr>
              <w:rPr>
                <w:sz w:val="20"/>
                <w:szCs w:val="20"/>
              </w:rPr>
            </w:pPr>
            <w:r>
              <w:rPr>
                <w:sz w:val="20"/>
                <w:szCs w:val="20"/>
              </w:rPr>
              <w:t>Cross</w:t>
            </w:r>
            <w:r w:rsidR="00134145">
              <w:rPr>
                <w:sz w:val="20"/>
                <w:szCs w:val="20"/>
              </w:rPr>
              <w:t>-</w:t>
            </w:r>
            <w:r>
              <w:rPr>
                <w:sz w:val="20"/>
                <w:szCs w:val="20"/>
              </w:rPr>
              <w:t>contamination from raw ingredients</w:t>
            </w:r>
            <w:r w:rsidR="002E23E0">
              <w:rPr>
                <w:sz w:val="20"/>
                <w:szCs w:val="20"/>
              </w:rPr>
              <w:t>,</w:t>
            </w:r>
            <w:r>
              <w:rPr>
                <w:sz w:val="20"/>
                <w:szCs w:val="20"/>
              </w:rPr>
              <w:t xml:space="preserve"> ingestion of contaminated raw </w:t>
            </w:r>
            <w:r w:rsidRPr="001D13E2">
              <w:rPr>
                <w:sz w:val="20"/>
                <w:szCs w:val="20"/>
              </w:rPr>
              <w:t>products</w:t>
            </w:r>
          </w:p>
        </w:tc>
        <w:tc>
          <w:tcPr>
            <w:tcW w:w="2551" w:type="dxa"/>
            <w:noWrap/>
          </w:tcPr>
          <w:p w14:paraId="68EAC19C" w14:textId="6B52079E" w:rsidR="00213249" w:rsidRDefault="00213249" w:rsidP="00213249">
            <w:pPr>
              <w:rPr>
                <w:sz w:val="20"/>
                <w:szCs w:val="20"/>
              </w:rPr>
            </w:pPr>
            <w:r>
              <w:rPr>
                <w:sz w:val="20"/>
                <w:szCs w:val="20"/>
              </w:rPr>
              <w:t>(OzFoodNet 2021b)</w:t>
            </w:r>
          </w:p>
        </w:tc>
      </w:tr>
      <w:tr w:rsidR="00213249" w:rsidRPr="00B04CF6" w14:paraId="7E02A3C8" w14:textId="77777777" w:rsidTr="009320AA">
        <w:trPr>
          <w:trHeight w:val="210"/>
        </w:trPr>
        <w:tc>
          <w:tcPr>
            <w:tcW w:w="483" w:type="dxa"/>
          </w:tcPr>
          <w:p w14:paraId="3C76FCC5" w14:textId="00D6BCC9" w:rsidR="00213249" w:rsidRDefault="00F04E22" w:rsidP="00F04E22">
            <w:pPr>
              <w:jc w:val="center"/>
              <w:rPr>
                <w:sz w:val="20"/>
                <w:szCs w:val="20"/>
              </w:rPr>
            </w:pPr>
            <w:r>
              <w:rPr>
                <w:sz w:val="20"/>
                <w:szCs w:val="20"/>
              </w:rPr>
              <w:t>10</w:t>
            </w:r>
          </w:p>
        </w:tc>
        <w:tc>
          <w:tcPr>
            <w:tcW w:w="2552" w:type="dxa"/>
            <w:noWrap/>
          </w:tcPr>
          <w:p w14:paraId="3BCBD5C0" w14:textId="3E4251B7" w:rsidR="00213249" w:rsidRPr="00B04CF6" w:rsidRDefault="00213249" w:rsidP="00213249">
            <w:pPr>
              <w:rPr>
                <w:sz w:val="20"/>
                <w:szCs w:val="20"/>
              </w:rPr>
            </w:pPr>
            <w:r>
              <w:rPr>
                <w:sz w:val="20"/>
                <w:szCs w:val="20"/>
              </w:rPr>
              <w:t>Fruit salad</w:t>
            </w:r>
          </w:p>
        </w:tc>
        <w:tc>
          <w:tcPr>
            <w:tcW w:w="2347" w:type="dxa"/>
          </w:tcPr>
          <w:p w14:paraId="15D40BD5" w14:textId="4A843118" w:rsidR="00213249" w:rsidRDefault="00213249" w:rsidP="00213249">
            <w:pPr>
              <w:rPr>
                <w:sz w:val="20"/>
                <w:szCs w:val="20"/>
              </w:rPr>
            </w:pPr>
            <w:r>
              <w:rPr>
                <w:sz w:val="20"/>
                <w:szCs w:val="20"/>
              </w:rPr>
              <w:t>NoV</w:t>
            </w:r>
          </w:p>
        </w:tc>
        <w:tc>
          <w:tcPr>
            <w:tcW w:w="850" w:type="dxa"/>
            <w:noWrap/>
          </w:tcPr>
          <w:p w14:paraId="02D69F22" w14:textId="0BDAD172" w:rsidR="00213249" w:rsidRPr="00B04CF6" w:rsidRDefault="00213249" w:rsidP="00213249">
            <w:pPr>
              <w:jc w:val="center"/>
              <w:rPr>
                <w:sz w:val="20"/>
                <w:szCs w:val="20"/>
              </w:rPr>
            </w:pPr>
            <w:r>
              <w:rPr>
                <w:sz w:val="20"/>
                <w:szCs w:val="20"/>
              </w:rPr>
              <w:t>2014</w:t>
            </w:r>
          </w:p>
        </w:tc>
        <w:tc>
          <w:tcPr>
            <w:tcW w:w="1134" w:type="dxa"/>
            <w:noWrap/>
          </w:tcPr>
          <w:p w14:paraId="7EA38A07" w14:textId="273F696B" w:rsidR="00213249" w:rsidRPr="00B04CF6" w:rsidRDefault="00213249" w:rsidP="00213249">
            <w:pPr>
              <w:rPr>
                <w:sz w:val="20"/>
                <w:szCs w:val="20"/>
              </w:rPr>
            </w:pPr>
            <w:r>
              <w:rPr>
                <w:sz w:val="20"/>
                <w:szCs w:val="20"/>
              </w:rPr>
              <w:t>Domestic</w:t>
            </w:r>
          </w:p>
        </w:tc>
        <w:tc>
          <w:tcPr>
            <w:tcW w:w="889" w:type="dxa"/>
            <w:noWrap/>
          </w:tcPr>
          <w:p w14:paraId="62F334F7" w14:textId="1DE5217A" w:rsidR="00213249" w:rsidRPr="00B04CF6" w:rsidRDefault="00213249" w:rsidP="00213249">
            <w:pPr>
              <w:jc w:val="center"/>
              <w:rPr>
                <w:sz w:val="20"/>
                <w:szCs w:val="20"/>
              </w:rPr>
            </w:pPr>
            <w:r>
              <w:rPr>
                <w:sz w:val="20"/>
                <w:szCs w:val="20"/>
              </w:rPr>
              <w:t>9</w:t>
            </w:r>
          </w:p>
        </w:tc>
        <w:tc>
          <w:tcPr>
            <w:tcW w:w="861" w:type="dxa"/>
          </w:tcPr>
          <w:p w14:paraId="2743D367" w14:textId="2EB0D1E7" w:rsidR="00213249" w:rsidRDefault="00213249" w:rsidP="00213249">
            <w:pPr>
              <w:jc w:val="center"/>
              <w:rPr>
                <w:sz w:val="20"/>
                <w:szCs w:val="20"/>
              </w:rPr>
            </w:pPr>
            <w:r>
              <w:rPr>
                <w:sz w:val="20"/>
                <w:szCs w:val="20"/>
              </w:rPr>
              <w:t>0</w:t>
            </w:r>
          </w:p>
        </w:tc>
        <w:tc>
          <w:tcPr>
            <w:tcW w:w="3108" w:type="dxa"/>
            <w:noWrap/>
          </w:tcPr>
          <w:p w14:paraId="7011F0EE" w14:textId="1C70926B" w:rsidR="00213249" w:rsidRDefault="00213249" w:rsidP="00213249">
            <w:pPr>
              <w:rPr>
                <w:sz w:val="20"/>
                <w:szCs w:val="20"/>
              </w:rPr>
            </w:pPr>
            <w:r>
              <w:rPr>
                <w:sz w:val="20"/>
                <w:szCs w:val="20"/>
              </w:rPr>
              <w:t xml:space="preserve">Not reported </w:t>
            </w:r>
          </w:p>
        </w:tc>
        <w:tc>
          <w:tcPr>
            <w:tcW w:w="2551" w:type="dxa"/>
            <w:noWrap/>
          </w:tcPr>
          <w:p w14:paraId="7B54C47B" w14:textId="0F0A5844" w:rsidR="00213249" w:rsidRDefault="00213249" w:rsidP="00213249">
            <w:pPr>
              <w:rPr>
                <w:sz w:val="20"/>
                <w:szCs w:val="20"/>
              </w:rPr>
            </w:pPr>
            <w:r>
              <w:rPr>
                <w:sz w:val="20"/>
                <w:szCs w:val="20"/>
              </w:rPr>
              <w:t>(OzFoodNet 2021b)</w:t>
            </w:r>
          </w:p>
        </w:tc>
      </w:tr>
      <w:tr w:rsidR="00213249" w:rsidRPr="00B04CF6" w14:paraId="6C8908DC" w14:textId="77777777" w:rsidTr="009320AA">
        <w:trPr>
          <w:trHeight w:val="210"/>
        </w:trPr>
        <w:tc>
          <w:tcPr>
            <w:tcW w:w="483" w:type="dxa"/>
          </w:tcPr>
          <w:p w14:paraId="708E5A0B" w14:textId="7DE2BFDB" w:rsidR="00213249" w:rsidRPr="00B04CF6" w:rsidRDefault="00F04E22" w:rsidP="00F04E22">
            <w:pPr>
              <w:jc w:val="center"/>
              <w:rPr>
                <w:sz w:val="20"/>
                <w:szCs w:val="20"/>
              </w:rPr>
            </w:pPr>
            <w:r>
              <w:rPr>
                <w:sz w:val="20"/>
                <w:szCs w:val="20"/>
              </w:rPr>
              <w:t>11</w:t>
            </w:r>
          </w:p>
        </w:tc>
        <w:tc>
          <w:tcPr>
            <w:tcW w:w="2552" w:type="dxa"/>
            <w:noWrap/>
            <w:hideMark/>
          </w:tcPr>
          <w:p w14:paraId="2021422C" w14:textId="7EE72FF6" w:rsidR="00213249" w:rsidRPr="00B04CF6" w:rsidRDefault="00213249" w:rsidP="00213249">
            <w:pPr>
              <w:rPr>
                <w:sz w:val="20"/>
                <w:szCs w:val="20"/>
              </w:rPr>
            </w:pPr>
            <w:r>
              <w:rPr>
                <w:sz w:val="20"/>
                <w:szCs w:val="20"/>
              </w:rPr>
              <w:t>S</w:t>
            </w:r>
            <w:r w:rsidRPr="00B04CF6">
              <w:rPr>
                <w:sz w:val="20"/>
                <w:szCs w:val="20"/>
              </w:rPr>
              <w:t>alad</w:t>
            </w:r>
          </w:p>
        </w:tc>
        <w:tc>
          <w:tcPr>
            <w:tcW w:w="2347" w:type="dxa"/>
            <w:hideMark/>
          </w:tcPr>
          <w:p w14:paraId="36F4544C" w14:textId="77777777" w:rsidR="00213249" w:rsidRPr="00B04CF6" w:rsidRDefault="00213249" w:rsidP="00213249">
            <w:pPr>
              <w:rPr>
                <w:sz w:val="20"/>
                <w:szCs w:val="20"/>
              </w:rPr>
            </w:pPr>
            <w:r>
              <w:rPr>
                <w:sz w:val="20"/>
                <w:szCs w:val="20"/>
              </w:rPr>
              <w:t>NoV</w:t>
            </w:r>
          </w:p>
        </w:tc>
        <w:tc>
          <w:tcPr>
            <w:tcW w:w="850" w:type="dxa"/>
            <w:noWrap/>
            <w:hideMark/>
          </w:tcPr>
          <w:p w14:paraId="5652B7EE" w14:textId="77777777" w:rsidR="00213249" w:rsidRPr="00B04CF6" w:rsidRDefault="00213249" w:rsidP="00213249">
            <w:pPr>
              <w:jc w:val="center"/>
              <w:rPr>
                <w:sz w:val="20"/>
                <w:szCs w:val="20"/>
              </w:rPr>
            </w:pPr>
            <w:r w:rsidRPr="00B04CF6">
              <w:rPr>
                <w:sz w:val="20"/>
                <w:szCs w:val="20"/>
              </w:rPr>
              <w:t>2014</w:t>
            </w:r>
          </w:p>
        </w:tc>
        <w:tc>
          <w:tcPr>
            <w:tcW w:w="1134" w:type="dxa"/>
            <w:noWrap/>
            <w:hideMark/>
          </w:tcPr>
          <w:p w14:paraId="3E671AE0" w14:textId="77777777" w:rsidR="00213249" w:rsidRPr="00B04CF6" w:rsidRDefault="00213249" w:rsidP="00213249">
            <w:pPr>
              <w:rPr>
                <w:sz w:val="20"/>
                <w:szCs w:val="20"/>
              </w:rPr>
            </w:pPr>
            <w:r w:rsidRPr="00B04CF6">
              <w:rPr>
                <w:sz w:val="20"/>
                <w:szCs w:val="20"/>
              </w:rPr>
              <w:t>Domestic</w:t>
            </w:r>
          </w:p>
        </w:tc>
        <w:tc>
          <w:tcPr>
            <w:tcW w:w="889" w:type="dxa"/>
            <w:noWrap/>
            <w:hideMark/>
          </w:tcPr>
          <w:p w14:paraId="147ECF0E" w14:textId="77777777" w:rsidR="00213249" w:rsidRPr="00B04CF6" w:rsidRDefault="00213249" w:rsidP="00213249">
            <w:pPr>
              <w:jc w:val="center"/>
              <w:rPr>
                <w:sz w:val="20"/>
                <w:szCs w:val="20"/>
              </w:rPr>
            </w:pPr>
            <w:r w:rsidRPr="00B04CF6">
              <w:rPr>
                <w:sz w:val="20"/>
                <w:szCs w:val="20"/>
              </w:rPr>
              <w:t>21</w:t>
            </w:r>
          </w:p>
        </w:tc>
        <w:tc>
          <w:tcPr>
            <w:tcW w:w="861" w:type="dxa"/>
          </w:tcPr>
          <w:p w14:paraId="5FDA1118" w14:textId="77777777" w:rsidR="00213249" w:rsidRDefault="00213249" w:rsidP="00213249">
            <w:pPr>
              <w:jc w:val="center"/>
              <w:rPr>
                <w:sz w:val="20"/>
                <w:szCs w:val="20"/>
              </w:rPr>
            </w:pPr>
            <w:r>
              <w:rPr>
                <w:sz w:val="20"/>
                <w:szCs w:val="20"/>
              </w:rPr>
              <w:t>0</w:t>
            </w:r>
          </w:p>
        </w:tc>
        <w:tc>
          <w:tcPr>
            <w:tcW w:w="3108" w:type="dxa"/>
            <w:noWrap/>
            <w:hideMark/>
          </w:tcPr>
          <w:p w14:paraId="4BCEAAB9" w14:textId="161F2321" w:rsidR="00213249" w:rsidRPr="00B04CF6" w:rsidRDefault="00213249" w:rsidP="00213249">
            <w:pPr>
              <w:rPr>
                <w:sz w:val="20"/>
                <w:szCs w:val="20"/>
              </w:rPr>
            </w:pPr>
            <w:r>
              <w:rPr>
                <w:sz w:val="20"/>
                <w:szCs w:val="20"/>
              </w:rPr>
              <w:t xml:space="preserve">Food handler contamination, </w:t>
            </w:r>
            <w:r w:rsidR="00134145">
              <w:rPr>
                <w:sz w:val="20"/>
                <w:szCs w:val="20"/>
              </w:rPr>
              <w:t>person-to-food-</w:t>
            </w:r>
            <w:r w:rsidRPr="0075672D">
              <w:rPr>
                <w:sz w:val="20"/>
                <w:szCs w:val="20"/>
              </w:rPr>
              <w:t>to</w:t>
            </w:r>
            <w:r w:rsidR="00134145">
              <w:rPr>
                <w:sz w:val="20"/>
                <w:szCs w:val="20"/>
              </w:rPr>
              <w:t>-</w:t>
            </w:r>
            <w:r>
              <w:rPr>
                <w:sz w:val="20"/>
                <w:szCs w:val="20"/>
              </w:rPr>
              <w:t>p</w:t>
            </w:r>
            <w:r w:rsidRPr="0075672D">
              <w:rPr>
                <w:sz w:val="20"/>
                <w:szCs w:val="20"/>
              </w:rPr>
              <w:t>erson</w:t>
            </w:r>
            <w:r>
              <w:rPr>
                <w:sz w:val="20"/>
                <w:szCs w:val="20"/>
              </w:rPr>
              <w:t xml:space="preserve"> transmission</w:t>
            </w:r>
          </w:p>
        </w:tc>
        <w:tc>
          <w:tcPr>
            <w:tcW w:w="2551" w:type="dxa"/>
            <w:noWrap/>
            <w:hideMark/>
          </w:tcPr>
          <w:p w14:paraId="52784F5A" w14:textId="463657EC" w:rsidR="00213249" w:rsidRPr="00B04CF6" w:rsidRDefault="00213249" w:rsidP="00213249">
            <w:pPr>
              <w:rPr>
                <w:sz w:val="20"/>
                <w:szCs w:val="20"/>
              </w:rPr>
            </w:pPr>
            <w:r>
              <w:rPr>
                <w:sz w:val="20"/>
                <w:szCs w:val="20"/>
              </w:rPr>
              <w:t>(OzFoodNet 2021b)</w:t>
            </w:r>
          </w:p>
        </w:tc>
      </w:tr>
      <w:tr w:rsidR="00213249" w:rsidRPr="00B04CF6" w14:paraId="44CC03C5" w14:textId="77777777" w:rsidTr="009320AA">
        <w:trPr>
          <w:trHeight w:val="210"/>
        </w:trPr>
        <w:tc>
          <w:tcPr>
            <w:tcW w:w="483" w:type="dxa"/>
          </w:tcPr>
          <w:p w14:paraId="6025BF9B" w14:textId="2DD7D832" w:rsidR="00213249" w:rsidRPr="00B04CF6" w:rsidRDefault="00F04E22" w:rsidP="00F04E22">
            <w:pPr>
              <w:jc w:val="center"/>
              <w:rPr>
                <w:sz w:val="20"/>
                <w:szCs w:val="20"/>
              </w:rPr>
            </w:pPr>
            <w:r>
              <w:rPr>
                <w:sz w:val="20"/>
                <w:szCs w:val="20"/>
              </w:rPr>
              <w:t>12</w:t>
            </w:r>
          </w:p>
        </w:tc>
        <w:tc>
          <w:tcPr>
            <w:tcW w:w="2552" w:type="dxa"/>
            <w:noWrap/>
            <w:hideMark/>
          </w:tcPr>
          <w:p w14:paraId="23347580" w14:textId="77777777" w:rsidR="00213249" w:rsidRPr="00B04CF6" w:rsidRDefault="00213249" w:rsidP="00213249">
            <w:pPr>
              <w:rPr>
                <w:sz w:val="20"/>
                <w:szCs w:val="20"/>
              </w:rPr>
            </w:pPr>
            <w:r w:rsidRPr="00B04CF6">
              <w:rPr>
                <w:sz w:val="20"/>
                <w:szCs w:val="20"/>
              </w:rPr>
              <w:t>Berries, mixed, frozen</w:t>
            </w:r>
          </w:p>
        </w:tc>
        <w:tc>
          <w:tcPr>
            <w:tcW w:w="2347" w:type="dxa"/>
            <w:hideMark/>
          </w:tcPr>
          <w:p w14:paraId="2E8C8153" w14:textId="77777777" w:rsidR="00213249" w:rsidRPr="00B04CF6" w:rsidRDefault="00213249" w:rsidP="00213249">
            <w:pPr>
              <w:rPr>
                <w:sz w:val="20"/>
                <w:szCs w:val="20"/>
              </w:rPr>
            </w:pPr>
            <w:r>
              <w:rPr>
                <w:sz w:val="20"/>
                <w:szCs w:val="20"/>
              </w:rPr>
              <w:t>HAV</w:t>
            </w:r>
            <w:r w:rsidRPr="00B04CF6">
              <w:rPr>
                <w:sz w:val="20"/>
                <w:szCs w:val="20"/>
              </w:rPr>
              <w:t xml:space="preserve"> </w:t>
            </w:r>
          </w:p>
        </w:tc>
        <w:tc>
          <w:tcPr>
            <w:tcW w:w="850" w:type="dxa"/>
            <w:noWrap/>
            <w:hideMark/>
          </w:tcPr>
          <w:p w14:paraId="5F4A0E1D" w14:textId="77777777" w:rsidR="00213249" w:rsidRPr="00B04CF6" w:rsidRDefault="00213249" w:rsidP="00213249">
            <w:pPr>
              <w:jc w:val="center"/>
              <w:rPr>
                <w:sz w:val="20"/>
                <w:szCs w:val="20"/>
              </w:rPr>
            </w:pPr>
            <w:r w:rsidRPr="00B04CF6">
              <w:rPr>
                <w:sz w:val="20"/>
                <w:szCs w:val="20"/>
              </w:rPr>
              <w:t>2015</w:t>
            </w:r>
          </w:p>
        </w:tc>
        <w:tc>
          <w:tcPr>
            <w:tcW w:w="1134" w:type="dxa"/>
            <w:noWrap/>
            <w:hideMark/>
          </w:tcPr>
          <w:p w14:paraId="370C5AE2" w14:textId="77777777" w:rsidR="00213249" w:rsidRPr="00B04CF6" w:rsidRDefault="00213249" w:rsidP="00213249">
            <w:pPr>
              <w:rPr>
                <w:sz w:val="20"/>
                <w:szCs w:val="20"/>
              </w:rPr>
            </w:pPr>
            <w:r w:rsidRPr="00B04CF6">
              <w:rPr>
                <w:sz w:val="20"/>
                <w:szCs w:val="20"/>
              </w:rPr>
              <w:t>Imported</w:t>
            </w:r>
          </w:p>
        </w:tc>
        <w:tc>
          <w:tcPr>
            <w:tcW w:w="889" w:type="dxa"/>
            <w:noWrap/>
            <w:hideMark/>
          </w:tcPr>
          <w:p w14:paraId="70075C9A" w14:textId="77777777" w:rsidR="00213249" w:rsidRPr="00B04CF6" w:rsidRDefault="00213249" w:rsidP="00213249">
            <w:pPr>
              <w:jc w:val="center"/>
              <w:rPr>
                <w:sz w:val="20"/>
                <w:szCs w:val="20"/>
              </w:rPr>
            </w:pPr>
            <w:r w:rsidRPr="00B04CF6">
              <w:rPr>
                <w:sz w:val="20"/>
                <w:szCs w:val="20"/>
              </w:rPr>
              <w:t>35</w:t>
            </w:r>
          </w:p>
        </w:tc>
        <w:tc>
          <w:tcPr>
            <w:tcW w:w="861" w:type="dxa"/>
          </w:tcPr>
          <w:p w14:paraId="65786B3E" w14:textId="77777777" w:rsidR="00213249" w:rsidRDefault="00213249" w:rsidP="00213249">
            <w:pPr>
              <w:jc w:val="center"/>
              <w:rPr>
                <w:sz w:val="20"/>
                <w:szCs w:val="20"/>
              </w:rPr>
            </w:pPr>
            <w:r>
              <w:rPr>
                <w:sz w:val="20"/>
                <w:szCs w:val="20"/>
              </w:rPr>
              <w:t>0</w:t>
            </w:r>
          </w:p>
        </w:tc>
        <w:tc>
          <w:tcPr>
            <w:tcW w:w="3108" w:type="dxa"/>
            <w:noWrap/>
            <w:hideMark/>
          </w:tcPr>
          <w:p w14:paraId="57B7078F" w14:textId="4C8DB960" w:rsidR="00213249" w:rsidRPr="0027412E" w:rsidRDefault="00213249" w:rsidP="00213249">
            <w:pPr>
              <w:pStyle w:val="Pa10"/>
              <w:rPr>
                <w:rFonts w:ascii="Arial" w:hAnsi="Arial" w:cs="Arial"/>
                <w:color w:val="000000"/>
                <w:sz w:val="20"/>
                <w:szCs w:val="20"/>
              </w:rPr>
            </w:pPr>
            <w:r w:rsidRPr="0027412E">
              <w:rPr>
                <w:rFonts w:ascii="Arial" w:hAnsi="Arial" w:cs="Arial"/>
                <w:color w:val="000000"/>
                <w:sz w:val="20"/>
                <w:szCs w:val="20"/>
              </w:rPr>
              <w:t xml:space="preserve">Ingestion of contaminated raw products </w:t>
            </w:r>
          </w:p>
        </w:tc>
        <w:tc>
          <w:tcPr>
            <w:tcW w:w="2551" w:type="dxa"/>
            <w:noWrap/>
            <w:hideMark/>
          </w:tcPr>
          <w:p w14:paraId="23A9D138" w14:textId="740D6F17" w:rsidR="00213249" w:rsidRPr="00A449D6" w:rsidRDefault="00213249" w:rsidP="00213249">
            <w:pPr>
              <w:rPr>
                <w:sz w:val="20"/>
                <w:szCs w:val="20"/>
              </w:rPr>
            </w:pPr>
            <w:r>
              <w:rPr>
                <w:sz w:val="20"/>
                <w:szCs w:val="20"/>
              </w:rPr>
              <w:t>(OzFoodNet 2021b)</w:t>
            </w:r>
          </w:p>
        </w:tc>
      </w:tr>
      <w:tr w:rsidR="00213249" w:rsidRPr="00B04CF6" w14:paraId="11601708" w14:textId="77777777" w:rsidTr="009320AA">
        <w:trPr>
          <w:trHeight w:val="218"/>
        </w:trPr>
        <w:tc>
          <w:tcPr>
            <w:tcW w:w="483" w:type="dxa"/>
          </w:tcPr>
          <w:p w14:paraId="623CDD70" w14:textId="5BA5A223" w:rsidR="00213249" w:rsidRDefault="00F04E22" w:rsidP="00213249">
            <w:pPr>
              <w:jc w:val="center"/>
              <w:rPr>
                <w:sz w:val="20"/>
                <w:szCs w:val="20"/>
              </w:rPr>
            </w:pPr>
            <w:r>
              <w:rPr>
                <w:sz w:val="20"/>
                <w:szCs w:val="20"/>
              </w:rPr>
              <w:t>13</w:t>
            </w:r>
          </w:p>
        </w:tc>
        <w:tc>
          <w:tcPr>
            <w:tcW w:w="2552" w:type="dxa"/>
            <w:noWrap/>
          </w:tcPr>
          <w:p w14:paraId="5407EEF9" w14:textId="29EC632C" w:rsidR="00213249" w:rsidRPr="00B04CF6" w:rsidRDefault="00213249" w:rsidP="00213249">
            <w:pPr>
              <w:rPr>
                <w:sz w:val="20"/>
                <w:szCs w:val="20"/>
              </w:rPr>
            </w:pPr>
            <w:r>
              <w:rPr>
                <w:sz w:val="20"/>
                <w:szCs w:val="20"/>
              </w:rPr>
              <w:t>Salad</w:t>
            </w:r>
          </w:p>
        </w:tc>
        <w:tc>
          <w:tcPr>
            <w:tcW w:w="2347" w:type="dxa"/>
          </w:tcPr>
          <w:p w14:paraId="4F67A5C4" w14:textId="3FB60D9A" w:rsidR="00213249" w:rsidRPr="0027412E" w:rsidRDefault="00213249" w:rsidP="00213249">
            <w:pPr>
              <w:rPr>
                <w:iCs/>
                <w:sz w:val="20"/>
                <w:szCs w:val="20"/>
              </w:rPr>
            </w:pPr>
            <w:r>
              <w:rPr>
                <w:iCs/>
                <w:sz w:val="20"/>
                <w:szCs w:val="20"/>
              </w:rPr>
              <w:t>NoV</w:t>
            </w:r>
          </w:p>
        </w:tc>
        <w:tc>
          <w:tcPr>
            <w:tcW w:w="850" w:type="dxa"/>
            <w:noWrap/>
          </w:tcPr>
          <w:p w14:paraId="564F2BD7" w14:textId="4F911EA1" w:rsidR="00213249" w:rsidRPr="00B04CF6" w:rsidRDefault="00213249" w:rsidP="00213249">
            <w:pPr>
              <w:jc w:val="center"/>
              <w:rPr>
                <w:sz w:val="20"/>
                <w:szCs w:val="20"/>
              </w:rPr>
            </w:pPr>
            <w:r>
              <w:rPr>
                <w:sz w:val="20"/>
                <w:szCs w:val="20"/>
              </w:rPr>
              <w:t>2015</w:t>
            </w:r>
          </w:p>
        </w:tc>
        <w:tc>
          <w:tcPr>
            <w:tcW w:w="1134" w:type="dxa"/>
            <w:noWrap/>
          </w:tcPr>
          <w:p w14:paraId="3651B691" w14:textId="33C1B1E0" w:rsidR="00213249" w:rsidRPr="00B04CF6" w:rsidRDefault="00213249" w:rsidP="00213249">
            <w:pPr>
              <w:rPr>
                <w:sz w:val="20"/>
                <w:szCs w:val="20"/>
              </w:rPr>
            </w:pPr>
            <w:r>
              <w:rPr>
                <w:sz w:val="20"/>
                <w:szCs w:val="20"/>
              </w:rPr>
              <w:t>Domestic</w:t>
            </w:r>
          </w:p>
        </w:tc>
        <w:tc>
          <w:tcPr>
            <w:tcW w:w="889" w:type="dxa"/>
            <w:noWrap/>
          </w:tcPr>
          <w:p w14:paraId="77D59BE2" w14:textId="6AEEFC0E" w:rsidR="00213249" w:rsidRPr="00B04CF6" w:rsidRDefault="00213249" w:rsidP="00213249">
            <w:pPr>
              <w:jc w:val="center"/>
              <w:rPr>
                <w:sz w:val="20"/>
                <w:szCs w:val="20"/>
              </w:rPr>
            </w:pPr>
            <w:r>
              <w:rPr>
                <w:sz w:val="20"/>
                <w:szCs w:val="20"/>
              </w:rPr>
              <w:t>9</w:t>
            </w:r>
          </w:p>
        </w:tc>
        <w:tc>
          <w:tcPr>
            <w:tcW w:w="861" w:type="dxa"/>
          </w:tcPr>
          <w:p w14:paraId="58CA2AAE" w14:textId="1815D5A7" w:rsidR="00213249" w:rsidRDefault="00213249" w:rsidP="00213249">
            <w:pPr>
              <w:jc w:val="center"/>
              <w:rPr>
                <w:sz w:val="20"/>
                <w:szCs w:val="20"/>
              </w:rPr>
            </w:pPr>
            <w:r>
              <w:rPr>
                <w:sz w:val="20"/>
                <w:szCs w:val="20"/>
              </w:rPr>
              <w:t>0</w:t>
            </w:r>
          </w:p>
        </w:tc>
        <w:tc>
          <w:tcPr>
            <w:tcW w:w="3108" w:type="dxa"/>
            <w:noWrap/>
          </w:tcPr>
          <w:p w14:paraId="5ED43F88" w14:textId="056A5A9D" w:rsidR="00213249" w:rsidRPr="00B04CF6" w:rsidRDefault="00134145" w:rsidP="00213249">
            <w:pPr>
              <w:rPr>
                <w:sz w:val="20"/>
                <w:szCs w:val="20"/>
              </w:rPr>
            </w:pPr>
            <w:r>
              <w:rPr>
                <w:sz w:val="20"/>
                <w:szCs w:val="20"/>
              </w:rPr>
              <w:t>Person-to-food-to-</w:t>
            </w:r>
            <w:r w:rsidR="00213249">
              <w:rPr>
                <w:sz w:val="20"/>
                <w:szCs w:val="20"/>
              </w:rPr>
              <w:t>person transmission</w:t>
            </w:r>
          </w:p>
        </w:tc>
        <w:tc>
          <w:tcPr>
            <w:tcW w:w="2551" w:type="dxa"/>
            <w:noWrap/>
          </w:tcPr>
          <w:p w14:paraId="0F963AF2" w14:textId="20436E8D" w:rsidR="00213249" w:rsidRDefault="00213249" w:rsidP="00213249">
            <w:pPr>
              <w:rPr>
                <w:sz w:val="20"/>
                <w:szCs w:val="20"/>
              </w:rPr>
            </w:pPr>
            <w:r>
              <w:rPr>
                <w:sz w:val="20"/>
                <w:szCs w:val="20"/>
              </w:rPr>
              <w:t>(OzFoodNet 2021b)</w:t>
            </w:r>
          </w:p>
        </w:tc>
      </w:tr>
      <w:tr w:rsidR="00213249" w:rsidRPr="00B04CF6" w14:paraId="12C5BCE3" w14:textId="77777777" w:rsidTr="009320AA">
        <w:trPr>
          <w:trHeight w:val="218"/>
        </w:trPr>
        <w:tc>
          <w:tcPr>
            <w:tcW w:w="483" w:type="dxa"/>
          </w:tcPr>
          <w:p w14:paraId="61B97FC5" w14:textId="08B7BE14" w:rsidR="00213249" w:rsidRPr="00B04CF6" w:rsidRDefault="00F04E22" w:rsidP="00F04E22">
            <w:pPr>
              <w:jc w:val="center"/>
              <w:rPr>
                <w:sz w:val="20"/>
                <w:szCs w:val="20"/>
              </w:rPr>
            </w:pPr>
            <w:r>
              <w:rPr>
                <w:sz w:val="20"/>
                <w:szCs w:val="20"/>
              </w:rPr>
              <w:t>14</w:t>
            </w:r>
          </w:p>
        </w:tc>
        <w:tc>
          <w:tcPr>
            <w:tcW w:w="2552" w:type="dxa"/>
            <w:noWrap/>
            <w:hideMark/>
          </w:tcPr>
          <w:p w14:paraId="2467954A" w14:textId="77777777" w:rsidR="00213249" w:rsidRPr="00B04CF6" w:rsidRDefault="00213249" w:rsidP="00213249">
            <w:pPr>
              <w:rPr>
                <w:sz w:val="20"/>
                <w:szCs w:val="20"/>
              </w:rPr>
            </w:pPr>
            <w:r w:rsidRPr="00B04CF6">
              <w:rPr>
                <w:sz w:val="20"/>
                <w:szCs w:val="20"/>
              </w:rPr>
              <w:t>Mung bean sprouts</w:t>
            </w:r>
          </w:p>
        </w:tc>
        <w:tc>
          <w:tcPr>
            <w:tcW w:w="2347" w:type="dxa"/>
            <w:hideMark/>
          </w:tcPr>
          <w:p w14:paraId="34D700DD" w14:textId="77777777" w:rsidR="00213249" w:rsidRPr="00B04CF6" w:rsidRDefault="00213249" w:rsidP="00213249">
            <w:pPr>
              <w:rPr>
                <w:sz w:val="20"/>
                <w:szCs w:val="20"/>
              </w:rPr>
            </w:pPr>
            <w:r w:rsidRPr="00B04CF6">
              <w:rPr>
                <w:i/>
                <w:iCs/>
                <w:sz w:val="20"/>
                <w:szCs w:val="20"/>
              </w:rPr>
              <w:t>Salmonella</w:t>
            </w:r>
            <w:r w:rsidRPr="00B04CF6">
              <w:rPr>
                <w:sz w:val="20"/>
                <w:szCs w:val="20"/>
              </w:rPr>
              <w:t xml:space="preserve"> Saintpaul</w:t>
            </w:r>
          </w:p>
        </w:tc>
        <w:tc>
          <w:tcPr>
            <w:tcW w:w="850" w:type="dxa"/>
            <w:noWrap/>
            <w:hideMark/>
          </w:tcPr>
          <w:p w14:paraId="3748F4FA" w14:textId="0C03C9FA" w:rsidR="00213249" w:rsidRPr="00B04CF6" w:rsidRDefault="00213249" w:rsidP="00213249">
            <w:pPr>
              <w:jc w:val="center"/>
              <w:rPr>
                <w:sz w:val="20"/>
                <w:szCs w:val="20"/>
              </w:rPr>
            </w:pPr>
            <w:r w:rsidRPr="00B04CF6">
              <w:rPr>
                <w:sz w:val="20"/>
                <w:szCs w:val="20"/>
              </w:rPr>
              <w:t>2016</w:t>
            </w:r>
          </w:p>
        </w:tc>
        <w:tc>
          <w:tcPr>
            <w:tcW w:w="1134" w:type="dxa"/>
            <w:noWrap/>
            <w:hideMark/>
          </w:tcPr>
          <w:p w14:paraId="04EAFABC" w14:textId="77777777" w:rsidR="00213249" w:rsidRPr="00B04CF6" w:rsidRDefault="00213249" w:rsidP="00213249">
            <w:pPr>
              <w:rPr>
                <w:sz w:val="20"/>
                <w:szCs w:val="20"/>
              </w:rPr>
            </w:pPr>
            <w:r w:rsidRPr="00B04CF6">
              <w:rPr>
                <w:sz w:val="20"/>
                <w:szCs w:val="20"/>
              </w:rPr>
              <w:t>Domestic</w:t>
            </w:r>
          </w:p>
        </w:tc>
        <w:tc>
          <w:tcPr>
            <w:tcW w:w="889" w:type="dxa"/>
            <w:noWrap/>
            <w:hideMark/>
          </w:tcPr>
          <w:p w14:paraId="45A19E97" w14:textId="086844F4" w:rsidR="00213249" w:rsidRPr="00B04CF6" w:rsidRDefault="00213249" w:rsidP="00213249">
            <w:pPr>
              <w:jc w:val="center"/>
              <w:rPr>
                <w:sz w:val="20"/>
                <w:szCs w:val="20"/>
              </w:rPr>
            </w:pPr>
            <w:r>
              <w:rPr>
                <w:sz w:val="20"/>
                <w:szCs w:val="20"/>
              </w:rPr>
              <w:t>419</w:t>
            </w:r>
          </w:p>
        </w:tc>
        <w:tc>
          <w:tcPr>
            <w:tcW w:w="861" w:type="dxa"/>
          </w:tcPr>
          <w:p w14:paraId="644DEBB5" w14:textId="77777777" w:rsidR="00213249" w:rsidRDefault="00213249" w:rsidP="00213249">
            <w:pPr>
              <w:jc w:val="center"/>
              <w:rPr>
                <w:sz w:val="20"/>
                <w:szCs w:val="20"/>
              </w:rPr>
            </w:pPr>
            <w:r>
              <w:rPr>
                <w:sz w:val="20"/>
                <w:szCs w:val="20"/>
              </w:rPr>
              <w:t>0</w:t>
            </w:r>
          </w:p>
        </w:tc>
        <w:tc>
          <w:tcPr>
            <w:tcW w:w="3108" w:type="dxa"/>
            <w:noWrap/>
            <w:hideMark/>
          </w:tcPr>
          <w:p w14:paraId="1C586B54" w14:textId="232A02E8" w:rsidR="00213249" w:rsidRPr="00B04CF6" w:rsidRDefault="00213249" w:rsidP="00213249">
            <w:pPr>
              <w:rPr>
                <w:sz w:val="20"/>
                <w:szCs w:val="20"/>
              </w:rPr>
            </w:pPr>
            <w:r>
              <w:rPr>
                <w:sz w:val="20"/>
                <w:szCs w:val="20"/>
              </w:rPr>
              <w:t>Ingestion of c</w:t>
            </w:r>
            <w:r w:rsidRPr="00B04CF6">
              <w:rPr>
                <w:sz w:val="20"/>
                <w:szCs w:val="20"/>
              </w:rPr>
              <w:t>ontaminated raw product</w:t>
            </w:r>
            <w:r w:rsidR="0052075C">
              <w:rPr>
                <w:sz w:val="20"/>
                <w:szCs w:val="20"/>
              </w:rPr>
              <w:t>s</w:t>
            </w:r>
          </w:p>
        </w:tc>
        <w:tc>
          <w:tcPr>
            <w:tcW w:w="2551" w:type="dxa"/>
            <w:noWrap/>
            <w:hideMark/>
          </w:tcPr>
          <w:p w14:paraId="071A3090" w14:textId="29F412B0" w:rsidR="00213249" w:rsidRPr="00A449D6" w:rsidRDefault="00213249" w:rsidP="00213249">
            <w:pPr>
              <w:rPr>
                <w:sz w:val="20"/>
                <w:szCs w:val="20"/>
              </w:rPr>
            </w:pPr>
            <w:bookmarkStart w:id="63" w:name="RANGE!H11"/>
            <w:bookmarkEnd w:id="63"/>
            <w:r>
              <w:rPr>
                <w:sz w:val="20"/>
                <w:szCs w:val="20"/>
              </w:rPr>
              <w:t>(OzFoodNet 2021a)</w:t>
            </w:r>
          </w:p>
        </w:tc>
      </w:tr>
      <w:tr w:rsidR="00213249" w:rsidRPr="00B04CF6" w14:paraId="752A5202" w14:textId="77777777" w:rsidTr="009320AA">
        <w:trPr>
          <w:trHeight w:val="218"/>
        </w:trPr>
        <w:tc>
          <w:tcPr>
            <w:tcW w:w="483" w:type="dxa"/>
          </w:tcPr>
          <w:p w14:paraId="46EC0943" w14:textId="137DA163" w:rsidR="00213249" w:rsidRPr="00B04CF6" w:rsidRDefault="00F04E22" w:rsidP="00F04E22">
            <w:pPr>
              <w:jc w:val="center"/>
              <w:rPr>
                <w:sz w:val="20"/>
                <w:szCs w:val="20"/>
              </w:rPr>
            </w:pPr>
            <w:r>
              <w:rPr>
                <w:sz w:val="20"/>
                <w:szCs w:val="20"/>
              </w:rPr>
              <w:t>15</w:t>
            </w:r>
          </w:p>
        </w:tc>
        <w:tc>
          <w:tcPr>
            <w:tcW w:w="2552" w:type="dxa"/>
            <w:noWrap/>
            <w:hideMark/>
          </w:tcPr>
          <w:p w14:paraId="682C1D0A" w14:textId="55A51653" w:rsidR="00213249" w:rsidRPr="00B04CF6" w:rsidRDefault="00213249" w:rsidP="00213249">
            <w:pPr>
              <w:rPr>
                <w:sz w:val="20"/>
                <w:szCs w:val="20"/>
              </w:rPr>
            </w:pPr>
            <w:r>
              <w:rPr>
                <w:sz w:val="20"/>
                <w:szCs w:val="20"/>
              </w:rPr>
              <w:t>Leafy salad product</w:t>
            </w:r>
            <w:r w:rsidRPr="00B04CF6">
              <w:rPr>
                <w:sz w:val="20"/>
                <w:szCs w:val="20"/>
              </w:rPr>
              <w:t>, bagged</w:t>
            </w:r>
          </w:p>
        </w:tc>
        <w:tc>
          <w:tcPr>
            <w:tcW w:w="2347" w:type="dxa"/>
            <w:hideMark/>
          </w:tcPr>
          <w:p w14:paraId="7F62F054" w14:textId="77777777" w:rsidR="00213249" w:rsidRPr="00B04CF6" w:rsidRDefault="00213249" w:rsidP="00213249">
            <w:pPr>
              <w:rPr>
                <w:sz w:val="20"/>
                <w:szCs w:val="20"/>
              </w:rPr>
            </w:pPr>
            <w:r w:rsidRPr="00B04CF6">
              <w:rPr>
                <w:i/>
                <w:iCs/>
                <w:sz w:val="20"/>
                <w:szCs w:val="20"/>
              </w:rPr>
              <w:t xml:space="preserve">Salmonella </w:t>
            </w:r>
            <w:r w:rsidRPr="00B04CF6">
              <w:rPr>
                <w:sz w:val="20"/>
                <w:szCs w:val="20"/>
              </w:rPr>
              <w:t>Anatum</w:t>
            </w:r>
          </w:p>
        </w:tc>
        <w:tc>
          <w:tcPr>
            <w:tcW w:w="850" w:type="dxa"/>
            <w:noWrap/>
            <w:hideMark/>
          </w:tcPr>
          <w:p w14:paraId="11AAD5B5" w14:textId="77777777" w:rsidR="00213249" w:rsidRPr="00B04CF6" w:rsidRDefault="00213249" w:rsidP="00213249">
            <w:pPr>
              <w:jc w:val="center"/>
              <w:rPr>
                <w:sz w:val="20"/>
                <w:szCs w:val="20"/>
              </w:rPr>
            </w:pPr>
            <w:r w:rsidRPr="00B04CF6">
              <w:rPr>
                <w:sz w:val="20"/>
                <w:szCs w:val="20"/>
              </w:rPr>
              <w:t>2016</w:t>
            </w:r>
          </w:p>
        </w:tc>
        <w:tc>
          <w:tcPr>
            <w:tcW w:w="1134" w:type="dxa"/>
            <w:noWrap/>
            <w:hideMark/>
          </w:tcPr>
          <w:p w14:paraId="61D538B9" w14:textId="77777777" w:rsidR="00213249" w:rsidRPr="00B04CF6" w:rsidRDefault="00213249" w:rsidP="00213249">
            <w:pPr>
              <w:rPr>
                <w:sz w:val="20"/>
                <w:szCs w:val="20"/>
              </w:rPr>
            </w:pPr>
            <w:r w:rsidRPr="00B04CF6">
              <w:rPr>
                <w:sz w:val="20"/>
                <w:szCs w:val="20"/>
              </w:rPr>
              <w:t>Domestic</w:t>
            </w:r>
          </w:p>
        </w:tc>
        <w:tc>
          <w:tcPr>
            <w:tcW w:w="889" w:type="dxa"/>
            <w:noWrap/>
            <w:hideMark/>
          </w:tcPr>
          <w:p w14:paraId="4BEE0558" w14:textId="3956534E" w:rsidR="00213249" w:rsidRPr="00B04CF6" w:rsidRDefault="00213249" w:rsidP="00213249">
            <w:pPr>
              <w:jc w:val="center"/>
              <w:rPr>
                <w:sz w:val="20"/>
                <w:szCs w:val="20"/>
              </w:rPr>
            </w:pPr>
            <w:r>
              <w:rPr>
                <w:sz w:val="20"/>
                <w:szCs w:val="20"/>
              </w:rPr>
              <w:t>311</w:t>
            </w:r>
          </w:p>
        </w:tc>
        <w:tc>
          <w:tcPr>
            <w:tcW w:w="861" w:type="dxa"/>
          </w:tcPr>
          <w:p w14:paraId="054FEFA4" w14:textId="77777777" w:rsidR="00213249" w:rsidRDefault="00213249" w:rsidP="00213249">
            <w:pPr>
              <w:jc w:val="center"/>
              <w:rPr>
                <w:sz w:val="20"/>
                <w:szCs w:val="20"/>
              </w:rPr>
            </w:pPr>
            <w:r>
              <w:rPr>
                <w:sz w:val="20"/>
                <w:szCs w:val="20"/>
              </w:rPr>
              <w:t>0</w:t>
            </w:r>
          </w:p>
        </w:tc>
        <w:tc>
          <w:tcPr>
            <w:tcW w:w="3108" w:type="dxa"/>
            <w:noWrap/>
            <w:hideMark/>
          </w:tcPr>
          <w:p w14:paraId="66A924EB" w14:textId="3FC6B96B" w:rsidR="00213249" w:rsidRPr="00B04CF6" w:rsidRDefault="00213249" w:rsidP="00213249">
            <w:pPr>
              <w:rPr>
                <w:sz w:val="20"/>
                <w:szCs w:val="20"/>
              </w:rPr>
            </w:pPr>
            <w:r>
              <w:rPr>
                <w:sz w:val="20"/>
                <w:szCs w:val="20"/>
              </w:rPr>
              <w:t>Ingestion of c</w:t>
            </w:r>
            <w:r w:rsidRPr="00B04CF6">
              <w:rPr>
                <w:sz w:val="20"/>
                <w:szCs w:val="20"/>
              </w:rPr>
              <w:t>ontaminated raw product</w:t>
            </w:r>
            <w:r w:rsidR="0052075C">
              <w:rPr>
                <w:sz w:val="20"/>
                <w:szCs w:val="20"/>
              </w:rPr>
              <w:t>s</w:t>
            </w:r>
          </w:p>
        </w:tc>
        <w:tc>
          <w:tcPr>
            <w:tcW w:w="2551" w:type="dxa"/>
            <w:noWrap/>
            <w:hideMark/>
          </w:tcPr>
          <w:p w14:paraId="01FA2A02" w14:textId="0D78622F" w:rsidR="00213249" w:rsidRPr="00A449D6" w:rsidRDefault="00213249" w:rsidP="00213249">
            <w:pPr>
              <w:rPr>
                <w:sz w:val="20"/>
                <w:szCs w:val="20"/>
              </w:rPr>
            </w:pPr>
            <w:r>
              <w:rPr>
                <w:sz w:val="20"/>
                <w:szCs w:val="20"/>
              </w:rPr>
              <w:t>(OzFoodNet 2021a)</w:t>
            </w:r>
          </w:p>
        </w:tc>
      </w:tr>
      <w:tr w:rsidR="00213249" w:rsidRPr="00B04CF6" w14:paraId="54796B51" w14:textId="77777777" w:rsidTr="009320AA">
        <w:trPr>
          <w:trHeight w:val="639"/>
        </w:trPr>
        <w:tc>
          <w:tcPr>
            <w:tcW w:w="483" w:type="dxa"/>
          </w:tcPr>
          <w:p w14:paraId="73991B46" w14:textId="5E5B4FC8" w:rsidR="00213249" w:rsidRPr="00B04CF6" w:rsidRDefault="00F04E22" w:rsidP="00F04E22">
            <w:pPr>
              <w:jc w:val="center"/>
              <w:rPr>
                <w:sz w:val="20"/>
                <w:szCs w:val="20"/>
              </w:rPr>
            </w:pPr>
            <w:r>
              <w:rPr>
                <w:sz w:val="20"/>
                <w:szCs w:val="20"/>
              </w:rPr>
              <w:t>16</w:t>
            </w:r>
          </w:p>
        </w:tc>
        <w:tc>
          <w:tcPr>
            <w:tcW w:w="2552" w:type="dxa"/>
            <w:noWrap/>
            <w:hideMark/>
          </w:tcPr>
          <w:p w14:paraId="53B849A2" w14:textId="77777777" w:rsidR="00213249" w:rsidRPr="00B04CF6" w:rsidRDefault="00213249" w:rsidP="00213249">
            <w:pPr>
              <w:rPr>
                <w:sz w:val="20"/>
                <w:szCs w:val="20"/>
              </w:rPr>
            </w:pPr>
            <w:r w:rsidRPr="00B04CF6">
              <w:rPr>
                <w:sz w:val="20"/>
                <w:szCs w:val="20"/>
              </w:rPr>
              <w:t>Rockmelon</w:t>
            </w:r>
          </w:p>
        </w:tc>
        <w:tc>
          <w:tcPr>
            <w:tcW w:w="2347" w:type="dxa"/>
            <w:hideMark/>
          </w:tcPr>
          <w:p w14:paraId="5FEDB9C5" w14:textId="77777777" w:rsidR="00213249" w:rsidRPr="00B04CF6" w:rsidRDefault="00213249" w:rsidP="00213249">
            <w:pPr>
              <w:rPr>
                <w:sz w:val="20"/>
                <w:szCs w:val="20"/>
              </w:rPr>
            </w:pPr>
            <w:r w:rsidRPr="00B04CF6">
              <w:rPr>
                <w:i/>
                <w:iCs/>
                <w:sz w:val="20"/>
                <w:szCs w:val="20"/>
              </w:rPr>
              <w:t xml:space="preserve">Salmonella </w:t>
            </w:r>
            <w:r w:rsidRPr="00B04CF6">
              <w:rPr>
                <w:sz w:val="20"/>
                <w:szCs w:val="20"/>
              </w:rPr>
              <w:t>Hvittingfoss</w:t>
            </w:r>
          </w:p>
        </w:tc>
        <w:tc>
          <w:tcPr>
            <w:tcW w:w="850" w:type="dxa"/>
            <w:noWrap/>
            <w:hideMark/>
          </w:tcPr>
          <w:p w14:paraId="3DFCA650" w14:textId="77777777" w:rsidR="00213249" w:rsidRPr="00B04CF6" w:rsidRDefault="00213249" w:rsidP="00213249">
            <w:pPr>
              <w:jc w:val="center"/>
              <w:rPr>
                <w:sz w:val="20"/>
                <w:szCs w:val="20"/>
              </w:rPr>
            </w:pPr>
            <w:r w:rsidRPr="00B04CF6">
              <w:rPr>
                <w:sz w:val="20"/>
                <w:szCs w:val="20"/>
              </w:rPr>
              <w:t>2016</w:t>
            </w:r>
          </w:p>
        </w:tc>
        <w:tc>
          <w:tcPr>
            <w:tcW w:w="1134" w:type="dxa"/>
            <w:noWrap/>
            <w:hideMark/>
          </w:tcPr>
          <w:p w14:paraId="20852C8C" w14:textId="77777777" w:rsidR="00213249" w:rsidRPr="00B04CF6" w:rsidRDefault="00213249" w:rsidP="00213249">
            <w:pPr>
              <w:rPr>
                <w:sz w:val="20"/>
                <w:szCs w:val="20"/>
              </w:rPr>
            </w:pPr>
            <w:r w:rsidRPr="00B04CF6">
              <w:rPr>
                <w:sz w:val="20"/>
                <w:szCs w:val="20"/>
              </w:rPr>
              <w:t>Domestic</w:t>
            </w:r>
          </w:p>
        </w:tc>
        <w:tc>
          <w:tcPr>
            <w:tcW w:w="889" w:type="dxa"/>
            <w:noWrap/>
            <w:hideMark/>
          </w:tcPr>
          <w:p w14:paraId="300AB666" w14:textId="77777777" w:rsidR="00213249" w:rsidRPr="00B04CF6" w:rsidRDefault="00213249" w:rsidP="00213249">
            <w:pPr>
              <w:jc w:val="center"/>
              <w:rPr>
                <w:sz w:val="20"/>
                <w:szCs w:val="20"/>
              </w:rPr>
            </w:pPr>
            <w:r w:rsidRPr="00B04CF6">
              <w:rPr>
                <w:sz w:val="20"/>
                <w:szCs w:val="20"/>
              </w:rPr>
              <w:t>144</w:t>
            </w:r>
          </w:p>
        </w:tc>
        <w:tc>
          <w:tcPr>
            <w:tcW w:w="861" w:type="dxa"/>
          </w:tcPr>
          <w:p w14:paraId="26044218" w14:textId="70109A06" w:rsidR="00213249" w:rsidRDefault="00213249" w:rsidP="00213249">
            <w:pPr>
              <w:jc w:val="center"/>
              <w:rPr>
                <w:sz w:val="20"/>
                <w:szCs w:val="20"/>
              </w:rPr>
            </w:pPr>
            <w:r>
              <w:rPr>
                <w:sz w:val="20"/>
                <w:szCs w:val="20"/>
              </w:rPr>
              <w:t>1</w:t>
            </w:r>
          </w:p>
        </w:tc>
        <w:tc>
          <w:tcPr>
            <w:tcW w:w="3108" w:type="dxa"/>
            <w:hideMark/>
          </w:tcPr>
          <w:p w14:paraId="0C6860CC" w14:textId="47F1C760" w:rsidR="00213249" w:rsidRPr="00B04CF6" w:rsidRDefault="00213249" w:rsidP="00213249">
            <w:pPr>
              <w:rPr>
                <w:sz w:val="20"/>
                <w:szCs w:val="20"/>
              </w:rPr>
            </w:pPr>
            <w:r>
              <w:rPr>
                <w:sz w:val="20"/>
                <w:szCs w:val="20"/>
              </w:rPr>
              <w:t>Ingestion of c</w:t>
            </w:r>
            <w:r w:rsidRPr="00B04CF6">
              <w:rPr>
                <w:sz w:val="20"/>
                <w:szCs w:val="20"/>
              </w:rPr>
              <w:t>ontaminated raw product</w:t>
            </w:r>
            <w:r w:rsidR="0052075C">
              <w:rPr>
                <w:sz w:val="20"/>
                <w:szCs w:val="20"/>
              </w:rPr>
              <w:t>s</w:t>
            </w:r>
            <w:r>
              <w:rPr>
                <w:sz w:val="20"/>
                <w:szCs w:val="20"/>
              </w:rPr>
              <w:t>,</w:t>
            </w:r>
            <w:r w:rsidRPr="00B04CF6">
              <w:rPr>
                <w:sz w:val="20"/>
                <w:szCs w:val="20"/>
              </w:rPr>
              <w:t xml:space="preserve"> </w:t>
            </w:r>
            <w:r>
              <w:rPr>
                <w:sz w:val="20"/>
                <w:szCs w:val="20"/>
              </w:rPr>
              <w:t>i</w:t>
            </w:r>
            <w:r w:rsidRPr="00B04CF6">
              <w:rPr>
                <w:sz w:val="20"/>
                <w:szCs w:val="20"/>
              </w:rPr>
              <w:t>nadequate monitoring and application of sanitiser, poor general facility hygiene</w:t>
            </w:r>
          </w:p>
        </w:tc>
        <w:tc>
          <w:tcPr>
            <w:tcW w:w="2551" w:type="dxa"/>
            <w:noWrap/>
            <w:hideMark/>
          </w:tcPr>
          <w:p w14:paraId="1B562FEE" w14:textId="217A76A2" w:rsidR="00213249" w:rsidRPr="00A449D6" w:rsidRDefault="00213249" w:rsidP="00213249">
            <w:pPr>
              <w:rPr>
                <w:sz w:val="20"/>
                <w:szCs w:val="20"/>
              </w:rPr>
            </w:pPr>
            <w:r>
              <w:rPr>
                <w:sz w:val="20"/>
                <w:szCs w:val="20"/>
              </w:rPr>
              <w:t>(NSW OzFoodNet 2017; OzFoodNet 2021a)</w:t>
            </w:r>
          </w:p>
        </w:tc>
      </w:tr>
      <w:tr w:rsidR="00213249" w:rsidRPr="00B04CF6" w14:paraId="663019F7" w14:textId="77777777" w:rsidTr="009320AA">
        <w:trPr>
          <w:trHeight w:val="210"/>
        </w:trPr>
        <w:tc>
          <w:tcPr>
            <w:tcW w:w="483" w:type="dxa"/>
          </w:tcPr>
          <w:p w14:paraId="5116E28F" w14:textId="7225E6A3" w:rsidR="00213249" w:rsidRPr="00B04CF6" w:rsidRDefault="00F04E22" w:rsidP="00F04E22">
            <w:pPr>
              <w:jc w:val="center"/>
              <w:rPr>
                <w:sz w:val="20"/>
                <w:szCs w:val="20"/>
              </w:rPr>
            </w:pPr>
            <w:r>
              <w:rPr>
                <w:sz w:val="20"/>
                <w:szCs w:val="20"/>
              </w:rPr>
              <w:t>17</w:t>
            </w:r>
          </w:p>
        </w:tc>
        <w:tc>
          <w:tcPr>
            <w:tcW w:w="2552" w:type="dxa"/>
            <w:noWrap/>
            <w:hideMark/>
          </w:tcPr>
          <w:p w14:paraId="75FE6382" w14:textId="77777777" w:rsidR="00213249" w:rsidRPr="00B04CF6" w:rsidRDefault="00213249" w:rsidP="00213249">
            <w:pPr>
              <w:rPr>
                <w:sz w:val="20"/>
                <w:szCs w:val="20"/>
              </w:rPr>
            </w:pPr>
            <w:r w:rsidRPr="00B04CF6">
              <w:rPr>
                <w:sz w:val="20"/>
                <w:szCs w:val="20"/>
              </w:rPr>
              <w:t>Berries, mixed, frozen</w:t>
            </w:r>
          </w:p>
        </w:tc>
        <w:tc>
          <w:tcPr>
            <w:tcW w:w="2347" w:type="dxa"/>
            <w:hideMark/>
          </w:tcPr>
          <w:p w14:paraId="3B3C7115" w14:textId="77777777" w:rsidR="00213249" w:rsidRPr="00B04CF6" w:rsidRDefault="00213249" w:rsidP="00213249">
            <w:pPr>
              <w:rPr>
                <w:sz w:val="20"/>
                <w:szCs w:val="20"/>
              </w:rPr>
            </w:pPr>
            <w:r>
              <w:rPr>
                <w:sz w:val="20"/>
                <w:szCs w:val="20"/>
              </w:rPr>
              <w:t>HAV</w:t>
            </w:r>
            <w:r w:rsidRPr="00B04CF6">
              <w:rPr>
                <w:sz w:val="20"/>
                <w:szCs w:val="20"/>
              </w:rPr>
              <w:t xml:space="preserve"> </w:t>
            </w:r>
          </w:p>
        </w:tc>
        <w:tc>
          <w:tcPr>
            <w:tcW w:w="850" w:type="dxa"/>
            <w:noWrap/>
            <w:hideMark/>
          </w:tcPr>
          <w:p w14:paraId="18CAFA0A" w14:textId="77777777" w:rsidR="00213249" w:rsidRPr="00B04CF6" w:rsidRDefault="00213249" w:rsidP="00213249">
            <w:pPr>
              <w:jc w:val="center"/>
              <w:rPr>
                <w:sz w:val="20"/>
                <w:szCs w:val="20"/>
              </w:rPr>
            </w:pPr>
            <w:r w:rsidRPr="00B04CF6">
              <w:rPr>
                <w:sz w:val="20"/>
                <w:szCs w:val="20"/>
              </w:rPr>
              <w:t>2017</w:t>
            </w:r>
          </w:p>
        </w:tc>
        <w:tc>
          <w:tcPr>
            <w:tcW w:w="1134" w:type="dxa"/>
            <w:noWrap/>
            <w:hideMark/>
          </w:tcPr>
          <w:p w14:paraId="3DE70915" w14:textId="77777777" w:rsidR="00213249" w:rsidRPr="00B04CF6" w:rsidRDefault="00213249" w:rsidP="00213249">
            <w:pPr>
              <w:rPr>
                <w:sz w:val="20"/>
                <w:szCs w:val="20"/>
              </w:rPr>
            </w:pPr>
            <w:r w:rsidRPr="00B04CF6">
              <w:rPr>
                <w:sz w:val="20"/>
                <w:szCs w:val="20"/>
              </w:rPr>
              <w:t>Imported</w:t>
            </w:r>
          </w:p>
        </w:tc>
        <w:tc>
          <w:tcPr>
            <w:tcW w:w="889" w:type="dxa"/>
            <w:noWrap/>
            <w:hideMark/>
          </w:tcPr>
          <w:p w14:paraId="63542DFD" w14:textId="77777777" w:rsidR="00213249" w:rsidRPr="00B04CF6" w:rsidRDefault="00213249" w:rsidP="00213249">
            <w:pPr>
              <w:jc w:val="center"/>
              <w:rPr>
                <w:sz w:val="20"/>
                <w:szCs w:val="20"/>
              </w:rPr>
            </w:pPr>
            <w:r w:rsidRPr="00B04CF6">
              <w:rPr>
                <w:sz w:val="20"/>
                <w:szCs w:val="20"/>
              </w:rPr>
              <w:t>4</w:t>
            </w:r>
          </w:p>
        </w:tc>
        <w:tc>
          <w:tcPr>
            <w:tcW w:w="861" w:type="dxa"/>
          </w:tcPr>
          <w:p w14:paraId="2F752811" w14:textId="77777777" w:rsidR="00213249" w:rsidRDefault="00213249" w:rsidP="00213249">
            <w:pPr>
              <w:jc w:val="center"/>
              <w:rPr>
                <w:sz w:val="20"/>
                <w:szCs w:val="20"/>
              </w:rPr>
            </w:pPr>
            <w:r>
              <w:rPr>
                <w:sz w:val="20"/>
                <w:szCs w:val="20"/>
              </w:rPr>
              <w:t>0</w:t>
            </w:r>
          </w:p>
        </w:tc>
        <w:tc>
          <w:tcPr>
            <w:tcW w:w="3108" w:type="dxa"/>
            <w:noWrap/>
            <w:hideMark/>
          </w:tcPr>
          <w:p w14:paraId="3C8ECFE5" w14:textId="77777777" w:rsidR="00213249" w:rsidRPr="00B04CF6" w:rsidRDefault="00213249" w:rsidP="00213249">
            <w:pPr>
              <w:rPr>
                <w:sz w:val="20"/>
                <w:szCs w:val="20"/>
              </w:rPr>
            </w:pPr>
            <w:r>
              <w:rPr>
                <w:sz w:val="20"/>
                <w:szCs w:val="20"/>
              </w:rPr>
              <w:t>Not reported</w:t>
            </w:r>
          </w:p>
        </w:tc>
        <w:tc>
          <w:tcPr>
            <w:tcW w:w="2551" w:type="dxa"/>
            <w:noWrap/>
            <w:hideMark/>
          </w:tcPr>
          <w:p w14:paraId="4DCA551D" w14:textId="5BFC1B89" w:rsidR="00213249" w:rsidRPr="00A449D6" w:rsidRDefault="00213249" w:rsidP="00213249">
            <w:pPr>
              <w:rPr>
                <w:sz w:val="20"/>
                <w:szCs w:val="20"/>
              </w:rPr>
            </w:pPr>
            <w:r>
              <w:rPr>
                <w:sz w:val="20"/>
                <w:szCs w:val="20"/>
              </w:rPr>
              <w:t>(DHHS Victoria 2017; SA Health 2017)</w:t>
            </w:r>
          </w:p>
        </w:tc>
      </w:tr>
      <w:tr w:rsidR="00213249" w:rsidRPr="00B04CF6" w14:paraId="4BCC38A9" w14:textId="77777777" w:rsidTr="009320AA">
        <w:trPr>
          <w:trHeight w:val="639"/>
        </w:trPr>
        <w:tc>
          <w:tcPr>
            <w:tcW w:w="483" w:type="dxa"/>
          </w:tcPr>
          <w:p w14:paraId="5E61102A" w14:textId="330DE77D" w:rsidR="00213249" w:rsidRPr="00B04CF6" w:rsidRDefault="00F04E22" w:rsidP="00F04E22">
            <w:pPr>
              <w:jc w:val="center"/>
              <w:rPr>
                <w:sz w:val="20"/>
                <w:szCs w:val="20"/>
              </w:rPr>
            </w:pPr>
            <w:r>
              <w:rPr>
                <w:sz w:val="20"/>
                <w:szCs w:val="20"/>
              </w:rPr>
              <w:t>18</w:t>
            </w:r>
          </w:p>
        </w:tc>
        <w:tc>
          <w:tcPr>
            <w:tcW w:w="2552" w:type="dxa"/>
            <w:noWrap/>
            <w:hideMark/>
          </w:tcPr>
          <w:p w14:paraId="4CB609A0" w14:textId="77777777" w:rsidR="00213249" w:rsidRPr="00B04CF6" w:rsidRDefault="00213249" w:rsidP="00213249">
            <w:pPr>
              <w:rPr>
                <w:sz w:val="20"/>
                <w:szCs w:val="20"/>
              </w:rPr>
            </w:pPr>
            <w:r w:rsidRPr="00B04CF6">
              <w:rPr>
                <w:sz w:val="20"/>
                <w:szCs w:val="20"/>
              </w:rPr>
              <w:t>Rockmelon</w:t>
            </w:r>
          </w:p>
        </w:tc>
        <w:tc>
          <w:tcPr>
            <w:tcW w:w="2347" w:type="dxa"/>
            <w:hideMark/>
          </w:tcPr>
          <w:p w14:paraId="7E9C2E51" w14:textId="77777777" w:rsidR="00213249" w:rsidRPr="00B04CF6" w:rsidRDefault="00213249" w:rsidP="00213249">
            <w:pPr>
              <w:rPr>
                <w:i/>
                <w:iCs/>
                <w:sz w:val="20"/>
                <w:szCs w:val="20"/>
              </w:rPr>
            </w:pPr>
            <w:r>
              <w:rPr>
                <w:i/>
                <w:iCs/>
                <w:sz w:val="20"/>
                <w:szCs w:val="20"/>
              </w:rPr>
              <w:t>L.</w:t>
            </w:r>
            <w:r w:rsidRPr="00B04CF6">
              <w:rPr>
                <w:i/>
                <w:iCs/>
                <w:sz w:val="20"/>
                <w:szCs w:val="20"/>
              </w:rPr>
              <w:t xml:space="preserve"> monocytogenes</w:t>
            </w:r>
          </w:p>
        </w:tc>
        <w:tc>
          <w:tcPr>
            <w:tcW w:w="850" w:type="dxa"/>
            <w:noWrap/>
            <w:hideMark/>
          </w:tcPr>
          <w:p w14:paraId="48A9C88B" w14:textId="77777777" w:rsidR="00213249" w:rsidRPr="00B04CF6" w:rsidRDefault="00213249" w:rsidP="00213249">
            <w:pPr>
              <w:jc w:val="center"/>
              <w:rPr>
                <w:sz w:val="20"/>
                <w:szCs w:val="20"/>
              </w:rPr>
            </w:pPr>
            <w:r w:rsidRPr="00B04CF6">
              <w:rPr>
                <w:sz w:val="20"/>
                <w:szCs w:val="20"/>
              </w:rPr>
              <w:t>2018</w:t>
            </w:r>
          </w:p>
        </w:tc>
        <w:tc>
          <w:tcPr>
            <w:tcW w:w="1134" w:type="dxa"/>
            <w:noWrap/>
            <w:hideMark/>
          </w:tcPr>
          <w:p w14:paraId="347F64B9" w14:textId="77777777" w:rsidR="00213249" w:rsidRPr="00B04CF6" w:rsidRDefault="00213249" w:rsidP="00213249">
            <w:pPr>
              <w:rPr>
                <w:sz w:val="20"/>
                <w:szCs w:val="20"/>
              </w:rPr>
            </w:pPr>
            <w:r w:rsidRPr="00B04CF6">
              <w:rPr>
                <w:sz w:val="20"/>
                <w:szCs w:val="20"/>
              </w:rPr>
              <w:t>Domestic</w:t>
            </w:r>
          </w:p>
        </w:tc>
        <w:tc>
          <w:tcPr>
            <w:tcW w:w="889" w:type="dxa"/>
            <w:noWrap/>
            <w:hideMark/>
          </w:tcPr>
          <w:p w14:paraId="1647DA16" w14:textId="77777777" w:rsidR="00213249" w:rsidRPr="00B04CF6" w:rsidRDefault="00213249" w:rsidP="00213249">
            <w:pPr>
              <w:jc w:val="center"/>
              <w:rPr>
                <w:sz w:val="20"/>
                <w:szCs w:val="20"/>
              </w:rPr>
            </w:pPr>
            <w:r w:rsidRPr="00B04CF6">
              <w:rPr>
                <w:sz w:val="20"/>
                <w:szCs w:val="20"/>
              </w:rPr>
              <w:t>22</w:t>
            </w:r>
          </w:p>
        </w:tc>
        <w:tc>
          <w:tcPr>
            <w:tcW w:w="861" w:type="dxa"/>
          </w:tcPr>
          <w:p w14:paraId="5D863F67" w14:textId="77777777" w:rsidR="00213249" w:rsidRDefault="00213249" w:rsidP="00213249">
            <w:pPr>
              <w:jc w:val="center"/>
              <w:rPr>
                <w:sz w:val="20"/>
                <w:szCs w:val="20"/>
              </w:rPr>
            </w:pPr>
            <w:r>
              <w:rPr>
                <w:sz w:val="20"/>
                <w:szCs w:val="20"/>
              </w:rPr>
              <w:t>8</w:t>
            </w:r>
          </w:p>
        </w:tc>
        <w:tc>
          <w:tcPr>
            <w:tcW w:w="3108" w:type="dxa"/>
            <w:hideMark/>
          </w:tcPr>
          <w:p w14:paraId="023B4237" w14:textId="77777777" w:rsidR="00213249" w:rsidRPr="00B04CF6" w:rsidRDefault="00213249" w:rsidP="00213249">
            <w:pPr>
              <w:rPr>
                <w:sz w:val="20"/>
                <w:szCs w:val="20"/>
              </w:rPr>
            </w:pPr>
            <w:r w:rsidRPr="00B04CF6">
              <w:rPr>
                <w:sz w:val="20"/>
                <w:szCs w:val="20"/>
              </w:rPr>
              <w:t>Existing sanitation processes were not adapted to account for extreme weather events</w:t>
            </w:r>
          </w:p>
        </w:tc>
        <w:tc>
          <w:tcPr>
            <w:tcW w:w="2551" w:type="dxa"/>
            <w:noWrap/>
            <w:hideMark/>
          </w:tcPr>
          <w:p w14:paraId="3667EBC2" w14:textId="2A70E5CC" w:rsidR="00213249" w:rsidRPr="00B04CF6" w:rsidRDefault="00213249" w:rsidP="00213249">
            <w:pPr>
              <w:rPr>
                <w:sz w:val="20"/>
                <w:szCs w:val="20"/>
              </w:rPr>
            </w:pPr>
            <w:r>
              <w:rPr>
                <w:sz w:val="20"/>
                <w:szCs w:val="20"/>
              </w:rPr>
              <w:t>(NSW OzFoodNet 2018a)</w:t>
            </w:r>
          </w:p>
        </w:tc>
      </w:tr>
      <w:tr w:rsidR="00213249" w:rsidRPr="00B04CF6" w14:paraId="28B86268" w14:textId="77777777" w:rsidTr="009320AA">
        <w:trPr>
          <w:trHeight w:val="210"/>
        </w:trPr>
        <w:tc>
          <w:tcPr>
            <w:tcW w:w="483" w:type="dxa"/>
          </w:tcPr>
          <w:p w14:paraId="74A68B4D" w14:textId="37766C05" w:rsidR="00213249" w:rsidRPr="00B04CF6" w:rsidRDefault="00F04E22" w:rsidP="00F04E22">
            <w:pPr>
              <w:jc w:val="center"/>
              <w:rPr>
                <w:sz w:val="20"/>
                <w:szCs w:val="20"/>
              </w:rPr>
            </w:pPr>
            <w:r>
              <w:rPr>
                <w:sz w:val="20"/>
                <w:szCs w:val="20"/>
              </w:rPr>
              <w:t>19</w:t>
            </w:r>
          </w:p>
        </w:tc>
        <w:tc>
          <w:tcPr>
            <w:tcW w:w="2552" w:type="dxa"/>
            <w:noWrap/>
            <w:hideMark/>
          </w:tcPr>
          <w:p w14:paraId="343AF5FF" w14:textId="77777777" w:rsidR="00213249" w:rsidRPr="00B04CF6" w:rsidRDefault="00213249" w:rsidP="00213249">
            <w:pPr>
              <w:rPr>
                <w:sz w:val="20"/>
                <w:szCs w:val="20"/>
              </w:rPr>
            </w:pPr>
            <w:r w:rsidRPr="00B04CF6">
              <w:rPr>
                <w:sz w:val="20"/>
                <w:szCs w:val="20"/>
              </w:rPr>
              <w:t>Pomegranate arils, frozen</w:t>
            </w:r>
          </w:p>
        </w:tc>
        <w:tc>
          <w:tcPr>
            <w:tcW w:w="2347" w:type="dxa"/>
            <w:hideMark/>
          </w:tcPr>
          <w:p w14:paraId="54FBF633" w14:textId="77777777" w:rsidR="00213249" w:rsidRPr="00B04CF6" w:rsidRDefault="00213249" w:rsidP="00213249">
            <w:pPr>
              <w:rPr>
                <w:sz w:val="20"/>
                <w:szCs w:val="20"/>
              </w:rPr>
            </w:pPr>
            <w:r>
              <w:rPr>
                <w:sz w:val="20"/>
                <w:szCs w:val="20"/>
              </w:rPr>
              <w:t>HAV</w:t>
            </w:r>
          </w:p>
        </w:tc>
        <w:tc>
          <w:tcPr>
            <w:tcW w:w="850" w:type="dxa"/>
            <w:noWrap/>
            <w:hideMark/>
          </w:tcPr>
          <w:p w14:paraId="6120F611" w14:textId="77777777" w:rsidR="00213249" w:rsidRPr="00B04CF6" w:rsidRDefault="00213249" w:rsidP="00213249">
            <w:pPr>
              <w:jc w:val="center"/>
              <w:rPr>
                <w:sz w:val="20"/>
                <w:szCs w:val="20"/>
              </w:rPr>
            </w:pPr>
            <w:r w:rsidRPr="00B04CF6">
              <w:rPr>
                <w:sz w:val="20"/>
                <w:szCs w:val="20"/>
              </w:rPr>
              <w:t>2018</w:t>
            </w:r>
          </w:p>
        </w:tc>
        <w:tc>
          <w:tcPr>
            <w:tcW w:w="1134" w:type="dxa"/>
            <w:noWrap/>
            <w:hideMark/>
          </w:tcPr>
          <w:p w14:paraId="488CC776" w14:textId="77777777" w:rsidR="00213249" w:rsidRPr="00B04CF6" w:rsidRDefault="00213249" w:rsidP="00213249">
            <w:pPr>
              <w:rPr>
                <w:sz w:val="20"/>
                <w:szCs w:val="20"/>
              </w:rPr>
            </w:pPr>
            <w:r w:rsidRPr="00B04CF6">
              <w:rPr>
                <w:sz w:val="20"/>
                <w:szCs w:val="20"/>
              </w:rPr>
              <w:t>Imported</w:t>
            </w:r>
          </w:p>
        </w:tc>
        <w:tc>
          <w:tcPr>
            <w:tcW w:w="889" w:type="dxa"/>
            <w:noWrap/>
            <w:hideMark/>
          </w:tcPr>
          <w:p w14:paraId="5BCCD92D" w14:textId="77777777" w:rsidR="00213249" w:rsidRPr="00B04CF6" w:rsidRDefault="00213249" w:rsidP="00213249">
            <w:pPr>
              <w:jc w:val="center"/>
              <w:rPr>
                <w:sz w:val="20"/>
                <w:szCs w:val="20"/>
              </w:rPr>
            </w:pPr>
            <w:r w:rsidRPr="00B04CF6">
              <w:rPr>
                <w:sz w:val="20"/>
                <w:szCs w:val="20"/>
              </w:rPr>
              <w:t>30</w:t>
            </w:r>
          </w:p>
        </w:tc>
        <w:tc>
          <w:tcPr>
            <w:tcW w:w="861" w:type="dxa"/>
          </w:tcPr>
          <w:p w14:paraId="5CB46EFC" w14:textId="77777777" w:rsidR="00213249" w:rsidRDefault="00213249" w:rsidP="00213249">
            <w:pPr>
              <w:jc w:val="center"/>
              <w:rPr>
                <w:sz w:val="20"/>
                <w:szCs w:val="20"/>
              </w:rPr>
            </w:pPr>
            <w:r>
              <w:rPr>
                <w:sz w:val="20"/>
                <w:szCs w:val="20"/>
              </w:rPr>
              <w:t>1</w:t>
            </w:r>
          </w:p>
        </w:tc>
        <w:tc>
          <w:tcPr>
            <w:tcW w:w="3108" w:type="dxa"/>
            <w:noWrap/>
            <w:hideMark/>
          </w:tcPr>
          <w:p w14:paraId="11129902" w14:textId="77777777" w:rsidR="00213249" w:rsidRPr="00B04CF6" w:rsidRDefault="00213249" w:rsidP="00213249">
            <w:pPr>
              <w:rPr>
                <w:sz w:val="20"/>
                <w:szCs w:val="20"/>
              </w:rPr>
            </w:pPr>
            <w:r>
              <w:rPr>
                <w:sz w:val="20"/>
                <w:szCs w:val="20"/>
              </w:rPr>
              <w:t>Not reported</w:t>
            </w:r>
          </w:p>
        </w:tc>
        <w:tc>
          <w:tcPr>
            <w:tcW w:w="2551" w:type="dxa"/>
            <w:noWrap/>
            <w:hideMark/>
          </w:tcPr>
          <w:p w14:paraId="1184A4F1" w14:textId="4274ABF7" w:rsidR="00213249" w:rsidRPr="00B04CF6" w:rsidRDefault="00213249" w:rsidP="00213249">
            <w:pPr>
              <w:rPr>
                <w:sz w:val="20"/>
                <w:szCs w:val="20"/>
              </w:rPr>
            </w:pPr>
            <w:r>
              <w:rPr>
                <w:sz w:val="20"/>
                <w:szCs w:val="20"/>
              </w:rPr>
              <w:t>(NSW OzFoodNet 2018b)</w:t>
            </w:r>
          </w:p>
        </w:tc>
      </w:tr>
    </w:tbl>
    <w:p w14:paraId="1BDDFC6C" w14:textId="77777777" w:rsidR="00837C34" w:rsidRDefault="00837C34" w:rsidP="00FB04CE">
      <w:pPr>
        <w:rPr>
          <w:highlight w:val="yellow"/>
        </w:rPr>
        <w:sectPr w:rsidR="00837C34" w:rsidSect="005D0B92">
          <w:pgSz w:w="16838" w:h="11906" w:orient="landscape"/>
          <w:pgMar w:top="1418" w:right="1418" w:bottom="1418" w:left="1418" w:header="709" w:footer="709" w:gutter="0"/>
          <w:cols w:space="708"/>
          <w:docGrid w:linePitch="360"/>
        </w:sectPr>
      </w:pPr>
    </w:p>
    <w:p w14:paraId="60CA9032" w14:textId="77777777" w:rsidR="00FB04CE" w:rsidRPr="00FE3845" w:rsidRDefault="00FB04CE" w:rsidP="00FB04CE">
      <w:pPr>
        <w:pStyle w:val="Heading2"/>
        <w:numPr>
          <w:ilvl w:val="1"/>
          <w:numId w:val="11"/>
        </w:numPr>
      </w:pPr>
      <w:bookmarkStart w:id="64" w:name="_Toc29210129"/>
      <w:bookmarkStart w:id="65" w:name="_Toc29211653"/>
      <w:bookmarkStart w:id="66" w:name="_Toc45275326"/>
      <w:bookmarkStart w:id="67" w:name="_Toc56693411"/>
      <w:bookmarkStart w:id="68" w:name="_Toc58327763"/>
      <w:bookmarkStart w:id="69" w:name="_Toc58333943"/>
      <w:bookmarkStart w:id="70" w:name="_Toc64448751"/>
      <w:bookmarkStart w:id="71" w:name="_Toc87860012"/>
      <w:r>
        <w:t>Australian recalls of fresh horticultural produce due to microbial contamination</w:t>
      </w:r>
      <w:bookmarkEnd w:id="64"/>
      <w:bookmarkEnd w:id="65"/>
      <w:bookmarkEnd w:id="66"/>
      <w:bookmarkEnd w:id="67"/>
      <w:bookmarkEnd w:id="68"/>
      <w:bookmarkEnd w:id="69"/>
      <w:bookmarkEnd w:id="70"/>
      <w:bookmarkEnd w:id="71"/>
    </w:p>
    <w:p w14:paraId="560AB5A4" w14:textId="2EF24CC7" w:rsidR="00FB04CE" w:rsidRDefault="00FB04CE" w:rsidP="00FB04CE">
      <w:r>
        <w:t xml:space="preserve">Food recalls are performed to remove unsafe food from the marketplace to protect public health and safety. Horticulture produce has been recalled in Australia due to contamination with pathogenic microorganisms, and this provides further evidence of the ability of pathogens to </w:t>
      </w:r>
      <w:r w:rsidRPr="005B6F91">
        <w:t>contaminate fresh produce though they are not always associated with outbreaks (</w:t>
      </w:r>
      <w:r w:rsidRPr="005B6F91">
        <w:fldChar w:fldCharType="begin"/>
      </w:r>
      <w:r w:rsidRPr="005B6F91">
        <w:instrText xml:space="preserve"> REF _Ref45567234 \h  \* MERGEFORMAT </w:instrText>
      </w:r>
      <w:r w:rsidRPr="005B6F91">
        <w:fldChar w:fldCharType="separate"/>
      </w:r>
      <w:r w:rsidR="00A952A2">
        <w:t xml:space="preserve">Table </w:t>
      </w:r>
      <w:r w:rsidR="00A952A2">
        <w:rPr>
          <w:noProof/>
        </w:rPr>
        <w:t>2</w:t>
      </w:r>
      <w:r w:rsidRPr="005B6F91">
        <w:fldChar w:fldCharType="end"/>
      </w:r>
      <w:r w:rsidRPr="005B6F91">
        <w:t>).</w:t>
      </w:r>
      <w:r>
        <w:t xml:space="preserve"> </w:t>
      </w:r>
    </w:p>
    <w:p w14:paraId="73E7287F" w14:textId="77777777" w:rsidR="00FB04CE" w:rsidRDefault="00FB04CE" w:rsidP="00FB04CE"/>
    <w:p w14:paraId="06097AC3" w14:textId="77777777" w:rsidR="00FB04CE" w:rsidRDefault="00FB04CE" w:rsidP="00FB04CE">
      <w:r w:rsidRPr="007A179B">
        <w:t xml:space="preserve">The primary causes of fresh and minimally processed horticultural produce-related recalls were </w:t>
      </w:r>
      <w:r w:rsidRPr="007A179B">
        <w:rPr>
          <w:i/>
        </w:rPr>
        <w:t xml:space="preserve">Salmonella </w:t>
      </w:r>
      <w:r>
        <w:t xml:space="preserve">spp. </w:t>
      </w:r>
      <w:r w:rsidRPr="007A179B">
        <w:t xml:space="preserve">and </w:t>
      </w:r>
      <w:r w:rsidRPr="007A179B">
        <w:rPr>
          <w:i/>
        </w:rPr>
        <w:t>L. monocytogenes</w:t>
      </w:r>
      <w:r>
        <w:t>. O</w:t>
      </w:r>
      <w:r w:rsidRPr="007A179B">
        <w:t xml:space="preserve">ther microbial pathogens associated with these recalls were </w:t>
      </w:r>
      <w:r w:rsidRPr="007A179B">
        <w:rPr>
          <w:i/>
        </w:rPr>
        <w:t xml:space="preserve">E. coli </w:t>
      </w:r>
      <w:r w:rsidRPr="007A179B">
        <w:t xml:space="preserve">and </w:t>
      </w:r>
      <w:r>
        <w:t>HAV</w:t>
      </w:r>
      <w:r w:rsidRPr="007A179B">
        <w:t xml:space="preserve">. The main commodity sectors that were recalled were sprouts and mixed vegetables. The other sectors with multiple recalls were </w:t>
      </w:r>
      <w:r>
        <w:t xml:space="preserve">leafy vegetables, </w:t>
      </w:r>
      <w:r w:rsidRPr="007A179B">
        <w:t>berrie</w:t>
      </w:r>
      <w:r>
        <w:t>s and melons</w:t>
      </w:r>
    </w:p>
    <w:p w14:paraId="34B75099" w14:textId="77777777" w:rsidR="00FB04CE" w:rsidRDefault="00FB04CE" w:rsidP="00FB04CE"/>
    <w:p w14:paraId="779BDB8A" w14:textId="64EEE0DA" w:rsidR="00FB04CE" w:rsidRDefault="00FB04CE" w:rsidP="00FB04CE">
      <w:bookmarkStart w:id="72" w:name="_Ref45567234"/>
      <w:r>
        <w:t xml:space="preserve">Table </w:t>
      </w:r>
      <w:fldSimple w:instr=" SEQ Table \* ARABIC ">
        <w:r w:rsidR="00A952A2">
          <w:rPr>
            <w:noProof/>
          </w:rPr>
          <w:t>2</w:t>
        </w:r>
      </w:fldSimple>
      <w:bookmarkEnd w:id="72"/>
      <w:r>
        <w:t>.</w:t>
      </w:r>
      <w:r w:rsidRPr="00DD4B49">
        <w:t xml:space="preserve"> </w:t>
      </w:r>
      <w:r w:rsidRPr="004D761F">
        <w:t>Summary of Australian recalls associated with fresh and minimally processed horticultural produce (2011-2</w:t>
      </w:r>
      <w:r>
        <w:t>020)</w:t>
      </w:r>
    </w:p>
    <w:p w14:paraId="314234CB" w14:textId="77777777" w:rsidR="00FB04CE" w:rsidRDefault="00FB04CE" w:rsidP="00FB04CE"/>
    <w:tbl>
      <w:tblPr>
        <w:tblStyle w:val="TableGrid"/>
        <w:tblW w:w="8931" w:type="dxa"/>
        <w:tblInd w:w="-5" w:type="dxa"/>
        <w:tblLook w:val="04A0" w:firstRow="1" w:lastRow="0" w:firstColumn="1" w:lastColumn="0" w:noHBand="0" w:noVBand="1"/>
        <w:tblCaption w:val="Table 2. Summary of Australian recalls associated with fresh and minimally processed horticultural produce (2011-2020)"/>
      </w:tblPr>
      <w:tblGrid>
        <w:gridCol w:w="2397"/>
        <w:gridCol w:w="2139"/>
        <w:gridCol w:w="709"/>
        <w:gridCol w:w="1418"/>
        <w:gridCol w:w="2268"/>
      </w:tblGrid>
      <w:tr w:rsidR="00FB04CE" w:rsidRPr="000A3447" w14:paraId="2BF79705" w14:textId="77777777" w:rsidTr="00837C34">
        <w:trPr>
          <w:cantSplit/>
          <w:tblHeader/>
        </w:trPr>
        <w:tc>
          <w:tcPr>
            <w:tcW w:w="2397" w:type="dxa"/>
            <w:shd w:val="clear" w:color="auto" w:fill="C6D9F1" w:themeFill="text2" w:themeFillTint="33"/>
          </w:tcPr>
          <w:p w14:paraId="53F02CBB" w14:textId="77777777" w:rsidR="00FB04CE" w:rsidRPr="00CB0289" w:rsidRDefault="00FB04CE" w:rsidP="00837C34">
            <w:pPr>
              <w:rPr>
                <w:rFonts w:cs="Arial"/>
                <w:b/>
                <w:sz w:val="20"/>
                <w:szCs w:val="20"/>
              </w:rPr>
            </w:pPr>
            <w:r w:rsidRPr="00CB0289">
              <w:rPr>
                <w:rFonts w:cs="Arial"/>
                <w:b/>
                <w:sz w:val="20"/>
                <w:szCs w:val="20"/>
              </w:rPr>
              <w:t>Commodity</w:t>
            </w:r>
          </w:p>
        </w:tc>
        <w:tc>
          <w:tcPr>
            <w:tcW w:w="2139" w:type="dxa"/>
            <w:shd w:val="clear" w:color="auto" w:fill="C6D9F1" w:themeFill="text2" w:themeFillTint="33"/>
          </w:tcPr>
          <w:p w14:paraId="3FF0EBBC" w14:textId="77777777" w:rsidR="00FB04CE" w:rsidRPr="00CB0289" w:rsidRDefault="00FB04CE" w:rsidP="00837C34">
            <w:pPr>
              <w:rPr>
                <w:rFonts w:cs="Arial"/>
                <w:b/>
                <w:sz w:val="20"/>
                <w:szCs w:val="20"/>
              </w:rPr>
            </w:pPr>
            <w:r w:rsidRPr="00CB0289">
              <w:rPr>
                <w:rFonts w:cs="Arial"/>
                <w:b/>
                <w:sz w:val="20"/>
                <w:szCs w:val="20"/>
              </w:rPr>
              <w:t>Microbial contaminant</w:t>
            </w:r>
          </w:p>
        </w:tc>
        <w:tc>
          <w:tcPr>
            <w:tcW w:w="709" w:type="dxa"/>
            <w:shd w:val="clear" w:color="auto" w:fill="C6D9F1" w:themeFill="text2" w:themeFillTint="33"/>
          </w:tcPr>
          <w:p w14:paraId="1890510F" w14:textId="77777777" w:rsidR="00FB04CE" w:rsidRPr="00CB0289" w:rsidRDefault="00FB04CE" w:rsidP="00837C34">
            <w:pPr>
              <w:rPr>
                <w:rFonts w:cs="Arial"/>
                <w:b/>
                <w:sz w:val="20"/>
                <w:szCs w:val="20"/>
              </w:rPr>
            </w:pPr>
            <w:r w:rsidRPr="00CB0289">
              <w:rPr>
                <w:rFonts w:cs="Arial"/>
                <w:b/>
                <w:sz w:val="20"/>
                <w:szCs w:val="20"/>
              </w:rPr>
              <w:t>Year</w:t>
            </w:r>
          </w:p>
        </w:tc>
        <w:tc>
          <w:tcPr>
            <w:tcW w:w="1418" w:type="dxa"/>
            <w:shd w:val="clear" w:color="auto" w:fill="C6D9F1" w:themeFill="text2" w:themeFillTint="33"/>
          </w:tcPr>
          <w:p w14:paraId="7382640B" w14:textId="77777777" w:rsidR="00FB04CE" w:rsidRPr="00CB0289" w:rsidRDefault="00FB04CE" w:rsidP="00837C34">
            <w:pPr>
              <w:rPr>
                <w:rFonts w:cs="Arial"/>
                <w:b/>
                <w:sz w:val="20"/>
                <w:szCs w:val="20"/>
              </w:rPr>
            </w:pPr>
            <w:r w:rsidRPr="00CB0289">
              <w:rPr>
                <w:rFonts w:cs="Arial"/>
                <w:b/>
                <w:sz w:val="20"/>
                <w:szCs w:val="20"/>
              </w:rPr>
              <w:t>Imported or domestic</w:t>
            </w:r>
          </w:p>
        </w:tc>
        <w:tc>
          <w:tcPr>
            <w:tcW w:w="2268" w:type="dxa"/>
            <w:shd w:val="clear" w:color="auto" w:fill="C6D9F1" w:themeFill="text2" w:themeFillTint="33"/>
          </w:tcPr>
          <w:p w14:paraId="6C44F1A7" w14:textId="77777777" w:rsidR="00FB04CE" w:rsidRPr="00CB0289" w:rsidRDefault="00FB04CE" w:rsidP="00837C34">
            <w:pPr>
              <w:rPr>
                <w:rFonts w:cs="Arial"/>
                <w:b/>
                <w:sz w:val="20"/>
                <w:szCs w:val="20"/>
              </w:rPr>
            </w:pPr>
            <w:r w:rsidRPr="00CB0289">
              <w:rPr>
                <w:rFonts w:cs="Arial"/>
                <w:b/>
                <w:sz w:val="20"/>
                <w:szCs w:val="20"/>
              </w:rPr>
              <w:t>Associated with an Australian outbreak</w:t>
            </w:r>
            <w:r w:rsidRPr="00CB0289">
              <w:rPr>
                <w:rStyle w:val="FootnoteReference"/>
                <w:rFonts w:cs="Arial"/>
                <w:b/>
                <w:sz w:val="20"/>
                <w:szCs w:val="20"/>
              </w:rPr>
              <w:footnoteReference w:id="7"/>
            </w:r>
          </w:p>
        </w:tc>
      </w:tr>
      <w:tr w:rsidR="00FB04CE" w:rsidRPr="000A3447" w14:paraId="6954893D" w14:textId="77777777" w:rsidTr="00837C34">
        <w:tc>
          <w:tcPr>
            <w:tcW w:w="8931" w:type="dxa"/>
            <w:gridSpan w:val="5"/>
          </w:tcPr>
          <w:p w14:paraId="54695E53" w14:textId="77777777" w:rsidR="00FB04CE" w:rsidRPr="00CB0289" w:rsidRDefault="00FB04CE" w:rsidP="00837C34">
            <w:pPr>
              <w:rPr>
                <w:rFonts w:cs="Arial"/>
                <w:b/>
                <w:sz w:val="20"/>
                <w:szCs w:val="20"/>
              </w:rPr>
            </w:pPr>
          </w:p>
        </w:tc>
      </w:tr>
      <w:tr w:rsidR="00FB04CE" w:rsidRPr="000A3447" w14:paraId="0F026676" w14:textId="77777777" w:rsidTr="00837C34">
        <w:tc>
          <w:tcPr>
            <w:tcW w:w="8931" w:type="dxa"/>
            <w:gridSpan w:val="5"/>
            <w:shd w:val="clear" w:color="auto" w:fill="C6D9F1" w:themeFill="text2" w:themeFillTint="33"/>
          </w:tcPr>
          <w:p w14:paraId="6B21E95C" w14:textId="77777777" w:rsidR="00FB04CE" w:rsidRPr="00CB0289" w:rsidRDefault="00FB04CE" w:rsidP="00837C34">
            <w:pPr>
              <w:rPr>
                <w:rFonts w:cs="Arial"/>
                <w:sz w:val="20"/>
                <w:szCs w:val="20"/>
              </w:rPr>
            </w:pPr>
            <w:r w:rsidRPr="00CB0289">
              <w:rPr>
                <w:rFonts w:cs="Arial"/>
                <w:sz w:val="20"/>
                <w:szCs w:val="20"/>
              </w:rPr>
              <w:t>Leafy vegetables</w:t>
            </w:r>
          </w:p>
        </w:tc>
      </w:tr>
      <w:tr w:rsidR="00FB04CE" w:rsidRPr="000A3447" w14:paraId="3F088AD9" w14:textId="77777777" w:rsidTr="00837C34">
        <w:tc>
          <w:tcPr>
            <w:tcW w:w="2397" w:type="dxa"/>
            <w:shd w:val="clear" w:color="auto" w:fill="auto"/>
          </w:tcPr>
          <w:p w14:paraId="6A21700A" w14:textId="77777777" w:rsidR="00FB04CE" w:rsidRPr="00CB0289" w:rsidRDefault="00FB04CE" w:rsidP="00837C34">
            <w:pPr>
              <w:rPr>
                <w:rFonts w:cs="Arial"/>
                <w:sz w:val="20"/>
                <w:szCs w:val="20"/>
              </w:rPr>
            </w:pPr>
            <w:r w:rsidRPr="00CB0289">
              <w:rPr>
                <w:rFonts w:cs="Arial"/>
                <w:sz w:val="20"/>
                <w:szCs w:val="20"/>
              </w:rPr>
              <w:t>Pre-packaged salad leaves</w:t>
            </w:r>
          </w:p>
        </w:tc>
        <w:tc>
          <w:tcPr>
            <w:tcW w:w="2139" w:type="dxa"/>
          </w:tcPr>
          <w:p w14:paraId="1FD43229" w14:textId="77777777" w:rsidR="00FB04CE" w:rsidRPr="00CB0289" w:rsidRDefault="00FB04CE" w:rsidP="00837C34">
            <w:pPr>
              <w:rPr>
                <w:rFonts w:cs="Arial"/>
                <w:i/>
                <w:sz w:val="20"/>
                <w:szCs w:val="20"/>
              </w:rPr>
            </w:pPr>
            <w:r w:rsidRPr="00CB0289">
              <w:rPr>
                <w:rFonts w:cs="Arial"/>
                <w:i/>
                <w:sz w:val="20"/>
                <w:szCs w:val="20"/>
              </w:rPr>
              <w:t>Salmonella</w:t>
            </w:r>
          </w:p>
        </w:tc>
        <w:tc>
          <w:tcPr>
            <w:tcW w:w="709" w:type="dxa"/>
          </w:tcPr>
          <w:p w14:paraId="2A951268" w14:textId="77777777" w:rsidR="00FB04CE" w:rsidRPr="00CB0289" w:rsidRDefault="00FB04CE" w:rsidP="00837C34">
            <w:pPr>
              <w:rPr>
                <w:rFonts w:cs="Arial"/>
                <w:sz w:val="20"/>
                <w:szCs w:val="20"/>
              </w:rPr>
            </w:pPr>
            <w:r w:rsidRPr="00CB0289">
              <w:rPr>
                <w:rFonts w:cs="Arial"/>
                <w:sz w:val="20"/>
                <w:szCs w:val="20"/>
              </w:rPr>
              <w:t>2016</w:t>
            </w:r>
          </w:p>
        </w:tc>
        <w:tc>
          <w:tcPr>
            <w:tcW w:w="1418" w:type="dxa"/>
          </w:tcPr>
          <w:p w14:paraId="33EFEC82" w14:textId="77777777" w:rsidR="00FB04CE" w:rsidRPr="00CB0289" w:rsidRDefault="00FB04CE" w:rsidP="00837C34">
            <w:pPr>
              <w:rPr>
                <w:rFonts w:cs="Arial"/>
                <w:sz w:val="20"/>
                <w:szCs w:val="20"/>
              </w:rPr>
            </w:pPr>
            <w:r w:rsidRPr="00CB0289">
              <w:rPr>
                <w:rFonts w:cs="Arial"/>
                <w:sz w:val="20"/>
                <w:szCs w:val="20"/>
              </w:rPr>
              <w:t>Domestic</w:t>
            </w:r>
          </w:p>
        </w:tc>
        <w:tc>
          <w:tcPr>
            <w:tcW w:w="2268" w:type="dxa"/>
          </w:tcPr>
          <w:p w14:paraId="16511112" w14:textId="77777777" w:rsidR="00FB04CE" w:rsidRPr="00CB0289" w:rsidRDefault="00FB04CE" w:rsidP="00837C34">
            <w:pPr>
              <w:rPr>
                <w:rFonts w:cs="Arial"/>
                <w:sz w:val="20"/>
                <w:szCs w:val="20"/>
              </w:rPr>
            </w:pPr>
            <w:r>
              <w:rPr>
                <w:rFonts w:cs="Arial"/>
                <w:sz w:val="20"/>
                <w:szCs w:val="20"/>
              </w:rPr>
              <w:t>Yes, outbreak no. </w:t>
            </w:r>
            <w:r w:rsidRPr="00CB0289">
              <w:rPr>
                <w:rFonts w:cs="Arial"/>
                <w:sz w:val="20"/>
                <w:szCs w:val="20"/>
              </w:rPr>
              <w:t>3</w:t>
            </w:r>
          </w:p>
        </w:tc>
      </w:tr>
      <w:tr w:rsidR="00FB04CE" w:rsidRPr="000A3447" w14:paraId="62A13CD7" w14:textId="77777777" w:rsidTr="00837C34">
        <w:tc>
          <w:tcPr>
            <w:tcW w:w="2397" w:type="dxa"/>
            <w:shd w:val="clear" w:color="auto" w:fill="auto"/>
          </w:tcPr>
          <w:p w14:paraId="45C38039" w14:textId="77777777" w:rsidR="00FB04CE" w:rsidRPr="00CB0289" w:rsidRDefault="00FB04CE" w:rsidP="00837C34">
            <w:pPr>
              <w:rPr>
                <w:rFonts w:cs="Arial"/>
                <w:sz w:val="20"/>
                <w:szCs w:val="20"/>
              </w:rPr>
            </w:pPr>
            <w:r w:rsidRPr="00CB0289">
              <w:rPr>
                <w:rFonts w:cs="Arial"/>
                <w:sz w:val="20"/>
                <w:szCs w:val="20"/>
              </w:rPr>
              <w:t xml:space="preserve">Loose baby spinach and mesculin lettuce </w:t>
            </w:r>
          </w:p>
        </w:tc>
        <w:tc>
          <w:tcPr>
            <w:tcW w:w="2139" w:type="dxa"/>
          </w:tcPr>
          <w:p w14:paraId="781AD8EE" w14:textId="77777777" w:rsidR="00FB04CE" w:rsidRPr="00CB0289" w:rsidRDefault="00FB04CE" w:rsidP="00837C34">
            <w:pPr>
              <w:rPr>
                <w:rFonts w:cs="Arial"/>
                <w:i/>
                <w:sz w:val="20"/>
                <w:szCs w:val="20"/>
              </w:rPr>
            </w:pPr>
            <w:r w:rsidRPr="00CB0289">
              <w:rPr>
                <w:rFonts w:cs="Arial"/>
                <w:i/>
                <w:sz w:val="20"/>
                <w:szCs w:val="20"/>
              </w:rPr>
              <w:t>Salmonella</w:t>
            </w:r>
          </w:p>
        </w:tc>
        <w:tc>
          <w:tcPr>
            <w:tcW w:w="709" w:type="dxa"/>
          </w:tcPr>
          <w:p w14:paraId="39011494" w14:textId="77777777" w:rsidR="00FB04CE" w:rsidRPr="00CB0289" w:rsidRDefault="00FB04CE" w:rsidP="00837C34">
            <w:pPr>
              <w:rPr>
                <w:rFonts w:cs="Arial"/>
                <w:sz w:val="20"/>
                <w:szCs w:val="20"/>
              </w:rPr>
            </w:pPr>
            <w:r w:rsidRPr="00CB0289">
              <w:rPr>
                <w:rFonts w:cs="Arial"/>
                <w:sz w:val="20"/>
                <w:szCs w:val="20"/>
              </w:rPr>
              <w:t>2016</w:t>
            </w:r>
          </w:p>
        </w:tc>
        <w:tc>
          <w:tcPr>
            <w:tcW w:w="1418" w:type="dxa"/>
          </w:tcPr>
          <w:p w14:paraId="797F3DD1" w14:textId="77777777" w:rsidR="00FB04CE" w:rsidRPr="00CB0289" w:rsidRDefault="00FB04CE" w:rsidP="00837C34">
            <w:pPr>
              <w:rPr>
                <w:rFonts w:cs="Arial"/>
                <w:sz w:val="20"/>
                <w:szCs w:val="20"/>
              </w:rPr>
            </w:pPr>
            <w:r w:rsidRPr="00CB0289">
              <w:rPr>
                <w:rFonts w:cs="Arial"/>
                <w:sz w:val="20"/>
                <w:szCs w:val="20"/>
              </w:rPr>
              <w:t>Domestic</w:t>
            </w:r>
          </w:p>
        </w:tc>
        <w:tc>
          <w:tcPr>
            <w:tcW w:w="2268" w:type="dxa"/>
          </w:tcPr>
          <w:p w14:paraId="217362C7" w14:textId="77777777" w:rsidR="00FB04CE" w:rsidRPr="00CB0289" w:rsidRDefault="00FB04CE" w:rsidP="00837C34">
            <w:pPr>
              <w:rPr>
                <w:rFonts w:cs="Arial"/>
                <w:sz w:val="20"/>
                <w:szCs w:val="20"/>
              </w:rPr>
            </w:pPr>
            <w:r>
              <w:rPr>
                <w:rFonts w:cs="Arial"/>
                <w:sz w:val="20"/>
                <w:szCs w:val="20"/>
              </w:rPr>
              <w:t>Yes, outbreak no. </w:t>
            </w:r>
            <w:r w:rsidRPr="00CB0289">
              <w:rPr>
                <w:rFonts w:cs="Arial"/>
                <w:sz w:val="20"/>
                <w:szCs w:val="20"/>
              </w:rPr>
              <w:t>3</w:t>
            </w:r>
          </w:p>
        </w:tc>
      </w:tr>
      <w:tr w:rsidR="00FB04CE" w:rsidRPr="000A3447" w14:paraId="402B6E6A" w14:textId="77777777" w:rsidTr="00837C34">
        <w:tc>
          <w:tcPr>
            <w:tcW w:w="2397" w:type="dxa"/>
            <w:shd w:val="clear" w:color="auto" w:fill="auto"/>
          </w:tcPr>
          <w:p w14:paraId="5EA7E80F" w14:textId="77777777" w:rsidR="00FB04CE" w:rsidRPr="00CB0289" w:rsidRDefault="00FB04CE" w:rsidP="00837C34">
            <w:pPr>
              <w:rPr>
                <w:rFonts w:cs="Arial"/>
                <w:sz w:val="20"/>
                <w:szCs w:val="20"/>
              </w:rPr>
            </w:pPr>
            <w:r w:rsidRPr="00CB0289">
              <w:rPr>
                <w:rFonts w:cs="Arial"/>
                <w:sz w:val="20"/>
                <w:szCs w:val="20"/>
              </w:rPr>
              <w:t>Various leafy vegetables</w:t>
            </w:r>
          </w:p>
        </w:tc>
        <w:tc>
          <w:tcPr>
            <w:tcW w:w="2139" w:type="dxa"/>
          </w:tcPr>
          <w:p w14:paraId="6A7E6D20" w14:textId="77777777" w:rsidR="00FB04CE" w:rsidRPr="00CB0289" w:rsidRDefault="00FB04CE" w:rsidP="00837C34">
            <w:pPr>
              <w:rPr>
                <w:rFonts w:cs="Arial"/>
                <w:i/>
                <w:sz w:val="20"/>
                <w:szCs w:val="20"/>
              </w:rPr>
            </w:pPr>
            <w:r w:rsidRPr="00CB0289">
              <w:rPr>
                <w:rFonts w:cs="Arial"/>
                <w:i/>
                <w:sz w:val="20"/>
                <w:szCs w:val="20"/>
              </w:rPr>
              <w:t>Salmonella</w:t>
            </w:r>
          </w:p>
        </w:tc>
        <w:tc>
          <w:tcPr>
            <w:tcW w:w="709" w:type="dxa"/>
          </w:tcPr>
          <w:p w14:paraId="0F2D5120" w14:textId="77777777" w:rsidR="00FB04CE" w:rsidRPr="00CB0289" w:rsidRDefault="00FB04CE" w:rsidP="00837C34">
            <w:pPr>
              <w:rPr>
                <w:rFonts w:cs="Arial"/>
                <w:sz w:val="20"/>
                <w:szCs w:val="20"/>
              </w:rPr>
            </w:pPr>
            <w:r w:rsidRPr="00CB0289">
              <w:rPr>
                <w:rFonts w:cs="Arial"/>
                <w:sz w:val="20"/>
                <w:szCs w:val="20"/>
              </w:rPr>
              <w:t>2020</w:t>
            </w:r>
          </w:p>
        </w:tc>
        <w:tc>
          <w:tcPr>
            <w:tcW w:w="1418" w:type="dxa"/>
          </w:tcPr>
          <w:p w14:paraId="588DECB3" w14:textId="77777777" w:rsidR="00FB04CE" w:rsidRPr="00CB0289" w:rsidRDefault="00FB04CE" w:rsidP="00837C34">
            <w:pPr>
              <w:rPr>
                <w:rFonts w:cs="Arial"/>
                <w:sz w:val="20"/>
                <w:szCs w:val="20"/>
              </w:rPr>
            </w:pPr>
            <w:r w:rsidRPr="00CB0289">
              <w:rPr>
                <w:rFonts w:cs="Arial"/>
                <w:sz w:val="20"/>
                <w:szCs w:val="20"/>
              </w:rPr>
              <w:t>Domestic</w:t>
            </w:r>
          </w:p>
        </w:tc>
        <w:tc>
          <w:tcPr>
            <w:tcW w:w="2268" w:type="dxa"/>
          </w:tcPr>
          <w:p w14:paraId="57BE7215" w14:textId="77777777" w:rsidR="00FB04CE" w:rsidRPr="00CB0289" w:rsidRDefault="00FB04CE" w:rsidP="00837C34">
            <w:pPr>
              <w:rPr>
                <w:rFonts w:cs="Arial"/>
                <w:sz w:val="20"/>
                <w:szCs w:val="20"/>
              </w:rPr>
            </w:pPr>
            <w:r w:rsidRPr="00CB0289">
              <w:rPr>
                <w:rFonts w:cs="Arial"/>
                <w:sz w:val="20"/>
                <w:szCs w:val="20"/>
              </w:rPr>
              <w:t>No</w:t>
            </w:r>
          </w:p>
        </w:tc>
      </w:tr>
      <w:tr w:rsidR="00FB04CE" w:rsidRPr="000A3447" w14:paraId="3B7740E0" w14:textId="77777777" w:rsidTr="00837C34">
        <w:tc>
          <w:tcPr>
            <w:tcW w:w="8931" w:type="dxa"/>
            <w:gridSpan w:val="5"/>
          </w:tcPr>
          <w:p w14:paraId="5D37A9BB" w14:textId="77777777" w:rsidR="00FB04CE" w:rsidRPr="00CB0289" w:rsidRDefault="00FB04CE" w:rsidP="00837C34">
            <w:pPr>
              <w:rPr>
                <w:rFonts w:cs="Arial"/>
                <w:sz w:val="20"/>
                <w:szCs w:val="20"/>
              </w:rPr>
            </w:pPr>
          </w:p>
        </w:tc>
      </w:tr>
      <w:tr w:rsidR="00FB04CE" w:rsidRPr="000A3447" w14:paraId="5BAC3805" w14:textId="77777777" w:rsidTr="00837C34">
        <w:tc>
          <w:tcPr>
            <w:tcW w:w="8931" w:type="dxa"/>
            <w:gridSpan w:val="5"/>
            <w:shd w:val="clear" w:color="auto" w:fill="C6D9F1" w:themeFill="text2" w:themeFillTint="33"/>
          </w:tcPr>
          <w:p w14:paraId="6900B853" w14:textId="77777777" w:rsidR="00FB04CE" w:rsidRPr="00CB0289" w:rsidRDefault="00FB04CE" w:rsidP="00837C34">
            <w:pPr>
              <w:rPr>
                <w:rFonts w:cs="Arial"/>
                <w:sz w:val="20"/>
                <w:szCs w:val="20"/>
              </w:rPr>
            </w:pPr>
            <w:r w:rsidRPr="00CB0289">
              <w:rPr>
                <w:rFonts w:cs="Arial"/>
                <w:sz w:val="20"/>
                <w:szCs w:val="20"/>
              </w:rPr>
              <w:t>Sprouts</w:t>
            </w:r>
          </w:p>
        </w:tc>
      </w:tr>
      <w:tr w:rsidR="00FB04CE" w:rsidRPr="000A3447" w14:paraId="6957B7A9" w14:textId="77777777" w:rsidTr="00837C34">
        <w:tc>
          <w:tcPr>
            <w:tcW w:w="2397" w:type="dxa"/>
          </w:tcPr>
          <w:p w14:paraId="78EDF8EC" w14:textId="77777777" w:rsidR="00FB04CE" w:rsidRPr="00CB0289" w:rsidRDefault="00FB04CE" w:rsidP="00837C34">
            <w:pPr>
              <w:rPr>
                <w:rFonts w:cs="Arial"/>
                <w:sz w:val="20"/>
                <w:szCs w:val="20"/>
              </w:rPr>
            </w:pPr>
            <w:r w:rsidRPr="00CB0289">
              <w:rPr>
                <w:rFonts w:cs="Arial"/>
                <w:sz w:val="20"/>
                <w:szCs w:val="20"/>
              </w:rPr>
              <w:t>Sprouts (various)</w:t>
            </w:r>
          </w:p>
        </w:tc>
        <w:tc>
          <w:tcPr>
            <w:tcW w:w="2139" w:type="dxa"/>
          </w:tcPr>
          <w:p w14:paraId="5C735F28" w14:textId="77777777" w:rsidR="00FB04CE" w:rsidRPr="00CB0289" w:rsidRDefault="00FB04CE" w:rsidP="00837C34">
            <w:pPr>
              <w:rPr>
                <w:rFonts w:cs="Arial"/>
                <w:i/>
                <w:sz w:val="20"/>
                <w:szCs w:val="20"/>
              </w:rPr>
            </w:pPr>
            <w:r w:rsidRPr="00CB0289">
              <w:rPr>
                <w:rFonts w:cs="Arial"/>
                <w:i/>
                <w:sz w:val="20"/>
                <w:szCs w:val="20"/>
              </w:rPr>
              <w:t xml:space="preserve">E. coli </w:t>
            </w:r>
          </w:p>
        </w:tc>
        <w:tc>
          <w:tcPr>
            <w:tcW w:w="709" w:type="dxa"/>
          </w:tcPr>
          <w:p w14:paraId="51167140" w14:textId="77777777" w:rsidR="00FB04CE" w:rsidRPr="00CB0289" w:rsidRDefault="00FB04CE" w:rsidP="00837C34">
            <w:pPr>
              <w:rPr>
                <w:rFonts w:cs="Arial"/>
                <w:sz w:val="20"/>
                <w:szCs w:val="20"/>
              </w:rPr>
            </w:pPr>
            <w:r w:rsidRPr="00CB0289">
              <w:rPr>
                <w:rFonts w:cs="Arial"/>
                <w:sz w:val="20"/>
                <w:szCs w:val="20"/>
              </w:rPr>
              <w:t>2011</w:t>
            </w:r>
          </w:p>
        </w:tc>
        <w:tc>
          <w:tcPr>
            <w:tcW w:w="1418" w:type="dxa"/>
          </w:tcPr>
          <w:p w14:paraId="6503776B" w14:textId="77777777" w:rsidR="00FB04CE" w:rsidRPr="00CB0289" w:rsidRDefault="00FB04CE" w:rsidP="00837C34">
            <w:pPr>
              <w:rPr>
                <w:rFonts w:cs="Arial"/>
                <w:sz w:val="20"/>
                <w:szCs w:val="20"/>
              </w:rPr>
            </w:pPr>
            <w:r w:rsidRPr="00CB0289">
              <w:rPr>
                <w:rFonts w:cs="Arial"/>
                <w:sz w:val="20"/>
                <w:szCs w:val="20"/>
              </w:rPr>
              <w:t>Domestic</w:t>
            </w:r>
          </w:p>
        </w:tc>
        <w:tc>
          <w:tcPr>
            <w:tcW w:w="2268" w:type="dxa"/>
          </w:tcPr>
          <w:p w14:paraId="51093589" w14:textId="77777777" w:rsidR="00FB04CE" w:rsidRPr="00CB0289" w:rsidRDefault="00FB04CE" w:rsidP="00837C34">
            <w:pPr>
              <w:rPr>
                <w:rFonts w:cs="Arial"/>
                <w:sz w:val="20"/>
                <w:szCs w:val="20"/>
              </w:rPr>
            </w:pPr>
            <w:r w:rsidRPr="00CB0289">
              <w:rPr>
                <w:rFonts w:cs="Arial"/>
                <w:sz w:val="20"/>
                <w:szCs w:val="20"/>
              </w:rPr>
              <w:t>No</w:t>
            </w:r>
          </w:p>
        </w:tc>
      </w:tr>
      <w:tr w:rsidR="00FB04CE" w:rsidRPr="000A3447" w14:paraId="0E5394F6" w14:textId="77777777" w:rsidTr="00837C34">
        <w:tc>
          <w:tcPr>
            <w:tcW w:w="2397" w:type="dxa"/>
            <w:shd w:val="clear" w:color="auto" w:fill="auto"/>
          </w:tcPr>
          <w:p w14:paraId="652DC800" w14:textId="77777777" w:rsidR="00FB04CE" w:rsidRPr="00CB0289" w:rsidRDefault="00FB04CE" w:rsidP="00837C34">
            <w:pPr>
              <w:rPr>
                <w:rFonts w:cs="Arial"/>
                <w:sz w:val="20"/>
                <w:szCs w:val="20"/>
              </w:rPr>
            </w:pPr>
            <w:r w:rsidRPr="00CB0289">
              <w:rPr>
                <w:rFonts w:cs="Arial"/>
                <w:sz w:val="20"/>
                <w:szCs w:val="20"/>
              </w:rPr>
              <w:t>Alfalfa sprouts</w:t>
            </w:r>
          </w:p>
        </w:tc>
        <w:tc>
          <w:tcPr>
            <w:tcW w:w="2139" w:type="dxa"/>
          </w:tcPr>
          <w:p w14:paraId="285EA0A3" w14:textId="77777777" w:rsidR="00FB04CE" w:rsidRPr="00CB0289" w:rsidRDefault="00FB04CE" w:rsidP="00837C34">
            <w:pPr>
              <w:rPr>
                <w:rFonts w:cs="Arial"/>
                <w:i/>
                <w:sz w:val="20"/>
                <w:szCs w:val="20"/>
              </w:rPr>
            </w:pPr>
            <w:r w:rsidRPr="00CB0289">
              <w:rPr>
                <w:rFonts w:cs="Arial"/>
                <w:i/>
                <w:sz w:val="20"/>
                <w:szCs w:val="20"/>
              </w:rPr>
              <w:t xml:space="preserve">E. coli </w:t>
            </w:r>
          </w:p>
        </w:tc>
        <w:tc>
          <w:tcPr>
            <w:tcW w:w="709" w:type="dxa"/>
          </w:tcPr>
          <w:p w14:paraId="514551A0" w14:textId="77777777" w:rsidR="00FB04CE" w:rsidRPr="00CB0289" w:rsidRDefault="00FB04CE" w:rsidP="00837C34">
            <w:pPr>
              <w:rPr>
                <w:rFonts w:cs="Arial"/>
                <w:sz w:val="20"/>
                <w:szCs w:val="20"/>
              </w:rPr>
            </w:pPr>
            <w:r w:rsidRPr="00CB0289">
              <w:rPr>
                <w:rFonts w:cs="Arial"/>
                <w:sz w:val="20"/>
                <w:szCs w:val="20"/>
              </w:rPr>
              <w:t>2012</w:t>
            </w:r>
          </w:p>
        </w:tc>
        <w:tc>
          <w:tcPr>
            <w:tcW w:w="1418" w:type="dxa"/>
          </w:tcPr>
          <w:p w14:paraId="6B593ABE" w14:textId="77777777" w:rsidR="00FB04CE" w:rsidRPr="00CB0289" w:rsidRDefault="00FB04CE" w:rsidP="00837C34">
            <w:pPr>
              <w:rPr>
                <w:rFonts w:cs="Arial"/>
                <w:sz w:val="20"/>
                <w:szCs w:val="20"/>
              </w:rPr>
            </w:pPr>
            <w:r w:rsidRPr="00CB0289">
              <w:rPr>
                <w:rFonts w:cs="Arial"/>
                <w:sz w:val="20"/>
                <w:szCs w:val="20"/>
              </w:rPr>
              <w:t>Domestic</w:t>
            </w:r>
          </w:p>
        </w:tc>
        <w:tc>
          <w:tcPr>
            <w:tcW w:w="2268" w:type="dxa"/>
          </w:tcPr>
          <w:p w14:paraId="592F8023" w14:textId="77777777" w:rsidR="00FB04CE" w:rsidRPr="00CB0289" w:rsidRDefault="00FB04CE" w:rsidP="00837C34">
            <w:pPr>
              <w:rPr>
                <w:rFonts w:cs="Arial"/>
                <w:sz w:val="20"/>
                <w:szCs w:val="20"/>
              </w:rPr>
            </w:pPr>
            <w:r w:rsidRPr="00CB0289">
              <w:rPr>
                <w:rFonts w:cs="Arial"/>
                <w:sz w:val="20"/>
                <w:szCs w:val="20"/>
              </w:rPr>
              <w:t>No</w:t>
            </w:r>
          </w:p>
        </w:tc>
      </w:tr>
      <w:tr w:rsidR="00FB04CE" w:rsidRPr="000A3447" w14:paraId="53D246B3" w14:textId="77777777" w:rsidTr="00837C34">
        <w:tc>
          <w:tcPr>
            <w:tcW w:w="2397" w:type="dxa"/>
            <w:shd w:val="clear" w:color="auto" w:fill="auto"/>
          </w:tcPr>
          <w:p w14:paraId="37865777" w14:textId="77777777" w:rsidR="00FB04CE" w:rsidRPr="00CB0289" w:rsidRDefault="00FB04CE" w:rsidP="00837C34">
            <w:pPr>
              <w:rPr>
                <w:rFonts w:cs="Arial"/>
                <w:sz w:val="20"/>
                <w:szCs w:val="20"/>
              </w:rPr>
            </w:pPr>
            <w:r w:rsidRPr="00CB0289">
              <w:rPr>
                <w:rFonts w:cs="Arial"/>
                <w:sz w:val="20"/>
                <w:szCs w:val="20"/>
              </w:rPr>
              <w:t>Mung Bean sprouts</w:t>
            </w:r>
          </w:p>
        </w:tc>
        <w:tc>
          <w:tcPr>
            <w:tcW w:w="2139" w:type="dxa"/>
          </w:tcPr>
          <w:p w14:paraId="37D64F9D" w14:textId="77777777" w:rsidR="00FB04CE" w:rsidRPr="00CB0289" w:rsidRDefault="00FB04CE" w:rsidP="00837C34">
            <w:pPr>
              <w:rPr>
                <w:rFonts w:cs="Arial"/>
                <w:i/>
                <w:sz w:val="20"/>
                <w:szCs w:val="20"/>
              </w:rPr>
            </w:pPr>
            <w:r w:rsidRPr="00CB0289">
              <w:rPr>
                <w:rFonts w:cs="Arial"/>
                <w:i/>
                <w:sz w:val="20"/>
                <w:szCs w:val="20"/>
              </w:rPr>
              <w:t xml:space="preserve">E. coli </w:t>
            </w:r>
          </w:p>
        </w:tc>
        <w:tc>
          <w:tcPr>
            <w:tcW w:w="709" w:type="dxa"/>
          </w:tcPr>
          <w:p w14:paraId="33B91CA4" w14:textId="77777777" w:rsidR="00FB04CE" w:rsidRPr="00CB0289" w:rsidRDefault="00FB04CE" w:rsidP="00837C34">
            <w:pPr>
              <w:rPr>
                <w:rFonts w:cs="Arial"/>
                <w:sz w:val="20"/>
                <w:szCs w:val="20"/>
              </w:rPr>
            </w:pPr>
            <w:r w:rsidRPr="00CB0289">
              <w:rPr>
                <w:rFonts w:cs="Arial"/>
                <w:sz w:val="20"/>
                <w:szCs w:val="20"/>
              </w:rPr>
              <w:t>2012</w:t>
            </w:r>
          </w:p>
        </w:tc>
        <w:tc>
          <w:tcPr>
            <w:tcW w:w="1418" w:type="dxa"/>
          </w:tcPr>
          <w:p w14:paraId="5F8C9AEA" w14:textId="77777777" w:rsidR="00FB04CE" w:rsidRPr="00CB0289" w:rsidRDefault="00FB04CE" w:rsidP="00837C34">
            <w:pPr>
              <w:rPr>
                <w:rFonts w:cs="Arial"/>
                <w:sz w:val="20"/>
                <w:szCs w:val="20"/>
              </w:rPr>
            </w:pPr>
            <w:r w:rsidRPr="00CB0289">
              <w:rPr>
                <w:rFonts w:cs="Arial"/>
                <w:sz w:val="20"/>
                <w:szCs w:val="20"/>
              </w:rPr>
              <w:t>Domestic</w:t>
            </w:r>
          </w:p>
        </w:tc>
        <w:tc>
          <w:tcPr>
            <w:tcW w:w="2268" w:type="dxa"/>
          </w:tcPr>
          <w:p w14:paraId="301FECF5" w14:textId="77777777" w:rsidR="00FB04CE" w:rsidRPr="00CB0289" w:rsidRDefault="00FB04CE" w:rsidP="00837C34">
            <w:pPr>
              <w:rPr>
                <w:rFonts w:cs="Arial"/>
                <w:sz w:val="20"/>
                <w:szCs w:val="20"/>
              </w:rPr>
            </w:pPr>
            <w:r w:rsidRPr="00CB0289">
              <w:rPr>
                <w:rFonts w:cs="Arial"/>
                <w:sz w:val="20"/>
                <w:szCs w:val="20"/>
              </w:rPr>
              <w:t>No</w:t>
            </w:r>
          </w:p>
        </w:tc>
      </w:tr>
      <w:tr w:rsidR="00FB04CE" w:rsidRPr="000A3447" w14:paraId="595E7CAC" w14:textId="77777777" w:rsidTr="00837C34">
        <w:tc>
          <w:tcPr>
            <w:tcW w:w="2397" w:type="dxa"/>
            <w:shd w:val="clear" w:color="auto" w:fill="auto"/>
          </w:tcPr>
          <w:p w14:paraId="44EF16BF" w14:textId="77777777" w:rsidR="00FB04CE" w:rsidRPr="00CB0289" w:rsidRDefault="00FB04CE" w:rsidP="00837C34">
            <w:pPr>
              <w:rPr>
                <w:rFonts w:cs="Arial"/>
                <w:sz w:val="20"/>
                <w:szCs w:val="20"/>
              </w:rPr>
            </w:pPr>
            <w:r w:rsidRPr="00CB0289">
              <w:rPr>
                <w:rFonts w:cs="Arial"/>
                <w:sz w:val="20"/>
                <w:szCs w:val="20"/>
              </w:rPr>
              <w:t>Sprouts salad</w:t>
            </w:r>
          </w:p>
        </w:tc>
        <w:tc>
          <w:tcPr>
            <w:tcW w:w="2139" w:type="dxa"/>
          </w:tcPr>
          <w:p w14:paraId="23486F6F" w14:textId="77777777" w:rsidR="00FB04CE" w:rsidRPr="00CB0289" w:rsidRDefault="00FB04CE" w:rsidP="00837C34">
            <w:pPr>
              <w:rPr>
                <w:rFonts w:cs="Arial"/>
                <w:i/>
                <w:sz w:val="20"/>
                <w:szCs w:val="20"/>
              </w:rPr>
            </w:pPr>
            <w:r w:rsidRPr="00CB0289">
              <w:rPr>
                <w:rFonts w:cs="Arial"/>
                <w:i/>
                <w:sz w:val="20"/>
                <w:szCs w:val="20"/>
              </w:rPr>
              <w:t>Salmonella</w:t>
            </w:r>
          </w:p>
        </w:tc>
        <w:tc>
          <w:tcPr>
            <w:tcW w:w="709" w:type="dxa"/>
          </w:tcPr>
          <w:p w14:paraId="2CE7CB32" w14:textId="77777777" w:rsidR="00FB04CE" w:rsidRPr="00CB0289" w:rsidRDefault="00FB04CE" w:rsidP="00837C34">
            <w:pPr>
              <w:rPr>
                <w:rFonts w:cs="Arial"/>
                <w:sz w:val="20"/>
                <w:szCs w:val="20"/>
              </w:rPr>
            </w:pPr>
            <w:r w:rsidRPr="00CB0289">
              <w:rPr>
                <w:rFonts w:cs="Arial"/>
                <w:sz w:val="20"/>
                <w:szCs w:val="20"/>
              </w:rPr>
              <w:t>2014</w:t>
            </w:r>
          </w:p>
        </w:tc>
        <w:tc>
          <w:tcPr>
            <w:tcW w:w="1418" w:type="dxa"/>
          </w:tcPr>
          <w:p w14:paraId="536AF6C8" w14:textId="77777777" w:rsidR="00FB04CE" w:rsidRPr="00CB0289" w:rsidRDefault="00FB04CE" w:rsidP="00837C34">
            <w:pPr>
              <w:rPr>
                <w:rFonts w:cs="Arial"/>
                <w:sz w:val="20"/>
                <w:szCs w:val="20"/>
              </w:rPr>
            </w:pPr>
            <w:r w:rsidRPr="00CB0289">
              <w:rPr>
                <w:rFonts w:cs="Arial"/>
                <w:sz w:val="20"/>
                <w:szCs w:val="20"/>
              </w:rPr>
              <w:t>Domestic</w:t>
            </w:r>
          </w:p>
        </w:tc>
        <w:tc>
          <w:tcPr>
            <w:tcW w:w="2268" w:type="dxa"/>
          </w:tcPr>
          <w:p w14:paraId="498A4AA5" w14:textId="77777777" w:rsidR="00FB04CE" w:rsidRPr="00CB0289" w:rsidRDefault="00FB04CE" w:rsidP="00837C34">
            <w:pPr>
              <w:rPr>
                <w:rFonts w:cs="Arial"/>
                <w:sz w:val="20"/>
                <w:szCs w:val="20"/>
              </w:rPr>
            </w:pPr>
            <w:r w:rsidRPr="00CB0289">
              <w:rPr>
                <w:rFonts w:cs="Arial"/>
                <w:sz w:val="20"/>
                <w:szCs w:val="20"/>
              </w:rPr>
              <w:t>No</w:t>
            </w:r>
          </w:p>
        </w:tc>
      </w:tr>
      <w:tr w:rsidR="00FB04CE" w:rsidRPr="000A3447" w14:paraId="721C16FC" w14:textId="77777777" w:rsidTr="00837C34">
        <w:tc>
          <w:tcPr>
            <w:tcW w:w="2397" w:type="dxa"/>
            <w:shd w:val="clear" w:color="auto" w:fill="auto"/>
          </w:tcPr>
          <w:p w14:paraId="18E1BF6F" w14:textId="77777777" w:rsidR="00FB04CE" w:rsidRPr="00CB0289" w:rsidRDefault="00FB04CE" w:rsidP="00837C34">
            <w:pPr>
              <w:rPr>
                <w:rFonts w:cs="Arial"/>
                <w:sz w:val="20"/>
                <w:szCs w:val="20"/>
              </w:rPr>
            </w:pPr>
            <w:r w:rsidRPr="00CB0289">
              <w:rPr>
                <w:rFonts w:cs="Arial"/>
                <w:sz w:val="20"/>
                <w:szCs w:val="20"/>
              </w:rPr>
              <w:t>Mung Bean sprouts</w:t>
            </w:r>
          </w:p>
        </w:tc>
        <w:tc>
          <w:tcPr>
            <w:tcW w:w="2139" w:type="dxa"/>
          </w:tcPr>
          <w:p w14:paraId="2779BCD9" w14:textId="77777777" w:rsidR="00FB04CE" w:rsidRPr="00CB0289" w:rsidRDefault="00FB04CE" w:rsidP="00837C34">
            <w:pPr>
              <w:rPr>
                <w:rFonts w:cs="Arial"/>
                <w:i/>
                <w:sz w:val="20"/>
                <w:szCs w:val="20"/>
              </w:rPr>
            </w:pPr>
            <w:r w:rsidRPr="00CB0289">
              <w:rPr>
                <w:rFonts w:cs="Arial"/>
                <w:i/>
                <w:sz w:val="20"/>
                <w:szCs w:val="20"/>
              </w:rPr>
              <w:t xml:space="preserve">Salmonella </w:t>
            </w:r>
            <w:r w:rsidRPr="00CB0289">
              <w:rPr>
                <w:rFonts w:cs="Arial"/>
                <w:sz w:val="20"/>
                <w:szCs w:val="20"/>
              </w:rPr>
              <w:t>Saintpaul</w:t>
            </w:r>
          </w:p>
        </w:tc>
        <w:tc>
          <w:tcPr>
            <w:tcW w:w="709" w:type="dxa"/>
          </w:tcPr>
          <w:p w14:paraId="044E9B2A" w14:textId="77777777" w:rsidR="00FB04CE" w:rsidRPr="00CB0289" w:rsidRDefault="00FB04CE" w:rsidP="00837C34">
            <w:pPr>
              <w:rPr>
                <w:rFonts w:cs="Arial"/>
                <w:sz w:val="20"/>
                <w:szCs w:val="20"/>
              </w:rPr>
            </w:pPr>
            <w:r w:rsidRPr="00CB0289">
              <w:rPr>
                <w:rFonts w:cs="Arial"/>
                <w:sz w:val="20"/>
                <w:szCs w:val="20"/>
              </w:rPr>
              <w:t>2016</w:t>
            </w:r>
          </w:p>
        </w:tc>
        <w:tc>
          <w:tcPr>
            <w:tcW w:w="1418" w:type="dxa"/>
          </w:tcPr>
          <w:p w14:paraId="56A354ED" w14:textId="77777777" w:rsidR="00FB04CE" w:rsidRPr="00CB0289" w:rsidRDefault="00FB04CE" w:rsidP="00837C34">
            <w:pPr>
              <w:rPr>
                <w:rFonts w:cs="Arial"/>
                <w:sz w:val="20"/>
                <w:szCs w:val="20"/>
              </w:rPr>
            </w:pPr>
            <w:r w:rsidRPr="00CB0289">
              <w:rPr>
                <w:rFonts w:cs="Arial"/>
                <w:sz w:val="20"/>
                <w:szCs w:val="20"/>
              </w:rPr>
              <w:t>Domestic</w:t>
            </w:r>
          </w:p>
        </w:tc>
        <w:tc>
          <w:tcPr>
            <w:tcW w:w="2268" w:type="dxa"/>
          </w:tcPr>
          <w:p w14:paraId="52FDEA8D" w14:textId="77777777" w:rsidR="00FB04CE" w:rsidRPr="00CB0289" w:rsidRDefault="00FB04CE" w:rsidP="00837C34">
            <w:pPr>
              <w:rPr>
                <w:rFonts w:cs="Arial"/>
                <w:sz w:val="20"/>
                <w:szCs w:val="20"/>
              </w:rPr>
            </w:pPr>
            <w:r>
              <w:rPr>
                <w:rFonts w:cs="Arial"/>
                <w:sz w:val="20"/>
                <w:szCs w:val="20"/>
              </w:rPr>
              <w:t>Yes, outbreak no. </w:t>
            </w:r>
            <w:r w:rsidRPr="00CB0289">
              <w:rPr>
                <w:rFonts w:cs="Arial"/>
                <w:sz w:val="20"/>
                <w:szCs w:val="20"/>
              </w:rPr>
              <w:t>4</w:t>
            </w:r>
          </w:p>
        </w:tc>
      </w:tr>
      <w:tr w:rsidR="00FB04CE" w:rsidRPr="000A3447" w14:paraId="21877441" w14:textId="77777777" w:rsidTr="00837C34">
        <w:tc>
          <w:tcPr>
            <w:tcW w:w="2397" w:type="dxa"/>
            <w:shd w:val="clear" w:color="auto" w:fill="auto"/>
          </w:tcPr>
          <w:p w14:paraId="3AAAB3BD" w14:textId="77777777" w:rsidR="00FB04CE" w:rsidRPr="00CB0289" w:rsidRDefault="00FB04CE" w:rsidP="00837C34">
            <w:pPr>
              <w:rPr>
                <w:rFonts w:cs="Arial"/>
                <w:sz w:val="20"/>
                <w:szCs w:val="20"/>
              </w:rPr>
            </w:pPr>
            <w:r w:rsidRPr="00CB0289">
              <w:rPr>
                <w:rFonts w:cs="Arial"/>
                <w:sz w:val="20"/>
                <w:szCs w:val="20"/>
              </w:rPr>
              <w:t>Mung Bean sprouts</w:t>
            </w:r>
          </w:p>
        </w:tc>
        <w:tc>
          <w:tcPr>
            <w:tcW w:w="2139" w:type="dxa"/>
          </w:tcPr>
          <w:p w14:paraId="41BE2C9B" w14:textId="77777777" w:rsidR="00FB04CE" w:rsidRPr="00CB0289" w:rsidRDefault="00FB04CE" w:rsidP="00837C34">
            <w:pPr>
              <w:rPr>
                <w:rFonts w:cs="Arial"/>
                <w:i/>
                <w:sz w:val="20"/>
                <w:szCs w:val="20"/>
              </w:rPr>
            </w:pPr>
            <w:r w:rsidRPr="00CB0289">
              <w:rPr>
                <w:rFonts w:cs="Arial"/>
                <w:i/>
                <w:sz w:val="20"/>
                <w:szCs w:val="20"/>
              </w:rPr>
              <w:t>Salmonella</w:t>
            </w:r>
          </w:p>
        </w:tc>
        <w:tc>
          <w:tcPr>
            <w:tcW w:w="709" w:type="dxa"/>
          </w:tcPr>
          <w:p w14:paraId="37C21312" w14:textId="77777777" w:rsidR="00FB04CE" w:rsidRPr="00CB0289" w:rsidRDefault="00FB04CE" w:rsidP="00837C34">
            <w:pPr>
              <w:rPr>
                <w:rFonts w:cs="Arial"/>
                <w:sz w:val="20"/>
                <w:szCs w:val="20"/>
              </w:rPr>
            </w:pPr>
            <w:r w:rsidRPr="00CB0289">
              <w:rPr>
                <w:rFonts w:cs="Arial"/>
                <w:sz w:val="20"/>
                <w:szCs w:val="20"/>
              </w:rPr>
              <w:t>2016</w:t>
            </w:r>
          </w:p>
        </w:tc>
        <w:tc>
          <w:tcPr>
            <w:tcW w:w="1418" w:type="dxa"/>
          </w:tcPr>
          <w:p w14:paraId="2B626E6F" w14:textId="77777777" w:rsidR="00FB04CE" w:rsidRPr="00CB0289" w:rsidRDefault="00FB04CE" w:rsidP="00837C34">
            <w:pPr>
              <w:rPr>
                <w:rFonts w:cs="Arial"/>
                <w:sz w:val="20"/>
                <w:szCs w:val="20"/>
              </w:rPr>
            </w:pPr>
            <w:r w:rsidRPr="00CB0289">
              <w:rPr>
                <w:rFonts w:cs="Arial"/>
                <w:sz w:val="20"/>
                <w:szCs w:val="20"/>
              </w:rPr>
              <w:t>Domestic</w:t>
            </w:r>
          </w:p>
        </w:tc>
        <w:tc>
          <w:tcPr>
            <w:tcW w:w="2268" w:type="dxa"/>
          </w:tcPr>
          <w:p w14:paraId="7A336A71" w14:textId="77777777" w:rsidR="00FB04CE" w:rsidRPr="00CB0289" w:rsidRDefault="00FB04CE" w:rsidP="00837C34">
            <w:pPr>
              <w:rPr>
                <w:rFonts w:cs="Arial"/>
                <w:sz w:val="20"/>
                <w:szCs w:val="20"/>
              </w:rPr>
            </w:pPr>
            <w:r w:rsidRPr="00CB0289">
              <w:rPr>
                <w:rFonts w:cs="Arial"/>
                <w:sz w:val="20"/>
                <w:szCs w:val="20"/>
              </w:rPr>
              <w:t>No</w:t>
            </w:r>
          </w:p>
        </w:tc>
      </w:tr>
      <w:tr w:rsidR="00FB04CE" w:rsidRPr="000A3447" w14:paraId="247B30C1" w14:textId="77777777" w:rsidTr="00837C34">
        <w:tc>
          <w:tcPr>
            <w:tcW w:w="2397" w:type="dxa"/>
            <w:shd w:val="clear" w:color="auto" w:fill="auto"/>
          </w:tcPr>
          <w:p w14:paraId="6483972F" w14:textId="77777777" w:rsidR="00FB04CE" w:rsidRPr="00CB0289" w:rsidRDefault="00FB04CE" w:rsidP="00837C34">
            <w:pPr>
              <w:rPr>
                <w:rFonts w:cs="Arial"/>
                <w:sz w:val="20"/>
                <w:szCs w:val="20"/>
              </w:rPr>
            </w:pPr>
            <w:r w:rsidRPr="00CB0289">
              <w:rPr>
                <w:rFonts w:cs="Arial"/>
                <w:sz w:val="20"/>
                <w:szCs w:val="20"/>
              </w:rPr>
              <w:t>Sprouts (various)</w:t>
            </w:r>
          </w:p>
        </w:tc>
        <w:tc>
          <w:tcPr>
            <w:tcW w:w="2139" w:type="dxa"/>
          </w:tcPr>
          <w:p w14:paraId="274BE168" w14:textId="77777777" w:rsidR="00FB04CE" w:rsidRPr="00CB0289" w:rsidRDefault="00FB04CE" w:rsidP="00837C34">
            <w:pPr>
              <w:rPr>
                <w:rFonts w:cs="Arial"/>
                <w:i/>
                <w:sz w:val="20"/>
                <w:szCs w:val="20"/>
              </w:rPr>
            </w:pPr>
            <w:r w:rsidRPr="00CB0289">
              <w:rPr>
                <w:rFonts w:cs="Arial"/>
                <w:i/>
                <w:sz w:val="20"/>
                <w:szCs w:val="20"/>
              </w:rPr>
              <w:t>Salmonella</w:t>
            </w:r>
          </w:p>
        </w:tc>
        <w:tc>
          <w:tcPr>
            <w:tcW w:w="709" w:type="dxa"/>
          </w:tcPr>
          <w:p w14:paraId="25132BDF" w14:textId="77777777" w:rsidR="00FB04CE" w:rsidRPr="00CB0289" w:rsidRDefault="00FB04CE" w:rsidP="00837C34">
            <w:pPr>
              <w:rPr>
                <w:rFonts w:cs="Arial"/>
                <w:sz w:val="20"/>
                <w:szCs w:val="20"/>
              </w:rPr>
            </w:pPr>
            <w:r w:rsidRPr="00CB0289">
              <w:rPr>
                <w:rFonts w:cs="Arial"/>
                <w:sz w:val="20"/>
                <w:szCs w:val="20"/>
              </w:rPr>
              <w:t>2018</w:t>
            </w:r>
          </w:p>
        </w:tc>
        <w:tc>
          <w:tcPr>
            <w:tcW w:w="1418" w:type="dxa"/>
          </w:tcPr>
          <w:p w14:paraId="6B86E2B9" w14:textId="77777777" w:rsidR="00FB04CE" w:rsidRPr="00CB0289" w:rsidRDefault="00FB04CE" w:rsidP="00837C34">
            <w:pPr>
              <w:rPr>
                <w:rFonts w:cs="Arial"/>
                <w:sz w:val="20"/>
                <w:szCs w:val="20"/>
              </w:rPr>
            </w:pPr>
            <w:r w:rsidRPr="00CB0289">
              <w:rPr>
                <w:rFonts w:cs="Arial"/>
                <w:sz w:val="20"/>
                <w:szCs w:val="20"/>
              </w:rPr>
              <w:t>Domestic</w:t>
            </w:r>
          </w:p>
        </w:tc>
        <w:tc>
          <w:tcPr>
            <w:tcW w:w="2268" w:type="dxa"/>
          </w:tcPr>
          <w:p w14:paraId="30B4D5CF" w14:textId="77777777" w:rsidR="00FB04CE" w:rsidRPr="00CB0289" w:rsidRDefault="00FB04CE" w:rsidP="00837C34">
            <w:pPr>
              <w:rPr>
                <w:rFonts w:cs="Arial"/>
                <w:sz w:val="20"/>
                <w:szCs w:val="20"/>
              </w:rPr>
            </w:pPr>
            <w:r w:rsidRPr="00CB0289">
              <w:rPr>
                <w:rFonts w:cs="Arial"/>
                <w:sz w:val="20"/>
                <w:szCs w:val="20"/>
              </w:rPr>
              <w:t>No</w:t>
            </w:r>
          </w:p>
        </w:tc>
      </w:tr>
      <w:tr w:rsidR="00FB04CE" w:rsidRPr="000A3447" w14:paraId="08902996" w14:textId="77777777" w:rsidTr="00837C34">
        <w:tc>
          <w:tcPr>
            <w:tcW w:w="2397" w:type="dxa"/>
            <w:shd w:val="clear" w:color="auto" w:fill="auto"/>
          </w:tcPr>
          <w:p w14:paraId="250A2BB0" w14:textId="77777777" w:rsidR="00FB04CE" w:rsidRPr="00CB0289" w:rsidRDefault="00FB04CE" w:rsidP="00837C34">
            <w:pPr>
              <w:rPr>
                <w:rFonts w:cs="Arial"/>
                <w:sz w:val="20"/>
                <w:szCs w:val="20"/>
              </w:rPr>
            </w:pPr>
            <w:r w:rsidRPr="00CB0289">
              <w:rPr>
                <w:rFonts w:cs="Arial"/>
                <w:sz w:val="20"/>
                <w:szCs w:val="20"/>
              </w:rPr>
              <w:t xml:space="preserve">Alfalfa sprouts </w:t>
            </w:r>
          </w:p>
        </w:tc>
        <w:tc>
          <w:tcPr>
            <w:tcW w:w="2139" w:type="dxa"/>
          </w:tcPr>
          <w:p w14:paraId="123AD509" w14:textId="77777777" w:rsidR="00FB04CE" w:rsidRPr="00CB0289" w:rsidRDefault="00FB04CE" w:rsidP="00837C34">
            <w:pPr>
              <w:rPr>
                <w:rFonts w:cs="Arial"/>
                <w:i/>
                <w:sz w:val="20"/>
                <w:szCs w:val="20"/>
              </w:rPr>
            </w:pPr>
            <w:r w:rsidRPr="00CB0289">
              <w:rPr>
                <w:rFonts w:cs="Arial"/>
                <w:i/>
                <w:sz w:val="20"/>
                <w:szCs w:val="20"/>
              </w:rPr>
              <w:t>Salmonella</w:t>
            </w:r>
          </w:p>
        </w:tc>
        <w:tc>
          <w:tcPr>
            <w:tcW w:w="709" w:type="dxa"/>
          </w:tcPr>
          <w:p w14:paraId="760B626E" w14:textId="77777777" w:rsidR="00FB04CE" w:rsidRPr="00CB0289" w:rsidRDefault="00FB04CE" w:rsidP="00837C34">
            <w:pPr>
              <w:rPr>
                <w:rFonts w:cs="Arial"/>
                <w:sz w:val="20"/>
                <w:szCs w:val="20"/>
              </w:rPr>
            </w:pPr>
            <w:r w:rsidRPr="00CB0289">
              <w:rPr>
                <w:rFonts w:cs="Arial"/>
                <w:sz w:val="20"/>
                <w:szCs w:val="20"/>
              </w:rPr>
              <w:t>2018</w:t>
            </w:r>
          </w:p>
        </w:tc>
        <w:tc>
          <w:tcPr>
            <w:tcW w:w="1418" w:type="dxa"/>
          </w:tcPr>
          <w:p w14:paraId="2DCBFD97" w14:textId="77777777" w:rsidR="00FB04CE" w:rsidRPr="00CB0289" w:rsidRDefault="00FB04CE" w:rsidP="00837C34">
            <w:pPr>
              <w:rPr>
                <w:rFonts w:cs="Arial"/>
                <w:sz w:val="20"/>
                <w:szCs w:val="20"/>
              </w:rPr>
            </w:pPr>
            <w:r w:rsidRPr="00CB0289">
              <w:rPr>
                <w:rFonts w:cs="Arial"/>
                <w:sz w:val="20"/>
                <w:szCs w:val="20"/>
              </w:rPr>
              <w:t>Domestic</w:t>
            </w:r>
          </w:p>
        </w:tc>
        <w:tc>
          <w:tcPr>
            <w:tcW w:w="2268" w:type="dxa"/>
          </w:tcPr>
          <w:p w14:paraId="05CC456D" w14:textId="77777777" w:rsidR="00FB04CE" w:rsidRPr="00CB0289" w:rsidRDefault="00FB04CE" w:rsidP="00837C34">
            <w:pPr>
              <w:rPr>
                <w:rFonts w:cs="Arial"/>
                <w:sz w:val="20"/>
                <w:szCs w:val="20"/>
              </w:rPr>
            </w:pPr>
            <w:r w:rsidRPr="00CB0289">
              <w:rPr>
                <w:rFonts w:cs="Arial"/>
                <w:sz w:val="20"/>
                <w:szCs w:val="20"/>
              </w:rPr>
              <w:t>No</w:t>
            </w:r>
          </w:p>
        </w:tc>
      </w:tr>
      <w:tr w:rsidR="00FB04CE" w:rsidRPr="000A3447" w14:paraId="7055AC28" w14:textId="77777777" w:rsidTr="00837C34">
        <w:tc>
          <w:tcPr>
            <w:tcW w:w="8931" w:type="dxa"/>
            <w:gridSpan w:val="5"/>
          </w:tcPr>
          <w:p w14:paraId="1D9821CE" w14:textId="77777777" w:rsidR="00FB04CE" w:rsidRPr="00CB0289" w:rsidRDefault="00FB04CE" w:rsidP="00837C34">
            <w:pPr>
              <w:rPr>
                <w:rFonts w:cs="Arial"/>
                <w:sz w:val="20"/>
                <w:szCs w:val="20"/>
              </w:rPr>
            </w:pPr>
          </w:p>
        </w:tc>
      </w:tr>
      <w:tr w:rsidR="00FB04CE" w:rsidRPr="000A3447" w14:paraId="086562AC" w14:textId="77777777" w:rsidTr="00837C34">
        <w:tc>
          <w:tcPr>
            <w:tcW w:w="8931" w:type="dxa"/>
            <w:gridSpan w:val="5"/>
            <w:shd w:val="clear" w:color="auto" w:fill="C6D9F1" w:themeFill="text2" w:themeFillTint="33"/>
          </w:tcPr>
          <w:p w14:paraId="21BA6FF2" w14:textId="77777777" w:rsidR="00FB04CE" w:rsidRPr="00CB0289" w:rsidRDefault="00FB04CE" w:rsidP="00837C34">
            <w:pPr>
              <w:rPr>
                <w:rFonts w:cs="Arial"/>
                <w:sz w:val="20"/>
                <w:szCs w:val="20"/>
              </w:rPr>
            </w:pPr>
            <w:r w:rsidRPr="00CB0289">
              <w:rPr>
                <w:rFonts w:cs="Arial"/>
                <w:sz w:val="20"/>
                <w:szCs w:val="20"/>
              </w:rPr>
              <w:t>Other/mixed vegetables</w:t>
            </w:r>
          </w:p>
        </w:tc>
      </w:tr>
      <w:tr w:rsidR="00FB04CE" w:rsidRPr="000A3447" w14:paraId="665FBE34" w14:textId="77777777" w:rsidTr="00837C34">
        <w:tc>
          <w:tcPr>
            <w:tcW w:w="2397" w:type="dxa"/>
            <w:shd w:val="clear" w:color="auto" w:fill="auto"/>
          </w:tcPr>
          <w:p w14:paraId="34870619" w14:textId="77777777" w:rsidR="00FB04CE" w:rsidRPr="00CB0289" w:rsidRDefault="00FB04CE" w:rsidP="00837C34">
            <w:pPr>
              <w:rPr>
                <w:rFonts w:cs="Arial"/>
                <w:sz w:val="20"/>
                <w:szCs w:val="20"/>
              </w:rPr>
            </w:pPr>
            <w:r w:rsidRPr="00CB0289">
              <w:rPr>
                <w:rFonts w:cs="Arial"/>
                <w:sz w:val="20"/>
                <w:szCs w:val="20"/>
              </w:rPr>
              <w:t>Frozen carrot, sweetcorn and peas</w:t>
            </w:r>
          </w:p>
        </w:tc>
        <w:tc>
          <w:tcPr>
            <w:tcW w:w="2139" w:type="dxa"/>
          </w:tcPr>
          <w:p w14:paraId="3B01CDF7" w14:textId="77777777" w:rsidR="00FB04CE" w:rsidRPr="00CB0289" w:rsidRDefault="00FB04CE" w:rsidP="00837C34">
            <w:pPr>
              <w:rPr>
                <w:rFonts w:cs="Arial"/>
                <w:i/>
                <w:sz w:val="20"/>
                <w:szCs w:val="20"/>
              </w:rPr>
            </w:pPr>
            <w:r w:rsidRPr="00CB0289">
              <w:rPr>
                <w:rFonts w:cs="Arial"/>
                <w:i/>
                <w:sz w:val="20"/>
                <w:szCs w:val="20"/>
              </w:rPr>
              <w:t>L. monocytogenes</w:t>
            </w:r>
          </w:p>
        </w:tc>
        <w:tc>
          <w:tcPr>
            <w:tcW w:w="709" w:type="dxa"/>
          </w:tcPr>
          <w:p w14:paraId="4F475140" w14:textId="77777777" w:rsidR="00FB04CE" w:rsidRPr="00CB0289" w:rsidRDefault="00FB04CE" w:rsidP="00837C34">
            <w:pPr>
              <w:rPr>
                <w:rFonts w:cs="Arial"/>
                <w:sz w:val="20"/>
                <w:szCs w:val="20"/>
              </w:rPr>
            </w:pPr>
            <w:r w:rsidRPr="00CB0289">
              <w:rPr>
                <w:rFonts w:cs="Arial"/>
                <w:sz w:val="20"/>
                <w:szCs w:val="20"/>
              </w:rPr>
              <w:t>2018</w:t>
            </w:r>
          </w:p>
        </w:tc>
        <w:tc>
          <w:tcPr>
            <w:tcW w:w="1418" w:type="dxa"/>
          </w:tcPr>
          <w:p w14:paraId="7E04D9E4" w14:textId="77777777" w:rsidR="00FB04CE" w:rsidRPr="00CB0289" w:rsidRDefault="00FB04CE" w:rsidP="00837C34">
            <w:pPr>
              <w:rPr>
                <w:rFonts w:cs="Arial"/>
                <w:sz w:val="20"/>
                <w:szCs w:val="20"/>
              </w:rPr>
            </w:pPr>
            <w:r w:rsidRPr="00CB0289">
              <w:rPr>
                <w:rFonts w:cs="Arial"/>
                <w:sz w:val="20"/>
                <w:szCs w:val="20"/>
              </w:rPr>
              <w:t>Imported</w:t>
            </w:r>
          </w:p>
        </w:tc>
        <w:tc>
          <w:tcPr>
            <w:tcW w:w="2268" w:type="dxa"/>
          </w:tcPr>
          <w:p w14:paraId="1B27F146" w14:textId="77777777" w:rsidR="00FB04CE" w:rsidRPr="00CB0289" w:rsidRDefault="00FB04CE" w:rsidP="00837C34">
            <w:pPr>
              <w:rPr>
                <w:rFonts w:cs="Arial"/>
                <w:sz w:val="20"/>
                <w:szCs w:val="20"/>
              </w:rPr>
            </w:pPr>
            <w:r w:rsidRPr="00CB0289">
              <w:rPr>
                <w:rFonts w:cs="Arial"/>
                <w:sz w:val="20"/>
                <w:szCs w:val="20"/>
              </w:rPr>
              <w:t>No (associated with international outbreak)</w:t>
            </w:r>
          </w:p>
        </w:tc>
      </w:tr>
      <w:tr w:rsidR="00FB04CE" w:rsidRPr="000A3447" w14:paraId="29C510F4" w14:textId="77777777" w:rsidTr="00837C34">
        <w:tc>
          <w:tcPr>
            <w:tcW w:w="2397" w:type="dxa"/>
            <w:shd w:val="clear" w:color="auto" w:fill="auto"/>
          </w:tcPr>
          <w:p w14:paraId="0210BE71" w14:textId="77777777" w:rsidR="00FB04CE" w:rsidRPr="00CB0289" w:rsidRDefault="00FB04CE" w:rsidP="00837C34">
            <w:pPr>
              <w:rPr>
                <w:rFonts w:cs="Arial"/>
                <w:sz w:val="20"/>
                <w:szCs w:val="20"/>
              </w:rPr>
            </w:pPr>
            <w:r w:rsidRPr="00CB0289">
              <w:rPr>
                <w:rFonts w:cs="Arial"/>
                <w:sz w:val="20"/>
                <w:szCs w:val="20"/>
              </w:rPr>
              <w:t>Frozen mixed vegetables</w:t>
            </w:r>
          </w:p>
        </w:tc>
        <w:tc>
          <w:tcPr>
            <w:tcW w:w="2139" w:type="dxa"/>
          </w:tcPr>
          <w:p w14:paraId="57669797" w14:textId="77777777" w:rsidR="00FB04CE" w:rsidRPr="00CB0289" w:rsidRDefault="00FB04CE" w:rsidP="00837C34">
            <w:pPr>
              <w:rPr>
                <w:rFonts w:cs="Arial"/>
                <w:sz w:val="20"/>
                <w:szCs w:val="20"/>
              </w:rPr>
            </w:pPr>
            <w:r w:rsidRPr="00CB0289">
              <w:rPr>
                <w:rFonts w:cs="Arial"/>
                <w:i/>
                <w:sz w:val="20"/>
                <w:szCs w:val="20"/>
              </w:rPr>
              <w:t>L. monocytogenes</w:t>
            </w:r>
          </w:p>
        </w:tc>
        <w:tc>
          <w:tcPr>
            <w:tcW w:w="709" w:type="dxa"/>
          </w:tcPr>
          <w:p w14:paraId="15D271F3" w14:textId="77777777" w:rsidR="00FB04CE" w:rsidRPr="00CB0289" w:rsidRDefault="00FB04CE" w:rsidP="00837C34">
            <w:pPr>
              <w:rPr>
                <w:rFonts w:cs="Arial"/>
                <w:sz w:val="20"/>
                <w:szCs w:val="20"/>
              </w:rPr>
            </w:pPr>
            <w:r w:rsidRPr="00CB0289">
              <w:rPr>
                <w:rFonts w:cs="Arial"/>
                <w:sz w:val="20"/>
                <w:szCs w:val="20"/>
              </w:rPr>
              <w:t>2018</w:t>
            </w:r>
          </w:p>
        </w:tc>
        <w:tc>
          <w:tcPr>
            <w:tcW w:w="1418" w:type="dxa"/>
          </w:tcPr>
          <w:p w14:paraId="456A2595" w14:textId="77777777" w:rsidR="00FB04CE" w:rsidRPr="00CB0289" w:rsidRDefault="00FB04CE" w:rsidP="00837C34">
            <w:pPr>
              <w:rPr>
                <w:rFonts w:cs="Arial"/>
                <w:sz w:val="20"/>
                <w:szCs w:val="20"/>
              </w:rPr>
            </w:pPr>
            <w:r w:rsidRPr="00CB0289">
              <w:rPr>
                <w:rFonts w:cs="Arial"/>
                <w:sz w:val="20"/>
                <w:szCs w:val="20"/>
              </w:rPr>
              <w:t>Imported</w:t>
            </w:r>
          </w:p>
        </w:tc>
        <w:tc>
          <w:tcPr>
            <w:tcW w:w="2268" w:type="dxa"/>
          </w:tcPr>
          <w:p w14:paraId="1430A8B6" w14:textId="77777777" w:rsidR="00FB04CE" w:rsidRPr="00CB0289" w:rsidRDefault="00FB04CE" w:rsidP="00837C34">
            <w:pPr>
              <w:rPr>
                <w:rFonts w:cs="Arial"/>
                <w:sz w:val="20"/>
                <w:szCs w:val="20"/>
              </w:rPr>
            </w:pPr>
            <w:r w:rsidRPr="00CB0289">
              <w:rPr>
                <w:rFonts w:cs="Arial"/>
                <w:sz w:val="20"/>
                <w:szCs w:val="20"/>
              </w:rPr>
              <w:t>No (associated with international outbreak)</w:t>
            </w:r>
          </w:p>
        </w:tc>
      </w:tr>
      <w:tr w:rsidR="00FB04CE" w:rsidRPr="000A3447" w14:paraId="54F18FC1" w14:textId="77777777" w:rsidTr="00837C34">
        <w:tc>
          <w:tcPr>
            <w:tcW w:w="2397" w:type="dxa"/>
            <w:shd w:val="clear" w:color="auto" w:fill="auto"/>
          </w:tcPr>
          <w:p w14:paraId="08283B62" w14:textId="77777777" w:rsidR="00FB04CE" w:rsidRPr="00CB0289" w:rsidRDefault="00FB04CE" w:rsidP="00837C34">
            <w:pPr>
              <w:rPr>
                <w:rFonts w:cs="Arial"/>
                <w:sz w:val="20"/>
                <w:szCs w:val="20"/>
              </w:rPr>
            </w:pPr>
            <w:r w:rsidRPr="00CB0289">
              <w:rPr>
                <w:rFonts w:cs="Arial"/>
                <w:sz w:val="20"/>
                <w:szCs w:val="20"/>
              </w:rPr>
              <w:t>Frozen mixed vegetables</w:t>
            </w:r>
          </w:p>
        </w:tc>
        <w:tc>
          <w:tcPr>
            <w:tcW w:w="2139" w:type="dxa"/>
          </w:tcPr>
          <w:p w14:paraId="0A7AD0CF" w14:textId="77777777" w:rsidR="00FB04CE" w:rsidRPr="00CB0289" w:rsidRDefault="00FB04CE" w:rsidP="00837C34">
            <w:pPr>
              <w:rPr>
                <w:rFonts w:cs="Arial"/>
                <w:sz w:val="20"/>
                <w:szCs w:val="20"/>
              </w:rPr>
            </w:pPr>
            <w:r w:rsidRPr="00CB0289">
              <w:rPr>
                <w:rFonts w:cs="Arial"/>
                <w:i/>
                <w:sz w:val="20"/>
                <w:szCs w:val="20"/>
              </w:rPr>
              <w:t>L. monocytogenes</w:t>
            </w:r>
          </w:p>
        </w:tc>
        <w:tc>
          <w:tcPr>
            <w:tcW w:w="709" w:type="dxa"/>
          </w:tcPr>
          <w:p w14:paraId="24A93D23" w14:textId="77777777" w:rsidR="00FB04CE" w:rsidRPr="00CB0289" w:rsidRDefault="00FB04CE" w:rsidP="00837C34">
            <w:pPr>
              <w:rPr>
                <w:rFonts w:cs="Arial"/>
                <w:sz w:val="20"/>
                <w:szCs w:val="20"/>
              </w:rPr>
            </w:pPr>
            <w:r w:rsidRPr="00CB0289">
              <w:rPr>
                <w:rFonts w:cs="Arial"/>
                <w:sz w:val="20"/>
                <w:szCs w:val="20"/>
              </w:rPr>
              <w:t>2018</w:t>
            </w:r>
          </w:p>
        </w:tc>
        <w:tc>
          <w:tcPr>
            <w:tcW w:w="1418" w:type="dxa"/>
          </w:tcPr>
          <w:p w14:paraId="0B9B3A70" w14:textId="77777777" w:rsidR="00FB04CE" w:rsidRPr="00CB0289" w:rsidRDefault="00FB04CE" w:rsidP="00837C34">
            <w:pPr>
              <w:rPr>
                <w:rFonts w:cs="Arial"/>
                <w:sz w:val="20"/>
                <w:szCs w:val="20"/>
              </w:rPr>
            </w:pPr>
            <w:r w:rsidRPr="00CB0289">
              <w:rPr>
                <w:rFonts w:cs="Arial"/>
                <w:sz w:val="20"/>
                <w:szCs w:val="20"/>
              </w:rPr>
              <w:t>Imported</w:t>
            </w:r>
          </w:p>
        </w:tc>
        <w:tc>
          <w:tcPr>
            <w:tcW w:w="2268" w:type="dxa"/>
          </w:tcPr>
          <w:p w14:paraId="5D1DA28B" w14:textId="77777777" w:rsidR="00FB04CE" w:rsidRPr="00CB0289" w:rsidRDefault="00FB04CE" w:rsidP="00837C34">
            <w:pPr>
              <w:rPr>
                <w:rFonts w:cs="Arial"/>
                <w:sz w:val="20"/>
                <w:szCs w:val="20"/>
              </w:rPr>
            </w:pPr>
            <w:r w:rsidRPr="00CB0289">
              <w:rPr>
                <w:rFonts w:cs="Arial"/>
                <w:sz w:val="20"/>
                <w:szCs w:val="20"/>
              </w:rPr>
              <w:t>No (associated with international outbreak)</w:t>
            </w:r>
          </w:p>
        </w:tc>
      </w:tr>
      <w:tr w:rsidR="00FB04CE" w:rsidRPr="000A3447" w14:paraId="2BE38803" w14:textId="77777777" w:rsidTr="00837C34">
        <w:tc>
          <w:tcPr>
            <w:tcW w:w="2397" w:type="dxa"/>
          </w:tcPr>
          <w:p w14:paraId="5224B01C" w14:textId="77777777" w:rsidR="00FB04CE" w:rsidRPr="00CB0289" w:rsidRDefault="00FB04CE" w:rsidP="00837C34">
            <w:pPr>
              <w:rPr>
                <w:rFonts w:cs="Arial"/>
                <w:sz w:val="20"/>
                <w:szCs w:val="20"/>
              </w:rPr>
            </w:pPr>
            <w:r w:rsidRPr="00CB0289">
              <w:rPr>
                <w:rFonts w:cs="Arial"/>
                <w:sz w:val="20"/>
                <w:szCs w:val="20"/>
              </w:rPr>
              <w:t>Frozen peas and corn</w:t>
            </w:r>
          </w:p>
        </w:tc>
        <w:tc>
          <w:tcPr>
            <w:tcW w:w="2139" w:type="dxa"/>
          </w:tcPr>
          <w:p w14:paraId="64850992" w14:textId="77777777" w:rsidR="00FB04CE" w:rsidRPr="00CB0289" w:rsidRDefault="00FB04CE" w:rsidP="00837C34">
            <w:pPr>
              <w:rPr>
                <w:rFonts w:cs="Arial"/>
                <w:sz w:val="20"/>
                <w:szCs w:val="20"/>
              </w:rPr>
            </w:pPr>
            <w:r w:rsidRPr="00CB0289">
              <w:rPr>
                <w:rFonts w:cs="Arial"/>
                <w:i/>
                <w:sz w:val="20"/>
                <w:szCs w:val="20"/>
              </w:rPr>
              <w:t>L. monocytogenes</w:t>
            </w:r>
          </w:p>
        </w:tc>
        <w:tc>
          <w:tcPr>
            <w:tcW w:w="709" w:type="dxa"/>
          </w:tcPr>
          <w:p w14:paraId="5ECD195A" w14:textId="77777777" w:rsidR="00FB04CE" w:rsidRPr="00CB0289" w:rsidRDefault="00FB04CE" w:rsidP="00837C34">
            <w:pPr>
              <w:rPr>
                <w:rFonts w:cs="Arial"/>
                <w:sz w:val="20"/>
                <w:szCs w:val="20"/>
              </w:rPr>
            </w:pPr>
            <w:r w:rsidRPr="00CB0289">
              <w:rPr>
                <w:rFonts w:cs="Arial"/>
                <w:sz w:val="20"/>
                <w:szCs w:val="20"/>
              </w:rPr>
              <w:t>2018</w:t>
            </w:r>
          </w:p>
        </w:tc>
        <w:tc>
          <w:tcPr>
            <w:tcW w:w="1418" w:type="dxa"/>
          </w:tcPr>
          <w:p w14:paraId="7D528070" w14:textId="77777777" w:rsidR="00FB04CE" w:rsidRPr="00CB0289" w:rsidRDefault="00FB04CE" w:rsidP="00837C34">
            <w:pPr>
              <w:rPr>
                <w:rFonts w:cs="Arial"/>
                <w:sz w:val="20"/>
                <w:szCs w:val="20"/>
              </w:rPr>
            </w:pPr>
            <w:r w:rsidRPr="00CB0289">
              <w:rPr>
                <w:rFonts w:cs="Arial"/>
                <w:sz w:val="20"/>
                <w:szCs w:val="20"/>
              </w:rPr>
              <w:t>Imported</w:t>
            </w:r>
          </w:p>
        </w:tc>
        <w:tc>
          <w:tcPr>
            <w:tcW w:w="2268" w:type="dxa"/>
          </w:tcPr>
          <w:p w14:paraId="6116345C" w14:textId="77777777" w:rsidR="00FB04CE" w:rsidRPr="00CB0289" w:rsidRDefault="00FB04CE" w:rsidP="00837C34">
            <w:pPr>
              <w:rPr>
                <w:rFonts w:cs="Arial"/>
                <w:sz w:val="20"/>
                <w:szCs w:val="20"/>
              </w:rPr>
            </w:pPr>
            <w:r w:rsidRPr="00CB0289">
              <w:rPr>
                <w:rFonts w:cs="Arial"/>
                <w:sz w:val="20"/>
                <w:szCs w:val="20"/>
              </w:rPr>
              <w:t>No (associated with international outbreak)</w:t>
            </w:r>
          </w:p>
        </w:tc>
      </w:tr>
      <w:tr w:rsidR="00FB04CE" w:rsidRPr="000A3447" w14:paraId="4B902F55" w14:textId="77777777" w:rsidTr="00837C34">
        <w:tc>
          <w:tcPr>
            <w:tcW w:w="2397" w:type="dxa"/>
          </w:tcPr>
          <w:p w14:paraId="52E5A5B8" w14:textId="77777777" w:rsidR="00FB04CE" w:rsidRPr="00CB0289" w:rsidRDefault="00FB04CE" w:rsidP="00837C34">
            <w:pPr>
              <w:rPr>
                <w:rFonts w:cs="Arial"/>
                <w:sz w:val="20"/>
                <w:szCs w:val="20"/>
              </w:rPr>
            </w:pPr>
            <w:r w:rsidRPr="00CB0289">
              <w:rPr>
                <w:rFonts w:cs="Arial"/>
                <w:sz w:val="20"/>
                <w:szCs w:val="20"/>
              </w:rPr>
              <w:t>Frozen mixed vegetables</w:t>
            </w:r>
          </w:p>
        </w:tc>
        <w:tc>
          <w:tcPr>
            <w:tcW w:w="2139" w:type="dxa"/>
          </w:tcPr>
          <w:p w14:paraId="4F135A63" w14:textId="77777777" w:rsidR="00FB04CE" w:rsidRPr="00CB0289" w:rsidRDefault="00FB04CE" w:rsidP="00837C34">
            <w:pPr>
              <w:rPr>
                <w:rFonts w:cs="Arial"/>
                <w:sz w:val="20"/>
                <w:szCs w:val="20"/>
              </w:rPr>
            </w:pPr>
            <w:r w:rsidRPr="00CB0289">
              <w:rPr>
                <w:rFonts w:cs="Arial"/>
                <w:i/>
                <w:sz w:val="20"/>
                <w:szCs w:val="20"/>
              </w:rPr>
              <w:t>L. monocytogenes</w:t>
            </w:r>
          </w:p>
        </w:tc>
        <w:tc>
          <w:tcPr>
            <w:tcW w:w="709" w:type="dxa"/>
          </w:tcPr>
          <w:p w14:paraId="347F59F0" w14:textId="77777777" w:rsidR="00FB04CE" w:rsidRPr="00CB0289" w:rsidRDefault="00FB04CE" w:rsidP="00837C34">
            <w:pPr>
              <w:rPr>
                <w:rFonts w:cs="Arial"/>
                <w:sz w:val="20"/>
                <w:szCs w:val="20"/>
              </w:rPr>
            </w:pPr>
            <w:r w:rsidRPr="00CB0289">
              <w:rPr>
                <w:rFonts w:cs="Arial"/>
                <w:sz w:val="20"/>
                <w:szCs w:val="20"/>
              </w:rPr>
              <w:t>2018</w:t>
            </w:r>
          </w:p>
        </w:tc>
        <w:tc>
          <w:tcPr>
            <w:tcW w:w="1418" w:type="dxa"/>
          </w:tcPr>
          <w:p w14:paraId="14AA1B17" w14:textId="77777777" w:rsidR="00FB04CE" w:rsidRPr="00CB0289" w:rsidRDefault="00FB04CE" w:rsidP="00837C34">
            <w:pPr>
              <w:rPr>
                <w:rFonts w:cs="Arial"/>
                <w:sz w:val="20"/>
                <w:szCs w:val="20"/>
              </w:rPr>
            </w:pPr>
            <w:r w:rsidRPr="00CB0289">
              <w:rPr>
                <w:rFonts w:cs="Arial"/>
                <w:sz w:val="20"/>
                <w:szCs w:val="20"/>
              </w:rPr>
              <w:t>Imported</w:t>
            </w:r>
          </w:p>
        </w:tc>
        <w:tc>
          <w:tcPr>
            <w:tcW w:w="2268" w:type="dxa"/>
          </w:tcPr>
          <w:p w14:paraId="5CDDFF18" w14:textId="77777777" w:rsidR="00FB04CE" w:rsidRPr="00CB0289" w:rsidRDefault="00FB04CE" w:rsidP="00837C34">
            <w:pPr>
              <w:rPr>
                <w:rFonts w:cs="Arial"/>
                <w:sz w:val="20"/>
                <w:szCs w:val="20"/>
              </w:rPr>
            </w:pPr>
            <w:r w:rsidRPr="00CB0289">
              <w:rPr>
                <w:rFonts w:cs="Arial"/>
                <w:sz w:val="20"/>
                <w:szCs w:val="20"/>
              </w:rPr>
              <w:t>No (associated with international outbreak)</w:t>
            </w:r>
          </w:p>
        </w:tc>
      </w:tr>
      <w:tr w:rsidR="00FB04CE" w:rsidRPr="000A3447" w14:paraId="2CE2D88C" w14:textId="77777777" w:rsidTr="00837C34">
        <w:tc>
          <w:tcPr>
            <w:tcW w:w="2397" w:type="dxa"/>
          </w:tcPr>
          <w:p w14:paraId="7574B421" w14:textId="77777777" w:rsidR="00FB04CE" w:rsidRPr="00CB0289" w:rsidRDefault="00FB04CE" w:rsidP="00837C34">
            <w:pPr>
              <w:rPr>
                <w:rFonts w:cs="Arial"/>
                <w:sz w:val="20"/>
                <w:szCs w:val="20"/>
              </w:rPr>
            </w:pPr>
            <w:r w:rsidRPr="00CB0289">
              <w:rPr>
                <w:rFonts w:cs="Arial"/>
                <w:sz w:val="20"/>
                <w:szCs w:val="20"/>
              </w:rPr>
              <w:t>Multiple frozen vegetable products</w:t>
            </w:r>
          </w:p>
        </w:tc>
        <w:tc>
          <w:tcPr>
            <w:tcW w:w="2139" w:type="dxa"/>
          </w:tcPr>
          <w:p w14:paraId="192F578B" w14:textId="77777777" w:rsidR="00FB04CE" w:rsidRPr="00CB0289" w:rsidRDefault="00FB04CE" w:rsidP="00837C34">
            <w:pPr>
              <w:rPr>
                <w:rFonts w:cs="Arial"/>
                <w:sz w:val="20"/>
                <w:szCs w:val="20"/>
              </w:rPr>
            </w:pPr>
            <w:r w:rsidRPr="00CB0289">
              <w:rPr>
                <w:rFonts w:cs="Arial"/>
                <w:i/>
                <w:sz w:val="20"/>
                <w:szCs w:val="20"/>
              </w:rPr>
              <w:t>L. monocytogenes</w:t>
            </w:r>
          </w:p>
        </w:tc>
        <w:tc>
          <w:tcPr>
            <w:tcW w:w="709" w:type="dxa"/>
          </w:tcPr>
          <w:p w14:paraId="483E2538" w14:textId="77777777" w:rsidR="00FB04CE" w:rsidRPr="00CB0289" w:rsidRDefault="00FB04CE" w:rsidP="00837C34">
            <w:pPr>
              <w:rPr>
                <w:rFonts w:cs="Arial"/>
                <w:sz w:val="20"/>
                <w:szCs w:val="20"/>
              </w:rPr>
            </w:pPr>
            <w:r w:rsidRPr="00CB0289">
              <w:rPr>
                <w:rFonts w:cs="Arial"/>
                <w:sz w:val="20"/>
                <w:szCs w:val="20"/>
              </w:rPr>
              <w:t>2018</w:t>
            </w:r>
          </w:p>
        </w:tc>
        <w:tc>
          <w:tcPr>
            <w:tcW w:w="1418" w:type="dxa"/>
          </w:tcPr>
          <w:p w14:paraId="1326B841" w14:textId="77777777" w:rsidR="00FB04CE" w:rsidRPr="00CB0289" w:rsidRDefault="00FB04CE" w:rsidP="00837C34">
            <w:pPr>
              <w:rPr>
                <w:rFonts w:cs="Arial"/>
                <w:sz w:val="20"/>
                <w:szCs w:val="20"/>
              </w:rPr>
            </w:pPr>
            <w:r w:rsidRPr="00CB0289">
              <w:rPr>
                <w:rFonts w:cs="Arial"/>
                <w:sz w:val="20"/>
                <w:szCs w:val="20"/>
              </w:rPr>
              <w:t>Imported</w:t>
            </w:r>
          </w:p>
        </w:tc>
        <w:tc>
          <w:tcPr>
            <w:tcW w:w="2268" w:type="dxa"/>
          </w:tcPr>
          <w:p w14:paraId="4F774019" w14:textId="77777777" w:rsidR="00FB04CE" w:rsidRPr="00CB0289" w:rsidRDefault="00FB04CE" w:rsidP="00837C34">
            <w:pPr>
              <w:rPr>
                <w:rFonts w:cs="Arial"/>
                <w:sz w:val="20"/>
                <w:szCs w:val="20"/>
              </w:rPr>
            </w:pPr>
            <w:r w:rsidRPr="00CB0289">
              <w:rPr>
                <w:rFonts w:cs="Arial"/>
                <w:sz w:val="20"/>
                <w:szCs w:val="20"/>
              </w:rPr>
              <w:t>No (associated with international outbreak)</w:t>
            </w:r>
          </w:p>
        </w:tc>
      </w:tr>
      <w:tr w:rsidR="00FB04CE" w:rsidRPr="000A3447" w14:paraId="5ACB08B7" w14:textId="77777777" w:rsidTr="00837C34">
        <w:tc>
          <w:tcPr>
            <w:tcW w:w="8931" w:type="dxa"/>
            <w:gridSpan w:val="5"/>
          </w:tcPr>
          <w:p w14:paraId="159A480E" w14:textId="77777777" w:rsidR="00FB04CE" w:rsidRPr="00CB0289" w:rsidRDefault="00FB04CE" w:rsidP="00837C34">
            <w:pPr>
              <w:rPr>
                <w:rFonts w:cs="Arial"/>
                <w:sz w:val="20"/>
                <w:szCs w:val="20"/>
              </w:rPr>
            </w:pPr>
          </w:p>
        </w:tc>
      </w:tr>
    </w:tbl>
    <w:p w14:paraId="6D8D526B" w14:textId="77777777" w:rsidR="005D0B92" w:rsidRDefault="005D0B92">
      <w:r>
        <w:br w:type="page"/>
      </w:r>
    </w:p>
    <w:tbl>
      <w:tblPr>
        <w:tblStyle w:val="TableGrid"/>
        <w:tblW w:w="8931" w:type="dxa"/>
        <w:tblInd w:w="-5" w:type="dxa"/>
        <w:tblLook w:val="04A0" w:firstRow="1" w:lastRow="0" w:firstColumn="1" w:lastColumn="0" w:noHBand="0" w:noVBand="1"/>
        <w:tblCaption w:val="Table 2. Summary of Australian recalls associated with fresh and minimally processed horticultural produce (2011-2020)"/>
      </w:tblPr>
      <w:tblGrid>
        <w:gridCol w:w="2397"/>
        <w:gridCol w:w="2139"/>
        <w:gridCol w:w="709"/>
        <w:gridCol w:w="1418"/>
        <w:gridCol w:w="2268"/>
      </w:tblGrid>
      <w:tr w:rsidR="005D0B92" w:rsidRPr="000A3447" w14:paraId="0A3FBFDF" w14:textId="77777777" w:rsidTr="00AE471C">
        <w:trPr>
          <w:cantSplit/>
          <w:tblHeader/>
        </w:trPr>
        <w:tc>
          <w:tcPr>
            <w:tcW w:w="2397" w:type="dxa"/>
            <w:shd w:val="clear" w:color="auto" w:fill="C6D9F1" w:themeFill="text2" w:themeFillTint="33"/>
          </w:tcPr>
          <w:p w14:paraId="10C3F733" w14:textId="77777777" w:rsidR="005D0B92" w:rsidRPr="00CB0289" w:rsidRDefault="005D0B92" w:rsidP="00AE471C">
            <w:pPr>
              <w:rPr>
                <w:rFonts w:cs="Arial"/>
                <w:b/>
                <w:sz w:val="20"/>
                <w:szCs w:val="20"/>
              </w:rPr>
            </w:pPr>
            <w:r w:rsidRPr="00CB0289">
              <w:rPr>
                <w:rFonts w:cs="Arial"/>
                <w:b/>
                <w:sz w:val="20"/>
                <w:szCs w:val="20"/>
              </w:rPr>
              <w:t>Commodity</w:t>
            </w:r>
          </w:p>
        </w:tc>
        <w:tc>
          <w:tcPr>
            <w:tcW w:w="2139" w:type="dxa"/>
            <w:shd w:val="clear" w:color="auto" w:fill="C6D9F1" w:themeFill="text2" w:themeFillTint="33"/>
          </w:tcPr>
          <w:p w14:paraId="48EF17F3" w14:textId="77777777" w:rsidR="005D0B92" w:rsidRPr="00CB0289" w:rsidRDefault="005D0B92" w:rsidP="00AE471C">
            <w:pPr>
              <w:rPr>
                <w:rFonts w:cs="Arial"/>
                <w:b/>
                <w:sz w:val="20"/>
                <w:szCs w:val="20"/>
              </w:rPr>
            </w:pPr>
            <w:r w:rsidRPr="00CB0289">
              <w:rPr>
                <w:rFonts w:cs="Arial"/>
                <w:b/>
                <w:sz w:val="20"/>
                <w:szCs w:val="20"/>
              </w:rPr>
              <w:t>Microbial contaminant</w:t>
            </w:r>
          </w:p>
        </w:tc>
        <w:tc>
          <w:tcPr>
            <w:tcW w:w="709" w:type="dxa"/>
            <w:shd w:val="clear" w:color="auto" w:fill="C6D9F1" w:themeFill="text2" w:themeFillTint="33"/>
          </w:tcPr>
          <w:p w14:paraId="17769681" w14:textId="77777777" w:rsidR="005D0B92" w:rsidRPr="00CB0289" w:rsidRDefault="005D0B92" w:rsidP="00AE471C">
            <w:pPr>
              <w:rPr>
                <w:rFonts w:cs="Arial"/>
                <w:b/>
                <w:sz w:val="20"/>
                <w:szCs w:val="20"/>
              </w:rPr>
            </w:pPr>
            <w:r w:rsidRPr="00CB0289">
              <w:rPr>
                <w:rFonts w:cs="Arial"/>
                <w:b/>
                <w:sz w:val="20"/>
                <w:szCs w:val="20"/>
              </w:rPr>
              <w:t>Year</w:t>
            </w:r>
          </w:p>
        </w:tc>
        <w:tc>
          <w:tcPr>
            <w:tcW w:w="1418" w:type="dxa"/>
            <w:shd w:val="clear" w:color="auto" w:fill="C6D9F1" w:themeFill="text2" w:themeFillTint="33"/>
          </w:tcPr>
          <w:p w14:paraId="3B788271" w14:textId="77777777" w:rsidR="005D0B92" w:rsidRPr="00CB0289" w:rsidRDefault="005D0B92" w:rsidP="00AE471C">
            <w:pPr>
              <w:rPr>
                <w:rFonts w:cs="Arial"/>
                <w:b/>
                <w:sz w:val="20"/>
                <w:szCs w:val="20"/>
              </w:rPr>
            </w:pPr>
            <w:r w:rsidRPr="00CB0289">
              <w:rPr>
                <w:rFonts w:cs="Arial"/>
                <w:b/>
                <w:sz w:val="20"/>
                <w:szCs w:val="20"/>
              </w:rPr>
              <w:t>Imported or domestic</w:t>
            </w:r>
          </w:p>
        </w:tc>
        <w:tc>
          <w:tcPr>
            <w:tcW w:w="2268" w:type="dxa"/>
            <w:shd w:val="clear" w:color="auto" w:fill="C6D9F1" w:themeFill="text2" w:themeFillTint="33"/>
          </w:tcPr>
          <w:p w14:paraId="19311001" w14:textId="77777777" w:rsidR="005D0B92" w:rsidRPr="00CB0289" w:rsidRDefault="005D0B92" w:rsidP="00AE471C">
            <w:pPr>
              <w:rPr>
                <w:rFonts w:cs="Arial"/>
                <w:b/>
                <w:sz w:val="20"/>
                <w:szCs w:val="20"/>
              </w:rPr>
            </w:pPr>
            <w:r w:rsidRPr="00CB0289">
              <w:rPr>
                <w:rFonts w:cs="Arial"/>
                <w:b/>
                <w:sz w:val="20"/>
                <w:szCs w:val="20"/>
              </w:rPr>
              <w:t>Associated with an Australian outbreak</w:t>
            </w:r>
            <w:r w:rsidRPr="00CB0289">
              <w:rPr>
                <w:rStyle w:val="FootnoteReference"/>
                <w:rFonts w:cs="Arial"/>
                <w:b/>
                <w:sz w:val="20"/>
                <w:szCs w:val="20"/>
              </w:rPr>
              <w:footnoteReference w:id="8"/>
            </w:r>
          </w:p>
        </w:tc>
      </w:tr>
      <w:tr w:rsidR="005D0B92" w:rsidRPr="000A3447" w14:paraId="717B3D89" w14:textId="77777777" w:rsidTr="00AE471C">
        <w:tc>
          <w:tcPr>
            <w:tcW w:w="8931" w:type="dxa"/>
            <w:gridSpan w:val="5"/>
          </w:tcPr>
          <w:p w14:paraId="4AB088C1" w14:textId="77777777" w:rsidR="005D0B92" w:rsidRPr="00CB0289" w:rsidRDefault="005D0B92" w:rsidP="00AE471C">
            <w:pPr>
              <w:rPr>
                <w:rFonts w:cs="Arial"/>
                <w:b/>
                <w:sz w:val="20"/>
                <w:szCs w:val="20"/>
              </w:rPr>
            </w:pPr>
          </w:p>
        </w:tc>
      </w:tr>
      <w:tr w:rsidR="00FB04CE" w:rsidRPr="000A3447" w14:paraId="1D2A2687" w14:textId="77777777" w:rsidTr="00837C34">
        <w:tc>
          <w:tcPr>
            <w:tcW w:w="8931" w:type="dxa"/>
            <w:gridSpan w:val="5"/>
            <w:shd w:val="clear" w:color="auto" w:fill="C6D9F1" w:themeFill="text2" w:themeFillTint="33"/>
          </w:tcPr>
          <w:p w14:paraId="3A1A4732" w14:textId="41DA44C7" w:rsidR="00FB04CE" w:rsidRPr="00CB0289" w:rsidRDefault="00FB04CE" w:rsidP="00837C34">
            <w:pPr>
              <w:rPr>
                <w:rFonts w:cs="Arial"/>
                <w:sz w:val="20"/>
                <w:szCs w:val="20"/>
              </w:rPr>
            </w:pPr>
            <w:r w:rsidRPr="00CB0289">
              <w:rPr>
                <w:rFonts w:cs="Arial"/>
                <w:sz w:val="20"/>
                <w:szCs w:val="20"/>
              </w:rPr>
              <w:t>Melons</w:t>
            </w:r>
          </w:p>
        </w:tc>
      </w:tr>
      <w:tr w:rsidR="00FB04CE" w:rsidRPr="000A3447" w14:paraId="55B58A9A" w14:textId="77777777" w:rsidTr="00837C34">
        <w:tc>
          <w:tcPr>
            <w:tcW w:w="2397" w:type="dxa"/>
          </w:tcPr>
          <w:p w14:paraId="7514C8F4" w14:textId="77777777" w:rsidR="00FB04CE" w:rsidRPr="00CB0289" w:rsidRDefault="00FB04CE" w:rsidP="00837C34">
            <w:pPr>
              <w:rPr>
                <w:rFonts w:cs="Arial"/>
                <w:sz w:val="20"/>
                <w:szCs w:val="20"/>
              </w:rPr>
            </w:pPr>
            <w:r w:rsidRPr="00CB0289">
              <w:rPr>
                <w:rFonts w:cs="Arial"/>
                <w:sz w:val="20"/>
                <w:szCs w:val="20"/>
              </w:rPr>
              <w:t>Rockmelon</w:t>
            </w:r>
          </w:p>
        </w:tc>
        <w:tc>
          <w:tcPr>
            <w:tcW w:w="2139" w:type="dxa"/>
          </w:tcPr>
          <w:p w14:paraId="396E3685" w14:textId="77777777" w:rsidR="00FB04CE" w:rsidRPr="00CB0289" w:rsidRDefault="00FB04CE" w:rsidP="00837C34">
            <w:pPr>
              <w:rPr>
                <w:rFonts w:cs="Arial"/>
                <w:sz w:val="20"/>
                <w:szCs w:val="20"/>
              </w:rPr>
            </w:pPr>
            <w:r w:rsidRPr="00CB0289">
              <w:rPr>
                <w:rFonts w:cs="Arial"/>
                <w:i/>
                <w:sz w:val="20"/>
                <w:szCs w:val="20"/>
              </w:rPr>
              <w:t>L. monocytogenes</w:t>
            </w:r>
          </w:p>
        </w:tc>
        <w:tc>
          <w:tcPr>
            <w:tcW w:w="709" w:type="dxa"/>
          </w:tcPr>
          <w:p w14:paraId="542E6C26" w14:textId="77777777" w:rsidR="00FB04CE" w:rsidRPr="00CB0289" w:rsidRDefault="00FB04CE" w:rsidP="00837C34">
            <w:pPr>
              <w:rPr>
                <w:rFonts w:cs="Arial"/>
                <w:sz w:val="20"/>
                <w:szCs w:val="20"/>
              </w:rPr>
            </w:pPr>
            <w:r w:rsidRPr="00CB0289">
              <w:rPr>
                <w:rFonts w:cs="Arial"/>
                <w:sz w:val="20"/>
                <w:szCs w:val="20"/>
              </w:rPr>
              <w:t>2018</w:t>
            </w:r>
          </w:p>
        </w:tc>
        <w:tc>
          <w:tcPr>
            <w:tcW w:w="1418" w:type="dxa"/>
          </w:tcPr>
          <w:p w14:paraId="13F7D3DC" w14:textId="77777777" w:rsidR="00FB04CE" w:rsidRPr="00CB0289" w:rsidRDefault="00FB04CE" w:rsidP="00837C34">
            <w:pPr>
              <w:rPr>
                <w:rFonts w:cs="Arial"/>
                <w:sz w:val="20"/>
                <w:szCs w:val="20"/>
              </w:rPr>
            </w:pPr>
            <w:r w:rsidRPr="00CB0289">
              <w:rPr>
                <w:rFonts w:cs="Arial"/>
                <w:sz w:val="20"/>
                <w:szCs w:val="20"/>
              </w:rPr>
              <w:t>Domestic</w:t>
            </w:r>
          </w:p>
        </w:tc>
        <w:tc>
          <w:tcPr>
            <w:tcW w:w="2268" w:type="dxa"/>
          </w:tcPr>
          <w:p w14:paraId="25876189" w14:textId="48841601" w:rsidR="00FB04CE" w:rsidRPr="00CB0289" w:rsidRDefault="00FB04CE" w:rsidP="00837C34">
            <w:pPr>
              <w:rPr>
                <w:rFonts w:cs="Arial"/>
                <w:sz w:val="20"/>
                <w:szCs w:val="20"/>
              </w:rPr>
            </w:pPr>
            <w:r>
              <w:rPr>
                <w:rFonts w:cs="Arial"/>
                <w:sz w:val="20"/>
                <w:szCs w:val="20"/>
              </w:rPr>
              <w:t>Yes, outbreak no. </w:t>
            </w:r>
            <w:r w:rsidRPr="00CB0289">
              <w:rPr>
                <w:rFonts w:cs="Arial"/>
                <w:sz w:val="20"/>
                <w:szCs w:val="20"/>
              </w:rPr>
              <w:t>1</w:t>
            </w:r>
            <w:r w:rsidR="002011F1">
              <w:rPr>
                <w:rFonts w:cs="Arial"/>
                <w:sz w:val="20"/>
                <w:szCs w:val="20"/>
              </w:rPr>
              <w:t>8</w:t>
            </w:r>
          </w:p>
        </w:tc>
      </w:tr>
      <w:tr w:rsidR="00FB04CE" w:rsidRPr="000A3447" w14:paraId="73D5E7BC" w14:textId="77777777" w:rsidTr="00837C34">
        <w:tc>
          <w:tcPr>
            <w:tcW w:w="2397" w:type="dxa"/>
          </w:tcPr>
          <w:p w14:paraId="30931AE0" w14:textId="77777777" w:rsidR="00FB04CE" w:rsidRPr="00CB0289" w:rsidRDefault="00FB04CE" w:rsidP="00837C34">
            <w:pPr>
              <w:rPr>
                <w:rFonts w:cs="Arial"/>
                <w:sz w:val="20"/>
                <w:szCs w:val="20"/>
              </w:rPr>
            </w:pPr>
            <w:r w:rsidRPr="00CB0289">
              <w:rPr>
                <w:rFonts w:cs="Arial"/>
                <w:sz w:val="20"/>
                <w:szCs w:val="20"/>
              </w:rPr>
              <w:t>Rockmelon</w:t>
            </w:r>
          </w:p>
        </w:tc>
        <w:tc>
          <w:tcPr>
            <w:tcW w:w="2139" w:type="dxa"/>
          </w:tcPr>
          <w:p w14:paraId="167AD08E" w14:textId="77777777" w:rsidR="00FB04CE" w:rsidRPr="00CB0289" w:rsidRDefault="00FB04CE" w:rsidP="00837C34">
            <w:pPr>
              <w:rPr>
                <w:rFonts w:cs="Arial"/>
                <w:i/>
                <w:sz w:val="20"/>
                <w:szCs w:val="20"/>
              </w:rPr>
            </w:pPr>
            <w:r w:rsidRPr="00CB0289">
              <w:rPr>
                <w:rFonts w:cs="Arial"/>
                <w:i/>
                <w:sz w:val="20"/>
                <w:szCs w:val="20"/>
              </w:rPr>
              <w:t xml:space="preserve">Salmonella </w:t>
            </w:r>
          </w:p>
        </w:tc>
        <w:tc>
          <w:tcPr>
            <w:tcW w:w="709" w:type="dxa"/>
          </w:tcPr>
          <w:p w14:paraId="009F8E83" w14:textId="77777777" w:rsidR="00FB04CE" w:rsidRPr="00CB0289" w:rsidRDefault="00FB04CE" w:rsidP="00837C34">
            <w:pPr>
              <w:rPr>
                <w:rFonts w:cs="Arial"/>
                <w:sz w:val="20"/>
                <w:szCs w:val="20"/>
              </w:rPr>
            </w:pPr>
            <w:r w:rsidRPr="00CB0289">
              <w:rPr>
                <w:rFonts w:cs="Arial"/>
                <w:sz w:val="20"/>
                <w:szCs w:val="20"/>
              </w:rPr>
              <w:t>2016</w:t>
            </w:r>
          </w:p>
        </w:tc>
        <w:tc>
          <w:tcPr>
            <w:tcW w:w="1418" w:type="dxa"/>
          </w:tcPr>
          <w:p w14:paraId="042AF08A" w14:textId="77777777" w:rsidR="00FB04CE" w:rsidRPr="00CB0289" w:rsidRDefault="00FB04CE" w:rsidP="00837C34">
            <w:pPr>
              <w:rPr>
                <w:rFonts w:cs="Arial"/>
                <w:sz w:val="20"/>
                <w:szCs w:val="20"/>
              </w:rPr>
            </w:pPr>
            <w:r w:rsidRPr="00CB0289">
              <w:rPr>
                <w:rFonts w:cs="Arial"/>
                <w:sz w:val="20"/>
                <w:szCs w:val="20"/>
              </w:rPr>
              <w:t>Domestic</w:t>
            </w:r>
          </w:p>
        </w:tc>
        <w:tc>
          <w:tcPr>
            <w:tcW w:w="2268" w:type="dxa"/>
          </w:tcPr>
          <w:p w14:paraId="7E5A9368" w14:textId="0E4CFA89" w:rsidR="00FB04CE" w:rsidRPr="00CB0289" w:rsidRDefault="00FB04CE" w:rsidP="00837C34">
            <w:pPr>
              <w:rPr>
                <w:rFonts w:cs="Arial"/>
                <w:sz w:val="20"/>
                <w:szCs w:val="20"/>
              </w:rPr>
            </w:pPr>
            <w:r>
              <w:rPr>
                <w:rFonts w:cs="Arial"/>
                <w:sz w:val="20"/>
                <w:szCs w:val="20"/>
              </w:rPr>
              <w:t>Yes, outbreak no. </w:t>
            </w:r>
            <w:r w:rsidRPr="00CB0289">
              <w:rPr>
                <w:rFonts w:cs="Arial"/>
                <w:sz w:val="20"/>
                <w:szCs w:val="20"/>
              </w:rPr>
              <w:t>1</w:t>
            </w:r>
            <w:r w:rsidR="002011F1">
              <w:rPr>
                <w:rFonts w:cs="Arial"/>
                <w:sz w:val="20"/>
                <w:szCs w:val="20"/>
              </w:rPr>
              <w:t>6</w:t>
            </w:r>
          </w:p>
        </w:tc>
      </w:tr>
      <w:tr w:rsidR="00FB04CE" w:rsidRPr="000A3447" w14:paraId="4AC47625" w14:textId="77777777" w:rsidTr="00837C34">
        <w:tc>
          <w:tcPr>
            <w:tcW w:w="8931" w:type="dxa"/>
            <w:gridSpan w:val="5"/>
          </w:tcPr>
          <w:p w14:paraId="702807E9" w14:textId="77777777" w:rsidR="00FB04CE" w:rsidRPr="00CB0289" w:rsidRDefault="00FB04CE" w:rsidP="00837C34">
            <w:pPr>
              <w:rPr>
                <w:rFonts w:cs="Arial"/>
                <w:sz w:val="20"/>
                <w:szCs w:val="20"/>
              </w:rPr>
            </w:pPr>
          </w:p>
        </w:tc>
      </w:tr>
      <w:tr w:rsidR="00FB04CE" w:rsidRPr="000A3447" w14:paraId="7819D0AF" w14:textId="77777777" w:rsidTr="00837C34">
        <w:tc>
          <w:tcPr>
            <w:tcW w:w="8931" w:type="dxa"/>
            <w:gridSpan w:val="5"/>
            <w:shd w:val="clear" w:color="auto" w:fill="C6D9F1" w:themeFill="text2" w:themeFillTint="33"/>
          </w:tcPr>
          <w:p w14:paraId="6DF5570F" w14:textId="77777777" w:rsidR="00FB04CE" w:rsidRPr="00CB0289" w:rsidRDefault="00FB04CE" w:rsidP="00837C34">
            <w:pPr>
              <w:rPr>
                <w:rFonts w:cs="Arial"/>
                <w:sz w:val="20"/>
                <w:szCs w:val="20"/>
              </w:rPr>
            </w:pPr>
            <w:r w:rsidRPr="00CB0289">
              <w:rPr>
                <w:rFonts w:cs="Arial"/>
                <w:sz w:val="20"/>
                <w:szCs w:val="20"/>
              </w:rPr>
              <w:t>Berries</w:t>
            </w:r>
          </w:p>
        </w:tc>
      </w:tr>
      <w:tr w:rsidR="00FB04CE" w:rsidRPr="000A3447" w14:paraId="3A699B32" w14:textId="77777777" w:rsidTr="00837C34">
        <w:tc>
          <w:tcPr>
            <w:tcW w:w="2397" w:type="dxa"/>
            <w:shd w:val="clear" w:color="auto" w:fill="auto"/>
          </w:tcPr>
          <w:p w14:paraId="1167BBB1" w14:textId="77777777" w:rsidR="00FB04CE" w:rsidRPr="00CB0289" w:rsidRDefault="00FB04CE" w:rsidP="00837C34">
            <w:pPr>
              <w:rPr>
                <w:rFonts w:cs="Arial"/>
                <w:sz w:val="20"/>
                <w:szCs w:val="20"/>
              </w:rPr>
            </w:pPr>
            <w:r w:rsidRPr="00CB0289">
              <w:rPr>
                <w:rFonts w:cs="Arial"/>
                <w:sz w:val="20"/>
                <w:szCs w:val="20"/>
              </w:rPr>
              <w:t>Frozen berries</w:t>
            </w:r>
          </w:p>
        </w:tc>
        <w:tc>
          <w:tcPr>
            <w:tcW w:w="2139" w:type="dxa"/>
          </w:tcPr>
          <w:p w14:paraId="5398415A" w14:textId="77777777" w:rsidR="00FB04CE" w:rsidRPr="00CB0289" w:rsidRDefault="00FB04CE" w:rsidP="00837C34">
            <w:pPr>
              <w:rPr>
                <w:rFonts w:cs="Arial"/>
                <w:sz w:val="20"/>
                <w:szCs w:val="20"/>
              </w:rPr>
            </w:pPr>
            <w:r>
              <w:rPr>
                <w:rFonts w:cs="Arial"/>
                <w:sz w:val="20"/>
                <w:szCs w:val="20"/>
              </w:rPr>
              <w:t>HAV</w:t>
            </w:r>
            <w:r w:rsidRPr="00CB0289">
              <w:rPr>
                <w:rFonts w:cs="Arial"/>
                <w:sz w:val="20"/>
                <w:szCs w:val="20"/>
              </w:rPr>
              <w:t xml:space="preserve"> </w:t>
            </w:r>
          </w:p>
        </w:tc>
        <w:tc>
          <w:tcPr>
            <w:tcW w:w="709" w:type="dxa"/>
          </w:tcPr>
          <w:p w14:paraId="1310018D" w14:textId="77777777" w:rsidR="00FB04CE" w:rsidRPr="00CB0289" w:rsidRDefault="00FB04CE" w:rsidP="00837C34">
            <w:pPr>
              <w:rPr>
                <w:rFonts w:cs="Arial"/>
                <w:sz w:val="20"/>
                <w:szCs w:val="20"/>
              </w:rPr>
            </w:pPr>
            <w:r w:rsidRPr="00CB0289">
              <w:rPr>
                <w:rFonts w:cs="Arial"/>
                <w:sz w:val="20"/>
                <w:szCs w:val="20"/>
              </w:rPr>
              <w:t>2017</w:t>
            </w:r>
          </w:p>
        </w:tc>
        <w:tc>
          <w:tcPr>
            <w:tcW w:w="1418" w:type="dxa"/>
          </w:tcPr>
          <w:p w14:paraId="68182841" w14:textId="77777777" w:rsidR="00FB04CE" w:rsidRPr="00CB0289" w:rsidRDefault="00FB04CE" w:rsidP="00837C34">
            <w:pPr>
              <w:rPr>
                <w:rFonts w:cs="Arial"/>
                <w:sz w:val="20"/>
                <w:szCs w:val="20"/>
              </w:rPr>
            </w:pPr>
            <w:r w:rsidRPr="00CB0289">
              <w:rPr>
                <w:rFonts w:cs="Arial"/>
                <w:sz w:val="20"/>
                <w:szCs w:val="20"/>
              </w:rPr>
              <w:t>Imported</w:t>
            </w:r>
          </w:p>
        </w:tc>
        <w:tc>
          <w:tcPr>
            <w:tcW w:w="2268" w:type="dxa"/>
          </w:tcPr>
          <w:p w14:paraId="01CD4200" w14:textId="3A3408E6" w:rsidR="00FB04CE" w:rsidRPr="00CB0289" w:rsidRDefault="00FB04CE" w:rsidP="00837C34">
            <w:pPr>
              <w:rPr>
                <w:rFonts w:cs="Arial"/>
                <w:sz w:val="20"/>
                <w:szCs w:val="20"/>
              </w:rPr>
            </w:pPr>
            <w:r>
              <w:rPr>
                <w:rFonts w:cs="Arial"/>
                <w:sz w:val="20"/>
                <w:szCs w:val="20"/>
              </w:rPr>
              <w:t>Yes, outbreak no. </w:t>
            </w:r>
            <w:r w:rsidRPr="00CB0289">
              <w:rPr>
                <w:rFonts w:cs="Arial"/>
                <w:sz w:val="20"/>
                <w:szCs w:val="20"/>
              </w:rPr>
              <w:t>1</w:t>
            </w:r>
            <w:r w:rsidR="002011F1">
              <w:rPr>
                <w:rFonts w:cs="Arial"/>
                <w:sz w:val="20"/>
                <w:szCs w:val="20"/>
              </w:rPr>
              <w:t>7</w:t>
            </w:r>
          </w:p>
        </w:tc>
      </w:tr>
      <w:tr w:rsidR="00FB04CE" w:rsidRPr="000A3447" w14:paraId="7D3756CE" w14:textId="77777777" w:rsidTr="00837C34">
        <w:tc>
          <w:tcPr>
            <w:tcW w:w="2397" w:type="dxa"/>
            <w:shd w:val="clear" w:color="auto" w:fill="auto"/>
          </w:tcPr>
          <w:p w14:paraId="0073928E" w14:textId="77777777" w:rsidR="00FB04CE" w:rsidRPr="00CB0289" w:rsidRDefault="00FB04CE" w:rsidP="00837C34">
            <w:pPr>
              <w:rPr>
                <w:rFonts w:cs="Arial"/>
                <w:sz w:val="20"/>
                <w:szCs w:val="20"/>
              </w:rPr>
            </w:pPr>
            <w:r w:rsidRPr="00CB0289">
              <w:rPr>
                <w:rFonts w:cs="Arial"/>
                <w:sz w:val="20"/>
                <w:szCs w:val="20"/>
              </w:rPr>
              <w:t>Frozen berries (mixed and raspberries)</w:t>
            </w:r>
          </w:p>
        </w:tc>
        <w:tc>
          <w:tcPr>
            <w:tcW w:w="2139" w:type="dxa"/>
          </w:tcPr>
          <w:p w14:paraId="6CC9FD57" w14:textId="77777777" w:rsidR="00FB04CE" w:rsidRPr="00CB0289" w:rsidRDefault="00FB04CE" w:rsidP="00837C34">
            <w:pPr>
              <w:rPr>
                <w:rFonts w:cs="Arial"/>
                <w:sz w:val="20"/>
                <w:szCs w:val="20"/>
              </w:rPr>
            </w:pPr>
            <w:r>
              <w:rPr>
                <w:rFonts w:cs="Arial"/>
                <w:sz w:val="20"/>
                <w:szCs w:val="20"/>
              </w:rPr>
              <w:t>HAV</w:t>
            </w:r>
          </w:p>
        </w:tc>
        <w:tc>
          <w:tcPr>
            <w:tcW w:w="709" w:type="dxa"/>
          </w:tcPr>
          <w:p w14:paraId="1C08F5CF" w14:textId="77777777" w:rsidR="00FB04CE" w:rsidRPr="00CB0289" w:rsidRDefault="00FB04CE" w:rsidP="00837C34">
            <w:pPr>
              <w:rPr>
                <w:rFonts w:cs="Arial"/>
                <w:sz w:val="20"/>
                <w:szCs w:val="20"/>
              </w:rPr>
            </w:pPr>
            <w:r w:rsidRPr="00CB0289">
              <w:rPr>
                <w:rFonts w:cs="Arial"/>
                <w:sz w:val="20"/>
                <w:szCs w:val="20"/>
              </w:rPr>
              <w:t>2015</w:t>
            </w:r>
          </w:p>
        </w:tc>
        <w:tc>
          <w:tcPr>
            <w:tcW w:w="1418" w:type="dxa"/>
          </w:tcPr>
          <w:p w14:paraId="1ECAC750" w14:textId="77777777" w:rsidR="00FB04CE" w:rsidRPr="00CB0289" w:rsidRDefault="00FB04CE" w:rsidP="00837C34">
            <w:pPr>
              <w:rPr>
                <w:rFonts w:cs="Arial"/>
                <w:sz w:val="20"/>
                <w:szCs w:val="20"/>
              </w:rPr>
            </w:pPr>
            <w:r w:rsidRPr="00CB0289">
              <w:rPr>
                <w:rFonts w:cs="Arial"/>
                <w:sz w:val="20"/>
                <w:szCs w:val="20"/>
              </w:rPr>
              <w:t>Imported</w:t>
            </w:r>
          </w:p>
        </w:tc>
        <w:tc>
          <w:tcPr>
            <w:tcW w:w="2268" w:type="dxa"/>
          </w:tcPr>
          <w:p w14:paraId="644D1BFB" w14:textId="7946430E" w:rsidR="00FB04CE" w:rsidRPr="00CB0289" w:rsidRDefault="00FB04CE" w:rsidP="00837C34">
            <w:pPr>
              <w:rPr>
                <w:rFonts w:cs="Arial"/>
                <w:sz w:val="20"/>
                <w:szCs w:val="20"/>
              </w:rPr>
            </w:pPr>
            <w:r>
              <w:rPr>
                <w:rFonts w:cs="Arial"/>
                <w:sz w:val="20"/>
                <w:szCs w:val="20"/>
              </w:rPr>
              <w:t>Yes, outbreak no. </w:t>
            </w:r>
            <w:r w:rsidR="002011F1">
              <w:rPr>
                <w:rFonts w:cs="Arial"/>
                <w:sz w:val="20"/>
                <w:szCs w:val="20"/>
              </w:rPr>
              <w:t>12</w:t>
            </w:r>
          </w:p>
        </w:tc>
      </w:tr>
      <w:tr w:rsidR="00FB04CE" w:rsidRPr="000A3447" w14:paraId="37A5902B" w14:textId="77777777" w:rsidTr="00837C34">
        <w:tc>
          <w:tcPr>
            <w:tcW w:w="2397" w:type="dxa"/>
            <w:shd w:val="clear" w:color="auto" w:fill="auto"/>
          </w:tcPr>
          <w:p w14:paraId="4F0A08E2" w14:textId="77777777" w:rsidR="00FB04CE" w:rsidRPr="00CB0289" w:rsidRDefault="00FB04CE" w:rsidP="00837C34">
            <w:pPr>
              <w:rPr>
                <w:rFonts w:cs="Arial"/>
                <w:sz w:val="20"/>
                <w:szCs w:val="20"/>
              </w:rPr>
            </w:pPr>
            <w:r w:rsidRPr="00CB0289">
              <w:rPr>
                <w:rFonts w:cs="Arial"/>
                <w:sz w:val="20"/>
                <w:szCs w:val="20"/>
              </w:rPr>
              <w:t>Frozen berries (mixed)</w:t>
            </w:r>
          </w:p>
        </w:tc>
        <w:tc>
          <w:tcPr>
            <w:tcW w:w="2139" w:type="dxa"/>
          </w:tcPr>
          <w:p w14:paraId="4F039D3E" w14:textId="77777777" w:rsidR="00FB04CE" w:rsidRPr="00CB0289" w:rsidRDefault="00FB04CE" w:rsidP="00837C34">
            <w:pPr>
              <w:rPr>
                <w:rFonts w:cs="Arial"/>
                <w:sz w:val="20"/>
                <w:szCs w:val="20"/>
              </w:rPr>
            </w:pPr>
            <w:r>
              <w:rPr>
                <w:rFonts w:cs="Arial"/>
                <w:sz w:val="20"/>
                <w:szCs w:val="20"/>
              </w:rPr>
              <w:t>HAV</w:t>
            </w:r>
          </w:p>
        </w:tc>
        <w:tc>
          <w:tcPr>
            <w:tcW w:w="709" w:type="dxa"/>
          </w:tcPr>
          <w:p w14:paraId="58B436E1" w14:textId="77777777" w:rsidR="00FB04CE" w:rsidRPr="00CB0289" w:rsidRDefault="00FB04CE" w:rsidP="00837C34">
            <w:pPr>
              <w:rPr>
                <w:rFonts w:cs="Arial"/>
                <w:sz w:val="20"/>
                <w:szCs w:val="20"/>
              </w:rPr>
            </w:pPr>
            <w:r w:rsidRPr="00CB0289">
              <w:rPr>
                <w:rFonts w:cs="Arial"/>
                <w:sz w:val="20"/>
                <w:szCs w:val="20"/>
              </w:rPr>
              <w:t>2015</w:t>
            </w:r>
          </w:p>
        </w:tc>
        <w:tc>
          <w:tcPr>
            <w:tcW w:w="1418" w:type="dxa"/>
          </w:tcPr>
          <w:p w14:paraId="14AA2A09" w14:textId="77777777" w:rsidR="00FB04CE" w:rsidRPr="00CB0289" w:rsidRDefault="00FB04CE" w:rsidP="00837C34">
            <w:pPr>
              <w:rPr>
                <w:rFonts w:cs="Arial"/>
                <w:sz w:val="20"/>
                <w:szCs w:val="20"/>
              </w:rPr>
            </w:pPr>
            <w:r w:rsidRPr="00CB0289">
              <w:rPr>
                <w:rFonts w:cs="Arial"/>
                <w:sz w:val="20"/>
                <w:szCs w:val="20"/>
              </w:rPr>
              <w:t>Imported</w:t>
            </w:r>
          </w:p>
        </w:tc>
        <w:tc>
          <w:tcPr>
            <w:tcW w:w="2268" w:type="dxa"/>
          </w:tcPr>
          <w:p w14:paraId="5F1B5C02" w14:textId="178778AF" w:rsidR="00FB04CE" w:rsidRPr="00CB0289" w:rsidRDefault="00FB04CE" w:rsidP="00837C34">
            <w:pPr>
              <w:rPr>
                <w:rFonts w:cs="Arial"/>
                <w:sz w:val="20"/>
                <w:szCs w:val="20"/>
              </w:rPr>
            </w:pPr>
            <w:r w:rsidRPr="00CB0289">
              <w:rPr>
                <w:rFonts w:cs="Arial"/>
                <w:sz w:val="20"/>
                <w:szCs w:val="20"/>
              </w:rPr>
              <w:t xml:space="preserve">Yes, </w:t>
            </w:r>
            <w:r>
              <w:rPr>
                <w:rFonts w:cs="Arial"/>
                <w:sz w:val="20"/>
                <w:szCs w:val="20"/>
              </w:rPr>
              <w:t>outbreak no. </w:t>
            </w:r>
            <w:r w:rsidR="002011F1">
              <w:rPr>
                <w:rFonts w:cs="Arial"/>
                <w:sz w:val="20"/>
                <w:szCs w:val="20"/>
              </w:rPr>
              <w:t>12</w:t>
            </w:r>
          </w:p>
        </w:tc>
      </w:tr>
      <w:tr w:rsidR="00FB04CE" w:rsidRPr="000A3447" w14:paraId="2A6B7139" w14:textId="77777777" w:rsidTr="00837C34">
        <w:tc>
          <w:tcPr>
            <w:tcW w:w="8931" w:type="dxa"/>
            <w:gridSpan w:val="5"/>
          </w:tcPr>
          <w:p w14:paraId="65989A7C" w14:textId="77777777" w:rsidR="00FB04CE" w:rsidRPr="00CB0289" w:rsidRDefault="00FB04CE" w:rsidP="00837C34">
            <w:pPr>
              <w:rPr>
                <w:rFonts w:cs="Arial"/>
                <w:sz w:val="20"/>
                <w:szCs w:val="20"/>
              </w:rPr>
            </w:pPr>
          </w:p>
        </w:tc>
      </w:tr>
      <w:tr w:rsidR="00FB04CE" w:rsidRPr="000A3447" w14:paraId="0AFE6246" w14:textId="77777777" w:rsidTr="00837C34">
        <w:tc>
          <w:tcPr>
            <w:tcW w:w="8931" w:type="dxa"/>
            <w:gridSpan w:val="5"/>
            <w:shd w:val="clear" w:color="auto" w:fill="C6D9F1" w:themeFill="text2" w:themeFillTint="33"/>
          </w:tcPr>
          <w:p w14:paraId="76E359F1" w14:textId="77777777" w:rsidR="00FB04CE" w:rsidRPr="00CB0289" w:rsidRDefault="00FB04CE" w:rsidP="00837C34">
            <w:pPr>
              <w:rPr>
                <w:rFonts w:cs="Arial"/>
                <w:sz w:val="20"/>
                <w:szCs w:val="20"/>
              </w:rPr>
            </w:pPr>
            <w:r w:rsidRPr="00CB0289">
              <w:rPr>
                <w:rFonts w:cs="Arial"/>
                <w:sz w:val="20"/>
                <w:szCs w:val="20"/>
              </w:rPr>
              <w:t>Other fruit</w:t>
            </w:r>
          </w:p>
        </w:tc>
      </w:tr>
      <w:tr w:rsidR="00FB04CE" w:rsidRPr="000A3447" w14:paraId="570597E9" w14:textId="77777777" w:rsidTr="00837C34">
        <w:tc>
          <w:tcPr>
            <w:tcW w:w="2397" w:type="dxa"/>
          </w:tcPr>
          <w:p w14:paraId="5C0CC44F" w14:textId="77777777" w:rsidR="00FB04CE" w:rsidRPr="00CB0289" w:rsidRDefault="00FB04CE" w:rsidP="00837C34">
            <w:pPr>
              <w:rPr>
                <w:rFonts w:cs="Arial"/>
                <w:sz w:val="20"/>
                <w:szCs w:val="20"/>
              </w:rPr>
            </w:pPr>
            <w:r w:rsidRPr="00CB0289">
              <w:rPr>
                <w:rFonts w:cs="Arial"/>
                <w:sz w:val="20"/>
                <w:szCs w:val="20"/>
              </w:rPr>
              <w:t>Frozen pomegranates</w:t>
            </w:r>
          </w:p>
        </w:tc>
        <w:tc>
          <w:tcPr>
            <w:tcW w:w="2139" w:type="dxa"/>
          </w:tcPr>
          <w:p w14:paraId="70D40355" w14:textId="77777777" w:rsidR="00FB04CE" w:rsidRPr="00CB0289" w:rsidRDefault="00FB04CE" w:rsidP="00837C34">
            <w:pPr>
              <w:rPr>
                <w:rFonts w:cs="Arial"/>
                <w:sz w:val="20"/>
                <w:szCs w:val="20"/>
              </w:rPr>
            </w:pPr>
            <w:r>
              <w:rPr>
                <w:rFonts w:cs="Arial"/>
                <w:sz w:val="20"/>
                <w:szCs w:val="20"/>
              </w:rPr>
              <w:t>HAV</w:t>
            </w:r>
          </w:p>
        </w:tc>
        <w:tc>
          <w:tcPr>
            <w:tcW w:w="709" w:type="dxa"/>
          </w:tcPr>
          <w:p w14:paraId="1090BEA8" w14:textId="77777777" w:rsidR="00FB04CE" w:rsidRPr="00CB0289" w:rsidRDefault="00FB04CE" w:rsidP="00837C34">
            <w:pPr>
              <w:rPr>
                <w:rFonts w:cs="Arial"/>
                <w:sz w:val="20"/>
                <w:szCs w:val="20"/>
              </w:rPr>
            </w:pPr>
            <w:r w:rsidRPr="00CB0289">
              <w:rPr>
                <w:rFonts w:cs="Arial"/>
                <w:sz w:val="20"/>
                <w:szCs w:val="20"/>
              </w:rPr>
              <w:t>2018</w:t>
            </w:r>
          </w:p>
        </w:tc>
        <w:tc>
          <w:tcPr>
            <w:tcW w:w="1418" w:type="dxa"/>
          </w:tcPr>
          <w:p w14:paraId="1BEEE05E" w14:textId="77777777" w:rsidR="00FB04CE" w:rsidRPr="00CB0289" w:rsidRDefault="00FB04CE" w:rsidP="00837C34">
            <w:pPr>
              <w:rPr>
                <w:rFonts w:cs="Arial"/>
                <w:sz w:val="20"/>
                <w:szCs w:val="20"/>
              </w:rPr>
            </w:pPr>
            <w:r w:rsidRPr="00CB0289">
              <w:rPr>
                <w:rFonts w:cs="Arial"/>
                <w:sz w:val="20"/>
                <w:szCs w:val="20"/>
              </w:rPr>
              <w:t>Imported</w:t>
            </w:r>
          </w:p>
        </w:tc>
        <w:tc>
          <w:tcPr>
            <w:tcW w:w="2268" w:type="dxa"/>
          </w:tcPr>
          <w:p w14:paraId="36222581" w14:textId="432D8A25" w:rsidR="00FB04CE" w:rsidRPr="00CB0289" w:rsidRDefault="00FB04CE" w:rsidP="00837C34">
            <w:pPr>
              <w:rPr>
                <w:rFonts w:cs="Arial"/>
                <w:sz w:val="20"/>
                <w:szCs w:val="20"/>
              </w:rPr>
            </w:pPr>
            <w:r>
              <w:rPr>
                <w:rFonts w:cs="Arial"/>
                <w:sz w:val="20"/>
                <w:szCs w:val="20"/>
              </w:rPr>
              <w:t>Yes, outbreak no. </w:t>
            </w:r>
            <w:r w:rsidRPr="00CB0289">
              <w:rPr>
                <w:rFonts w:cs="Arial"/>
                <w:sz w:val="20"/>
                <w:szCs w:val="20"/>
              </w:rPr>
              <w:t>1</w:t>
            </w:r>
            <w:r w:rsidR="002011F1">
              <w:rPr>
                <w:rFonts w:cs="Arial"/>
                <w:sz w:val="20"/>
                <w:szCs w:val="20"/>
              </w:rPr>
              <w:t>9</w:t>
            </w:r>
          </w:p>
        </w:tc>
      </w:tr>
    </w:tbl>
    <w:p w14:paraId="0CA19B84" w14:textId="77777777" w:rsidR="00FB04CE" w:rsidRDefault="00FB04CE" w:rsidP="00FB04CE"/>
    <w:p w14:paraId="2ED7D093" w14:textId="77777777" w:rsidR="00FB04CE" w:rsidRPr="00FE3845" w:rsidRDefault="00FB04CE" w:rsidP="00FB04CE">
      <w:pPr>
        <w:pStyle w:val="Heading2"/>
        <w:numPr>
          <w:ilvl w:val="1"/>
          <w:numId w:val="11"/>
        </w:numPr>
      </w:pPr>
      <w:bookmarkStart w:id="73" w:name="_Toc29210131"/>
      <w:bookmarkStart w:id="74" w:name="_Toc29211655"/>
      <w:bookmarkStart w:id="75" w:name="_Toc45275328"/>
      <w:bookmarkStart w:id="76" w:name="_Toc56693412"/>
      <w:bookmarkStart w:id="77" w:name="_Toc58327764"/>
      <w:bookmarkStart w:id="78" w:name="_Toc58333944"/>
      <w:bookmarkStart w:id="79" w:name="_Toc64448752"/>
      <w:bookmarkStart w:id="80" w:name="_Toc87860013"/>
      <w:r>
        <w:t>International outbreaks of foodborne illness associated with fresh horticultural produce</w:t>
      </w:r>
      <w:bookmarkEnd w:id="73"/>
      <w:bookmarkEnd w:id="74"/>
      <w:bookmarkEnd w:id="75"/>
      <w:bookmarkEnd w:id="76"/>
      <w:bookmarkEnd w:id="77"/>
      <w:bookmarkEnd w:id="78"/>
      <w:bookmarkEnd w:id="79"/>
      <w:bookmarkEnd w:id="80"/>
    </w:p>
    <w:p w14:paraId="28696508" w14:textId="55C3A134" w:rsidR="00FB04CE" w:rsidRPr="007A179B" w:rsidRDefault="00FB04CE" w:rsidP="00FB04CE">
      <w:r w:rsidRPr="007A179B">
        <w:t xml:space="preserve">A search for reports of </w:t>
      </w:r>
      <w:r>
        <w:t xml:space="preserve">international </w:t>
      </w:r>
      <w:r w:rsidRPr="007A179B">
        <w:t xml:space="preserve">horticultural produce-associated outbreaks of foodborne illness </w:t>
      </w:r>
      <w:r w:rsidR="00F04B3F">
        <w:t xml:space="preserve">from </w:t>
      </w:r>
      <w:r>
        <w:t xml:space="preserve">2011-2019 </w:t>
      </w:r>
      <w:r w:rsidRPr="007A179B">
        <w:t xml:space="preserve">was conducted using the EBSCO </w:t>
      </w:r>
      <w:r w:rsidRPr="005B6F91">
        <w:t xml:space="preserve">search engine to capture relevant studies from selected databases. Initial search results were subjected to two filtering steps, with articles describing </w:t>
      </w:r>
      <w:r w:rsidR="00F04B3F">
        <w:t>39</w:t>
      </w:r>
      <w:r w:rsidRPr="005B6F91">
        <w:t xml:space="preserve"> outbreaks meeting the search criteria (</w:t>
      </w:r>
      <w:r w:rsidR="00D11D26">
        <w:t>included in</w:t>
      </w:r>
      <w:r w:rsidR="00F04B3F">
        <w:t xml:space="preserve"> </w:t>
      </w:r>
      <w:r w:rsidRPr="005B6F91">
        <w:t>Appendix 2).</w:t>
      </w:r>
    </w:p>
    <w:p w14:paraId="6E559E46" w14:textId="77777777" w:rsidR="00FB04CE" w:rsidRPr="007A179B" w:rsidRDefault="00FB04CE" w:rsidP="00FB04CE"/>
    <w:p w14:paraId="65A5D060" w14:textId="77777777" w:rsidR="00FB04CE" w:rsidRPr="007A179B" w:rsidRDefault="00FB04CE" w:rsidP="00FB04CE">
      <w:r w:rsidRPr="007A179B">
        <w:t>Outbreaks were most commonly caused by contamination with viruses (</w:t>
      </w:r>
      <w:r>
        <w:t>HAV</w:t>
      </w:r>
      <w:r w:rsidRPr="007A179B">
        <w:t xml:space="preserve"> and </w:t>
      </w:r>
      <w:r>
        <w:t>NoV</w:t>
      </w:r>
      <w:r w:rsidRPr="007A179B">
        <w:t xml:space="preserve">), bacterial pathogens (particularly </w:t>
      </w:r>
      <w:r w:rsidRPr="007A179B">
        <w:rPr>
          <w:i/>
        </w:rPr>
        <w:t>Salmonella</w:t>
      </w:r>
      <w:r w:rsidRPr="007A179B">
        <w:t xml:space="preserve"> spp., enterohaemorrhagic </w:t>
      </w:r>
      <w:r w:rsidRPr="007A179B">
        <w:rPr>
          <w:i/>
        </w:rPr>
        <w:t>E. coli</w:t>
      </w:r>
      <w:r w:rsidRPr="007A179B">
        <w:t xml:space="preserve"> and </w:t>
      </w:r>
      <w:r w:rsidRPr="007A179B">
        <w:rPr>
          <w:i/>
        </w:rPr>
        <w:t>L. monocytogenes</w:t>
      </w:r>
      <w:r w:rsidRPr="007A179B">
        <w:t xml:space="preserve">) and enteric parasites (e.g. </w:t>
      </w:r>
      <w:r w:rsidRPr="007A179B">
        <w:rPr>
          <w:i/>
        </w:rPr>
        <w:t>Cyclospora cayetanensis</w:t>
      </w:r>
      <w:r w:rsidRPr="007A179B">
        <w:t>).</w:t>
      </w:r>
    </w:p>
    <w:p w14:paraId="2537D0E9" w14:textId="77777777" w:rsidR="00FB04CE" w:rsidRPr="007A179B" w:rsidRDefault="00FB04CE" w:rsidP="00FB04CE"/>
    <w:p w14:paraId="695652E8" w14:textId="77777777" w:rsidR="00FB04CE" w:rsidRPr="007A179B" w:rsidRDefault="00FB04CE" w:rsidP="00FB04CE">
      <w:r w:rsidRPr="007A179B">
        <w:t>Commodity sectors most often associated with outbreaks were leafy vegetables (lettuces, bagged salads), berries, sprouts and melons.</w:t>
      </w:r>
    </w:p>
    <w:p w14:paraId="2FB78D70" w14:textId="77777777" w:rsidR="00FB04CE" w:rsidRPr="007A179B" w:rsidRDefault="00FB04CE" w:rsidP="00FB04CE"/>
    <w:p w14:paraId="2FB9BE88" w14:textId="77777777" w:rsidR="00FB04CE" w:rsidRPr="007A179B" w:rsidRDefault="00FB04CE" w:rsidP="00FB04CE">
      <w:r w:rsidRPr="007A179B">
        <w:t xml:space="preserve">Typically, these reports did not include robust analyses of the causes of the outbreaks—the specific production and processing practices that caused the contamination, or the relative contribution of potential sources of contamination. In the studies that did provide such evidence, the use of poor quality water for irrigation or application of crop protection chemicals; direct faecal contamination of produce growing in the field; and defects in facilities, hygiene, sanitation and process controls on farm, in processing facilities and along the supply chain were identified. These factors point to failures to implement, monitor and correct defects in </w:t>
      </w:r>
      <w:r>
        <w:t>GAP</w:t>
      </w:r>
      <w:r w:rsidRPr="007A179B">
        <w:t xml:space="preserve"> on farm and </w:t>
      </w:r>
      <w:r>
        <w:t>GHP</w:t>
      </w:r>
      <w:r w:rsidRPr="007A179B">
        <w:t xml:space="preserve"> </w:t>
      </w:r>
      <w:r>
        <w:t>postharvest</w:t>
      </w:r>
      <w:r w:rsidRPr="007A179B">
        <w:t>.</w:t>
      </w:r>
    </w:p>
    <w:p w14:paraId="03CF2DC5" w14:textId="77777777" w:rsidR="00FB04CE" w:rsidRDefault="00FB04CE" w:rsidP="00FB04CE">
      <w:pPr>
        <w:widowControl/>
        <w:rPr>
          <w:b/>
        </w:rPr>
      </w:pPr>
    </w:p>
    <w:p w14:paraId="3E1B812F" w14:textId="77777777" w:rsidR="00FB04CE" w:rsidRDefault="00FB04CE" w:rsidP="00FB04CE">
      <w:pPr>
        <w:pStyle w:val="Heading2"/>
        <w:numPr>
          <w:ilvl w:val="1"/>
          <w:numId w:val="11"/>
        </w:numPr>
      </w:pPr>
      <w:bookmarkStart w:id="81" w:name="_Toc56693413"/>
      <w:bookmarkStart w:id="82" w:name="_Toc58327765"/>
      <w:bookmarkStart w:id="83" w:name="_Toc58333945"/>
      <w:bookmarkStart w:id="84" w:name="_Toc64448753"/>
      <w:bookmarkStart w:id="85" w:name="_Toc87860014"/>
      <w:r>
        <w:t>Prevalence of pathogens in fresh horticultural produce</w:t>
      </w:r>
      <w:bookmarkEnd w:id="81"/>
      <w:bookmarkEnd w:id="82"/>
      <w:bookmarkEnd w:id="83"/>
      <w:bookmarkEnd w:id="84"/>
      <w:bookmarkEnd w:id="85"/>
    </w:p>
    <w:p w14:paraId="4037BEC4" w14:textId="369B7E08" w:rsidR="00FB04CE" w:rsidRPr="005B6F91" w:rsidRDefault="00FB04CE" w:rsidP="00FB04CE">
      <w:r w:rsidRPr="007A179B">
        <w:t xml:space="preserve">A search for </w:t>
      </w:r>
      <w:r>
        <w:t>scientific publications for the</w:t>
      </w:r>
      <w:r w:rsidRPr="007A179B">
        <w:t xml:space="preserve"> </w:t>
      </w:r>
      <w:r>
        <w:t xml:space="preserve">prevalence of hazards in </w:t>
      </w:r>
      <w:r w:rsidRPr="007A179B">
        <w:t>horticultural produce</w:t>
      </w:r>
      <w:r>
        <w:t xml:space="preserve"> </w:t>
      </w:r>
      <w:r w:rsidR="00F55E26">
        <w:t>from</w:t>
      </w:r>
      <w:r w:rsidRPr="007A179B">
        <w:t xml:space="preserve"> </w:t>
      </w:r>
      <w:r>
        <w:t>2011-</w:t>
      </w:r>
      <w:r w:rsidRPr="005B6F91">
        <w:t xml:space="preserve">2019 was conducted using the EBSCO search engine to capture relevant studies from selected databases (Appendix 1). The products and relevant hazards are those described in Section 3. </w:t>
      </w:r>
      <w:r w:rsidRPr="005B6F91">
        <w:rPr>
          <w:i/>
        </w:rPr>
        <w:t>Salmonella</w:t>
      </w:r>
      <w:r w:rsidRPr="005B6F91">
        <w:t xml:space="preserve"> spp. and </w:t>
      </w:r>
      <w:r w:rsidRPr="005B6F91">
        <w:rPr>
          <w:i/>
        </w:rPr>
        <w:t>L</w:t>
      </w:r>
      <w:r w:rsidRPr="005B6F91">
        <w:t xml:space="preserve">. </w:t>
      </w:r>
      <w:r w:rsidRPr="005B6F91">
        <w:rPr>
          <w:i/>
        </w:rPr>
        <w:t>monocytogenes</w:t>
      </w:r>
      <w:r w:rsidRPr="005B6F91">
        <w:t xml:space="preserve"> prevalence data was extracted for the leafy vegetables and melon proxy groups. STEC prevalence data was </w:t>
      </w:r>
      <w:r w:rsidRPr="00F626BF">
        <w:t>identified for the leafy vegetables and berry proxy groups. Prevalence data for the two</w:t>
      </w:r>
      <w:r w:rsidRPr="005B6F91">
        <w:t xml:space="preserve"> viruses</w:t>
      </w:r>
      <w:r w:rsidRPr="00E02EE9">
        <w:t>—</w:t>
      </w:r>
      <w:r w:rsidRPr="005B6F91">
        <w:t>NoV and HAV</w:t>
      </w:r>
      <w:r w:rsidRPr="00E02EE9">
        <w:t>—</w:t>
      </w:r>
      <w:r w:rsidRPr="005B6F91">
        <w:t>was</w:t>
      </w:r>
      <w:r>
        <w:t xml:space="preserve"> extracted for the </w:t>
      </w:r>
      <w:r w:rsidRPr="005B6F91">
        <w:t>berry proxy group only. Initial search results were reviewed and assessed for relevance. Selected papers were then analysed and relevant information extracted and compiled (Appendix 3).</w:t>
      </w:r>
    </w:p>
    <w:p w14:paraId="13CE3032" w14:textId="77F2E0B0" w:rsidR="00FB04CE" w:rsidRDefault="00FB04CE" w:rsidP="00FB04CE">
      <w:r w:rsidRPr="005B6F91">
        <w:t xml:space="preserve">The </w:t>
      </w:r>
      <w:r w:rsidRPr="005B6F91">
        <w:rPr>
          <w:i/>
        </w:rPr>
        <w:t>meta</w:t>
      </w:r>
      <w:r w:rsidRPr="005B6F91">
        <w:t xml:space="preserve"> library </w:t>
      </w:r>
      <w:r w:rsidR="00657FDB">
        <w:t>(Balduzzi et al. 2019)</w:t>
      </w:r>
      <w:r w:rsidRPr="005B6F91">
        <w:t xml:space="preserve"> in R </w:t>
      </w:r>
      <w:r w:rsidR="00657FDB">
        <w:t>(R Core Team 2019)</w:t>
      </w:r>
      <w:r w:rsidRPr="005B6F91">
        <w:t xml:space="preserve"> was used to determine a weighted prevalence estimate summary statistic using a random</w:t>
      </w:r>
      <w:r>
        <w:t xml:space="preserve"> effect meta-analysis method. The results of the analysis for the prevalence of pathogens in samples collected in food businesses for each of the eight commodities (lettuce, spinach, parsley, rockmelon, watermelon, raspberry, blueberry and strawberry) are summarised in </w:t>
      </w:r>
      <w:r>
        <w:rPr>
          <w:highlight w:val="yellow"/>
        </w:rPr>
        <w:fldChar w:fldCharType="begin"/>
      </w:r>
      <w:r>
        <w:instrText xml:space="preserve"> REF _Ref58344001 \h </w:instrText>
      </w:r>
      <w:r>
        <w:rPr>
          <w:highlight w:val="yellow"/>
        </w:rPr>
      </w:r>
      <w:r>
        <w:rPr>
          <w:highlight w:val="yellow"/>
        </w:rPr>
        <w:fldChar w:fldCharType="separate"/>
      </w:r>
      <w:r w:rsidR="00A952A2">
        <w:t xml:space="preserve">Table </w:t>
      </w:r>
      <w:r w:rsidR="00A952A2">
        <w:rPr>
          <w:noProof/>
        </w:rPr>
        <w:t>3</w:t>
      </w:r>
      <w:r>
        <w:rPr>
          <w:highlight w:val="yellow"/>
        </w:rPr>
        <w:fldChar w:fldCharType="end"/>
      </w:r>
      <w:r>
        <w:t>. Overall the prevalence of pathogens in each of the commodities ranged from 0.05% for HAV in raspberries to 2.9% for STEC in parsley.</w:t>
      </w:r>
    </w:p>
    <w:p w14:paraId="681BACA7" w14:textId="77777777" w:rsidR="00FB04CE" w:rsidRDefault="00FB04CE" w:rsidP="00FB04CE"/>
    <w:p w14:paraId="08BB6F3E" w14:textId="7D4D5E1B" w:rsidR="00FB04CE" w:rsidRDefault="00FB04CE" w:rsidP="00FB04CE">
      <w:bookmarkStart w:id="86" w:name="_Ref58344001"/>
      <w:r>
        <w:t xml:space="preserve">Table </w:t>
      </w:r>
      <w:fldSimple w:instr=" SEQ Table \* ARABIC ">
        <w:r w:rsidR="00A952A2">
          <w:rPr>
            <w:noProof/>
          </w:rPr>
          <w:t>3</w:t>
        </w:r>
      </w:fldSimple>
      <w:bookmarkEnd w:id="86"/>
      <w:r>
        <w:t>. Mean percentage (%) of positive samples for pathogens in horticulture commodities</w:t>
      </w:r>
    </w:p>
    <w:p w14:paraId="19A75892" w14:textId="77777777" w:rsidR="00FB04CE" w:rsidRDefault="00FB04CE" w:rsidP="00FB04CE"/>
    <w:tbl>
      <w:tblPr>
        <w:tblStyle w:val="TableGrid"/>
        <w:tblW w:w="0" w:type="auto"/>
        <w:tblLook w:val="04A0" w:firstRow="1" w:lastRow="0" w:firstColumn="1" w:lastColumn="0" w:noHBand="0" w:noVBand="1"/>
        <w:tblCaption w:val="Table 3. Mean percentage (%) of positive samples for pathogens in horticulture commodities"/>
      </w:tblPr>
      <w:tblGrid>
        <w:gridCol w:w="1501"/>
        <w:gridCol w:w="1497"/>
        <w:gridCol w:w="1250"/>
        <w:gridCol w:w="2126"/>
        <w:gridCol w:w="1243"/>
        <w:gridCol w:w="1443"/>
      </w:tblGrid>
      <w:tr w:rsidR="00FB04CE" w:rsidRPr="00F626BF" w14:paraId="37245BD8" w14:textId="77777777" w:rsidTr="00837C34">
        <w:trPr>
          <w:trHeight w:val="333"/>
        </w:trPr>
        <w:tc>
          <w:tcPr>
            <w:tcW w:w="1501" w:type="dxa"/>
            <w:shd w:val="clear" w:color="auto" w:fill="C6D9F1" w:themeFill="text2" w:themeFillTint="33"/>
          </w:tcPr>
          <w:p w14:paraId="43FD919C" w14:textId="77777777" w:rsidR="00FB04CE" w:rsidRPr="00F626BF" w:rsidRDefault="00FB04CE" w:rsidP="00837C34">
            <w:pPr>
              <w:rPr>
                <w:rFonts w:cs="Arial"/>
                <w:b/>
                <w:sz w:val="20"/>
                <w:szCs w:val="20"/>
              </w:rPr>
            </w:pPr>
            <w:r w:rsidRPr="00F626BF">
              <w:rPr>
                <w:rFonts w:cs="Arial"/>
                <w:b/>
                <w:sz w:val="20"/>
                <w:szCs w:val="20"/>
              </w:rPr>
              <w:t>Commodity</w:t>
            </w:r>
          </w:p>
        </w:tc>
        <w:tc>
          <w:tcPr>
            <w:tcW w:w="1497" w:type="dxa"/>
            <w:shd w:val="clear" w:color="auto" w:fill="C6D9F1" w:themeFill="text2" w:themeFillTint="33"/>
          </w:tcPr>
          <w:p w14:paraId="71C7ECD4" w14:textId="77777777" w:rsidR="00FB04CE" w:rsidRPr="00F626BF" w:rsidRDefault="00FB04CE" w:rsidP="00837C34">
            <w:pPr>
              <w:rPr>
                <w:rFonts w:cs="Arial"/>
                <w:b/>
                <w:i/>
                <w:sz w:val="20"/>
                <w:szCs w:val="20"/>
              </w:rPr>
            </w:pPr>
            <w:r w:rsidRPr="00F626BF">
              <w:rPr>
                <w:rFonts w:cs="Arial"/>
                <w:b/>
                <w:i/>
                <w:sz w:val="20"/>
                <w:szCs w:val="20"/>
              </w:rPr>
              <w:t>Salmonella</w:t>
            </w:r>
          </w:p>
        </w:tc>
        <w:tc>
          <w:tcPr>
            <w:tcW w:w="1250" w:type="dxa"/>
            <w:shd w:val="clear" w:color="auto" w:fill="C6D9F1" w:themeFill="text2" w:themeFillTint="33"/>
          </w:tcPr>
          <w:p w14:paraId="1DD57515" w14:textId="77777777" w:rsidR="00FB04CE" w:rsidRPr="00F626BF" w:rsidRDefault="00FB04CE" w:rsidP="00837C34">
            <w:pPr>
              <w:rPr>
                <w:rFonts w:cs="Arial"/>
                <w:b/>
                <w:sz w:val="20"/>
                <w:szCs w:val="20"/>
              </w:rPr>
            </w:pPr>
            <w:r w:rsidRPr="00F626BF">
              <w:rPr>
                <w:rFonts w:cs="Arial"/>
                <w:b/>
                <w:sz w:val="20"/>
                <w:szCs w:val="20"/>
              </w:rPr>
              <w:t>STEC</w:t>
            </w:r>
          </w:p>
        </w:tc>
        <w:tc>
          <w:tcPr>
            <w:tcW w:w="2126" w:type="dxa"/>
            <w:shd w:val="clear" w:color="auto" w:fill="C6D9F1" w:themeFill="text2" w:themeFillTint="33"/>
          </w:tcPr>
          <w:p w14:paraId="20F9680B" w14:textId="77777777" w:rsidR="00FB04CE" w:rsidRPr="00F626BF" w:rsidRDefault="00FB04CE" w:rsidP="00837C34">
            <w:pPr>
              <w:rPr>
                <w:rFonts w:cs="Arial"/>
                <w:b/>
                <w:i/>
                <w:sz w:val="20"/>
                <w:szCs w:val="20"/>
              </w:rPr>
            </w:pPr>
            <w:r w:rsidRPr="00F626BF">
              <w:rPr>
                <w:rFonts w:cs="Arial"/>
                <w:b/>
                <w:i/>
                <w:sz w:val="20"/>
                <w:szCs w:val="20"/>
              </w:rPr>
              <w:t>L. monocytogenes</w:t>
            </w:r>
          </w:p>
        </w:tc>
        <w:tc>
          <w:tcPr>
            <w:tcW w:w="1243" w:type="dxa"/>
            <w:shd w:val="clear" w:color="auto" w:fill="C6D9F1" w:themeFill="text2" w:themeFillTint="33"/>
          </w:tcPr>
          <w:p w14:paraId="1B19376E" w14:textId="77777777" w:rsidR="00FB04CE" w:rsidRPr="00F626BF" w:rsidRDefault="00FB04CE" w:rsidP="00837C34">
            <w:pPr>
              <w:rPr>
                <w:rFonts w:cs="Arial"/>
                <w:b/>
                <w:sz w:val="20"/>
                <w:szCs w:val="20"/>
              </w:rPr>
            </w:pPr>
            <w:r w:rsidRPr="00F626BF">
              <w:rPr>
                <w:rFonts w:cs="Arial"/>
                <w:b/>
                <w:sz w:val="20"/>
                <w:szCs w:val="20"/>
              </w:rPr>
              <w:t>NoV</w:t>
            </w:r>
          </w:p>
        </w:tc>
        <w:tc>
          <w:tcPr>
            <w:tcW w:w="1443" w:type="dxa"/>
            <w:shd w:val="clear" w:color="auto" w:fill="C6D9F1" w:themeFill="text2" w:themeFillTint="33"/>
          </w:tcPr>
          <w:p w14:paraId="31702ABD" w14:textId="77777777" w:rsidR="00FB04CE" w:rsidRPr="00F626BF" w:rsidRDefault="00FB04CE" w:rsidP="00837C34">
            <w:pPr>
              <w:rPr>
                <w:rFonts w:cs="Arial"/>
                <w:b/>
                <w:sz w:val="20"/>
                <w:szCs w:val="20"/>
              </w:rPr>
            </w:pPr>
            <w:r w:rsidRPr="00F626BF">
              <w:rPr>
                <w:rFonts w:cs="Arial"/>
                <w:b/>
                <w:sz w:val="20"/>
                <w:szCs w:val="20"/>
              </w:rPr>
              <w:t>HAV</w:t>
            </w:r>
          </w:p>
        </w:tc>
      </w:tr>
      <w:tr w:rsidR="00FB04CE" w:rsidRPr="00F626BF" w14:paraId="3606D09A" w14:textId="77777777" w:rsidTr="00837C34">
        <w:tc>
          <w:tcPr>
            <w:tcW w:w="9060" w:type="dxa"/>
            <w:gridSpan w:val="6"/>
            <w:shd w:val="clear" w:color="auto" w:fill="auto"/>
          </w:tcPr>
          <w:p w14:paraId="08E43661" w14:textId="77777777" w:rsidR="00FB04CE" w:rsidRPr="00F626BF" w:rsidRDefault="00FB04CE" w:rsidP="00837C34">
            <w:pPr>
              <w:rPr>
                <w:rFonts w:cs="Arial"/>
                <w:i/>
                <w:sz w:val="20"/>
                <w:szCs w:val="20"/>
              </w:rPr>
            </w:pPr>
          </w:p>
        </w:tc>
      </w:tr>
      <w:tr w:rsidR="00FB04CE" w:rsidRPr="00F626BF" w14:paraId="6B168A51" w14:textId="77777777" w:rsidTr="00837C34">
        <w:tc>
          <w:tcPr>
            <w:tcW w:w="9060" w:type="dxa"/>
            <w:gridSpan w:val="6"/>
            <w:shd w:val="clear" w:color="auto" w:fill="C6D9F1" w:themeFill="text2" w:themeFillTint="33"/>
          </w:tcPr>
          <w:p w14:paraId="3E7D619D" w14:textId="77777777" w:rsidR="00FB04CE" w:rsidRPr="00F626BF" w:rsidRDefault="00FB04CE" w:rsidP="00837C34">
            <w:pPr>
              <w:rPr>
                <w:rFonts w:cs="Arial"/>
                <w:sz w:val="20"/>
                <w:szCs w:val="20"/>
              </w:rPr>
            </w:pPr>
            <w:r w:rsidRPr="00F626BF">
              <w:rPr>
                <w:rFonts w:cs="Arial"/>
                <w:sz w:val="20"/>
                <w:szCs w:val="20"/>
              </w:rPr>
              <w:t>Leafy vegetables</w:t>
            </w:r>
          </w:p>
        </w:tc>
      </w:tr>
      <w:tr w:rsidR="00FB04CE" w:rsidRPr="00F626BF" w14:paraId="2EF3F693" w14:textId="77777777" w:rsidTr="00837C34">
        <w:tc>
          <w:tcPr>
            <w:tcW w:w="1501" w:type="dxa"/>
            <w:shd w:val="clear" w:color="auto" w:fill="auto"/>
          </w:tcPr>
          <w:p w14:paraId="5AC52DCD" w14:textId="77777777" w:rsidR="00FB04CE" w:rsidRPr="00F626BF" w:rsidRDefault="00FB04CE" w:rsidP="00837C34">
            <w:pPr>
              <w:rPr>
                <w:rFonts w:cs="Arial"/>
                <w:sz w:val="20"/>
                <w:szCs w:val="20"/>
              </w:rPr>
            </w:pPr>
            <w:r w:rsidRPr="00F626BF">
              <w:rPr>
                <w:rFonts w:cs="Arial"/>
                <w:sz w:val="20"/>
                <w:szCs w:val="20"/>
              </w:rPr>
              <w:t>Lettuce</w:t>
            </w:r>
          </w:p>
        </w:tc>
        <w:tc>
          <w:tcPr>
            <w:tcW w:w="1497" w:type="dxa"/>
            <w:shd w:val="clear" w:color="auto" w:fill="auto"/>
          </w:tcPr>
          <w:p w14:paraId="597AEC5C" w14:textId="77777777" w:rsidR="00FB04CE" w:rsidRPr="00F626BF" w:rsidRDefault="00FB04CE" w:rsidP="00837C34">
            <w:pPr>
              <w:rPr>
                <w:rFonts w:cs="Arial"/>
                <w:sz w:val="20"/>
                <w:szCs w:val="20"/>
              </w:rPr>
            </w:pPr>
            <w:r w:rsidRPr="00F626BF">
              <w:rPr>
                <w:rFonts w:cs="Arial"/>
                <w:sz w:val="20"/>
                <w:szCs w:val="20"/>
              </w:rPr>
              <w:t>0.2% (33)</w:t>
            </w:r>
          </w:p>
        </w:tc>
        <w:tc>
          <w:tcPr>
            <w:tcW w:w="1250" w:type="dxa"/>
            <w:shd w:val="clear" w:color="auto" w:fill="auto"/>
          </w:tcPr>
          <w:p w14:paraId="5BCA6BEC" w14:textId="77777777" w:rsidR="00FB04CE" w:rsidRPr="00F626BF" w:rsidRDefault="00FB04CE" w:rsidP="00837C34">
            <w:pPr>
              <w:rPr>
                <w:rFonts w:cs="Arial"/>
                <w:sz w:val="20"/>
                <w:szCs w:val="20"/>
              </w:rPr>
            </w:pPr>
            <w:r w:rsidRPr="00F626BF">
              <w:rPr>
                <w:rFonts w:cs="Arial"/>
                <w:sz w:val="20"/>
                <w:szCs w:val="20"/>
              </w:rPr>
              <w:t>0.5% (9)</w:t>
            </w:r>
          </w:p>
        </w:tc>
        <w:tc>
          <w:tcPr>
            <w:tcW w:w="2126" w:type="dxa"/>
            <w:shd w:val="clear" w:color="auto" w:fill="auto"/>
          </w:tcPr>
          <w:p w14:paraId="7F9B2927" w14:textId="77777777" w:rsidR="00FB04CE" w:rsidRPr="00F626BF" w:rsidRDefault="00FB04CE" w:rsidP="00837C34">
            <w:pPr>
              <w:rPr>
                <w:rFonts w:cs="Arial"/>
                <w:sz w:val="20"/>
                <w:szCs w:val="20"/>
              </w:rPr>
            </w:pPr>
            <w:r w:rsidRPr="00F626BF">
              <w:rPr>
                <w:rFonts w:cs="Arial"/>
                <w:sz w:val="20"/>
                <w:szCs w:val="20"/>
              </w:rPr>
              <w:t>0.5% (15)</w:t>
            </w:r>
          </w:p>
        </w:tc>
        <w:tc>
          <w:tcPr>
            <w:tcW w:w="1243" w:type="dxa"/>
            <w:shd w:val="clear" w:color="auto" w:fill="auto"/>
          </w:tcPr>
          <w:p w14:paraId="7E86B6FF" w14:textId="77777777" w:rsidR="00FB04CE" w:rsidRPr="00F626BF" w:rsidRDefault="00FB04CE" w:rsidP="00837C34">
            <w:pPr>
              <w:rPr>
                <w:rFonts w:cs="Arial"/>
                <w:sz w:val="20"/>
                <w:szCs w:val="20"/>
              </w:rPr>
            </w:pPr>
            <w:r w:rsidRPr="00F626BF">
              <w:rPr>
                <w:rFonts w:cs="Arial"/>
                <w:sz w:val="20"/>
                <w:szCs w:val="20"/>
              </w:rPr>
              <w:t>n.a.</w:t>
            </w:r>
          </w:p>
        </w:tc>
        <w:tc>
          <w:tcPr>
            <w:tcW w:w="1443" w:type="dxa"/>
            <w:shd w:val="clear" w:color="auto" w:fill="auto"/>
          </w:tcPr>
          <w:p w14:paraId="11276254" w14:textId="77777777" w:rsidR="00FB04CE" w:rsidRPr="00F626BF" w:rsidRDefault="00FB04CE" w:rsidP="00837C34">
            <w:pPr>
              <w:rPr>
                <w:rFonts w:cs="Arial"/>
                <w:sz w:val="20"/>
                <w:szCs w:val="20"/>
              </w:rPr>
            </w:pPr>
            <w:r w:rsidRPr="00F626BF">
              <w:rPr>
                <w:rFonts w:cs="Arial"/>
                <w:sz w:val="20"/>
                <w:szCs w:val="20"/>
              </w:rPr>
              <w:t>n.a.</w:t>
            </w:r>
          </w:p>
        </w:tc>
      </w:tr>
      <w:tr w:rsidR="00FB04CE" w:rsidRPr="00F626BF" w14:paraId="5B7CC82C" w14:textId="77777777" w:rsidTr="00837C34">
        <w:tc>
          <w:tcPr>
            <w:tcW w:w="1501" w:type="dxa"/>
            <w:shd w:val="clear" w:color="auto" w:fill="auto"/>
          </w:tcPr>
          <w:p w14:paraId="604738DF" w14:textId="77777777" w:rsidR="00FB04CE" w:rsidRPr="00F626BF" w:rsidRDefault="00FB04CE" w:rsidP="00837C34">
            <w:pPr>
              <w:rPr>
                <w:rFonts w:cs="Arial"/>
                <w:sz w:val="20"/>
                <w:szCs w:val="20"/>
              </w:rPr>
            </w:pPr>
            <w:r w:rsidRPr="00F626BF">
              <w:rPr>
                <w:rFonts w:cs="Arial"/>
                <w:sz w:val="20"/>
                <w:szCs w:val="20"/>
              </w:rPr>
              <w:t>Spinach</w:t>
            </w:r>
          </w:p>
        </w:tc>
        <w:tc>
          <w:tcPr>
            <w:tcW w:w="1497" w:type="dxa"/>
            <w:shd w:val="clear" w:color="auto" w:fill="auto"/>
          </w:tcPr>
          <w:p w14:paraId="275DAA31" w14:textId="77777777" w:rsidR="00FB04CE" w:rsidRPr="00F626BF" w:rsidRDefault="00FB04CE" w:rsidP="00837C34">
            <w:pPr>
              <w:rPr>
                <w:rFonts w:cs="Arial"/>
                <w:sz w:val="20"/>
                <w:szCs w:val="20"/>
              </w:rPr>
            </w:pPr>
            <w:r w:rsidRPr="00F626BF">
              <w:rPr>
                <w:rFonts w:cs="Arial"/>
                <w:sz w:val="20"/>
                <w:szCs w:val="20"/>
              </w:rPr>
              <w:t>0.06% (13)</w:t>
            </w:r>
          </w:p>
        </w:tc>
        <w:tc>
          <w:tcPr>
            <w:tcW w:w="1250" w:type="dxa"/>
            <w:shd w:val="clear" w:color="auto" w:fill="auto"/>
          </w:tcPr>
          <w:p w14:paraId="4F56D1D9" w14:textId="77777777" w:rsidR="00FB04CE" w:rsidRPr="00F626BF" w:rsidRDefault="00FB04CE" w:rsidP="00837C34">
            <w:pPr>
              <w:rPr>
                <w:rFonts w:cs="Arial"/>
                <w:sz w:val="20"/>
                <w:szCs w:val="20"/>
              </w:rPr>
            </w:pPr>
            <w:r w:rsidRPr="00F626BF">
              <w:rPr>
                <w:rFonts w:cs="Arial"/>
                <w:sz w:val="20"/>
                <w:szCs w:val="20"/>
              </w:rPr>
              <w:t>0.6% (5)</w:t>
            </w:r>
          </w:p>
        </w:tc>
        <w:tc>
          <w:tcPr>
            <w:tcW w:w="2126" w:type="dxa"/>
            <w:shd w:val="clear" w:color="auto" w:fill="auto"/>
          </w:tcPr>
          <w:p w14:paraId="50BD4693" w14:textId="77777777" w:rsidR="00FB04CE" w:rsidRPr="00F626BF" w:rsidRDefault="00FB04CE" w:rsidP="00837C34">
            <w:pPr>
              <w:rPr>
                <w:rFonts w:cs="Arial"/>
                <w:sz w:val="20"/>
                <w:szCs w:val="20"/>
              </w:rPr>
            </w:pPr>
            <w:r w:rsidRPr="00F626BF">
              <w:rPr>
                <w:rFonts w:cs="Arial"/>
                <w:sz w:val="20"/>
                <w:szCs w:val="20"/>
              </w:rPr>
              <w:t>1.7% (15)</w:t>
            </w:r>
          </w:p>
        </w:tc>
        <w:tc>
          <w:tcPr>
            <w:tcW w:w="1243" w:type="dxa"/>
            <w:shd w:val="clear" w:color="auto" w:fill="auto"/>
          </w:tcPr>
          <w:p w14:paraId="08495FF4" w14:textId="77777777" w:rsidR="00FB04CE" w:rsidRPr="00F626BF" w:rsidRDefault="00FB04CE" w:rsidP="00837C34">
            <w:pPr>
              <w:rPr>
                <w:rFonts w:cs="Arial"/>
                <w:sz w:val="20"/>
                <w:szCs w:val="20"/>
              </w:rPr>
            </w:pPr>
            <w:r w:rsidRPr="00F626BF">
              <w:rPr>
                <w:rFonts w:cs="Arial"/>
                <w:sz w:val="20"/>
                <w:szCs w:val="20"/>
              </w:rPr>
              <w:t>n.a.</w:t>
            </w:r>
          </w:p>
        </w:tc>
        <w:tc>
          <w:tcPr>
            <w:tcW w:w="1443" w:type="dxa"/>
            <w:shd w:val="clear" w:color="auto" w:fill="auto"/>
          </w:tcPr>
          <w:p w14:paraId="01F2D25C" w14:textId="77777777" w:rsidR="00FB04CE" w:rsidRPr="00F626BF" w:rsidRDefault="00FB04CE" w:rsidP="00837C34">
            <w:pPr>
              <w:rPr>
                <w:rFonts w:cs="Arial"/>
                <w:sz w:val="20"/>
                <w:szCs w:val="20"/>
              </w:rPr>
            </w:pPr>
            <w:r w:rsidRPr="00F626BF">
              <w:rPr>
                <w:rFonts w:cs="Arial"/>
                <w:sz w:val="20"/>
                <w:szCs w:val="20"/>
              </w:rPr>
              <w:t>n.a.</w:t>
            </w:r>
          </w:p>
        </w:tc>
      </w:tr>
      <w:tr w:rsidR="00FB04CE" w:rsidRPr="00F626BF" w14:paraId="743A303D" w14:textId="77777777" w:rsidTr="00837C34">
        <w:tc>
          <w:tcPr>
            <w:tcW w:w="1501" w:type="dxa"/>
            <w:shd w:val="clear" w:color="auto" w:fill="auto"/>
          </w:tcPr>
          <w:p w14:paraId="5D181507" w14:textId="77777777" w:rsidR="00FB04CE" w:rsidRPr="00F626BF" w:rsidRDefault="00FB04CE" w:rsidP="00837C34">
            <w:pPr>
              <w:rPr>
                <w:rFonts w:cs="Arial"/>
                <w:sz w:val="20"/>
                <w:szCs w:val="20"/>
              </w:rPr>
            </w:pPr>
            <w:r w:rsidRPr="00F626BF">
              <w:rPr>
                <w:rFonts w:cs="Arial"/>
                <w:sz w:val="20"/>
                <w:szCs w:val="20"/>
              </w:rPr>
              <w:t>Parsley</w:t>
            </w:r>
          </w:p>
        </w:tc>
        <w:tc>
          <w:tcPr>
            <w:tcW w:w="1497" w:type="dxa"/>
            <w:shd w:val="clear" w:color="auto" w:fill="auto"/>
          </w:tcPr>
          <w:p w14:paraId="7FEBA49A" w14:textId="77777777" w:rsidR="00FB04CE" w:rsidRPr="00F626BF" w:rsidRDefault="00FB04CE" w:rsidP="00837C34">
            <w:pPr>
              <w:rPr>
                <w:rFonts w:cs="Arial"/>
                <w:sz w:val="20"/>
                <w:szCs w:val="20"/>
              </w:rPr>
            </w:pPr>
            <w:r w:rsidRPr="00F626BF">
              <w:rPr>
                <w:rFonts w:cs="Arial"/>
                <w:sz w:val="20"/>
                <w:szCs w:val="20"/>
              </w:rPr>
              <w:t>1.4% (4)</w:t>
            </w:r>
          </w:p>
        </w:tc>
        <w:tc>
          <w:tcPr>
            <w:tcW w:w="1250" w:type="dxa"/>
            <w:shd w:val="clear" w:color="auto" w:fill="auto"/>
          </w:tcPr>
          <w:p w14:paraId="0E1699D7" w14:textId="77777777" w:rsidR="00FB04CE" w:rsidRPr="00F626BF" w:rsidRDefault="00FB04CE" w:rsidP="00837C34">
            <w:pPr>
              <w:rPr>
                <w:rFonts w:cs="Arial"/>
                <w:sz w:val="20"/>
                <w:szCs w:val="20"/>
              </w:rPr>
            </w:pPr>
            <w:r w:rsidRPr="00F626BF">
              <w:rPr>
                <w:rFonts w:cs="Arial"/>
                <w:sz w:val="20"/>
                <w:szCs w:val="20"/>
              </w:rPr>
              <w:t>2.9% (3)</w:t>
            </w:r>
          </w:p>
        </w:tc>
        <w:tc>
          <w:tcPr>
            <w:tcW w:w="2126" w:type="dxa"/>
            <w:shd w:val="clear" w:color="auto" w:fill="auto"/>
          </w:tcPr>
          <w:p w14:paraId="1418842E" w14:textId="77777777" w:rsidR="00FB04CE" w:rsidRPr="00F626BF" w:rsidRDefault="00FB04CE" w:rsidP="00837C34">
            <w:pPr>
              <w:rPr>
                <w:rFonts w:cs="Arial"/>
                <w:sz w:val="20"/>
                <w:szCs w:val="20"/>
              </w:rPr>
            </w:pPr>
            <w:r w:rsidRPr="00F626BF">
              <w:rPr>
                <w:rFonts w:cs="Arial"/>
                <w:sz w:val="20"/>
                <w:szCs w:val="20"/>
              </w:rPr>
              <w:t>n.d.</w:t>
            </w:r>
          </w:p>
        </w:tc>
        <w:tc>
          <w:tcPr>
            <w:tcW w:w="1243" w:type="dxa"/>
            <w:shd w:val="clear" w:color="auto" w:fill="auto"/>
          </w:tcPr>
          <w:p w14:paraId="0B939F99" w14:textId="77777777" w:rsidR="00FB04CE" w:rsidRPr="00F626BF" w:rsidRDefault="00FB04CE" w:rsidP="00837C34">
            <w:pPr>
              <w:rPr>
                <w:rFonts w:cs="Arial"/>
                <w:sz w:val="20"/>
                <w:szCs w:val="20"/>
              </w:rPr>
            </w:pPr>
            <w:r w:rsidRPr="00F626BF">
              <w:rPr>
                <w:rFonts w:cs="Arial"/>
                <w:sz w:val="20"/>
                <w:szCs w:val="20"/>
              </w:rPr>
              <w:t>n.a.</w:t>
            </w:r>
          </w:p>
        </w:tc>
        <w:tc>
          <w:tcPr>
            <w:tcW w:w="1443" w:type="dxa"/>
            <w:shd w:val="clear" w:color="auto" w:fill="auto"/>
          </w:tcPr>
          <w:p w14:paraId="395E5D9D" w14:textId="77777777" w:rsidR="00FB04CE" w:rsidRPr="00F626BF" w:rsidRDefault="00FB04CE" w:rsidP="00837C34">
            <w:pPr>
              <w:rPr>
                <w:rFonts w:cs="Arial"/>
                <w:sz w:val="20"/>
                <w:szCs w:val="20"/>
              </w:rPr>
            </w:pPr>
            <w:r w:rsidRPr="00F626BF">
              <w:rPr>
                <w:rFonts w:cs="Arial"/>
                <w:sz w:val="20"/>
                <w:szCs w:val="20"/>
              </w:rPr>
              <w:t>n.a.</w:t>
            </w:r>
          </w:p>
        </w:tc>
      </w:tr>
      <w:tr w:rsidR="00FB04CE" w:rsidRPr="00F626BF" w14:paraId="43EAF688" w14:textId="77777777" w:rsidTr="00837C34">
        <w:tc>
          <w:tcPr>
            <w:tcW w:w="9060" w:type="dxa"/>
            <w:gridSpan w:val="6"/>
            <w:shd w:val="clear" w:color="auto" w:fill="auto"/>
          </w:tcPr>
          <w:p w14:paraId="77599D0D" w14:textId="77777777" w:rsidR="00FB04CE" w:rsidRPr="00F626BF" w:rsidRDefault="00FB04CE" w:rsidP="00837C34">
            <w:pPr>
              <w:rPr>
                <w:rFonts w:cs="Arial"/>
                <w:sz w:val="20"/>
                <w:szCs w:val="20"/>
              </w:rPr>
            </w:pPr>
          </w:p>
        </w:tc>
      </w:tr>
      <w:tr w:rsidR="00FB04CE" w:rsidRPr="00F626BF" w14:paraId="385A6AB3" w14:textId="77777777" w:rsidTr="00837C34">
        <w:tc>
          <w:tcPr>
            <w:tcW w:w="9060" w:type="dxa"/>
            <w:gridSpan w:val="6"/>
            <w:shd w:val="clear" w:color="auto" w:fill="C6D9F1" w:themeFill="text2" w:themeFillTint="33"/>
          </w:tcPr>
          <w:p w14:paraId="28008E28" w14:textId="77777777" w:rsidR="00FB04CE" w:rsidRPr="00F626BF" w:rsidRDefault="00FB04CE" w:rsidP="00837C34">
            <w:pPr>
              <w:rPr>
                <w:rFonts w:cs="Arial"/>
                <w:sz w:val="20"/>
                <w:szCs w:val="20"/>
              </w:rPr>
            </w:pPr>
            <w:r w:rsidRPr="00F626BF">
              <w:rPr>
                <w:rFonts w:cs="Arial"/>
                <w:sz w:val="20"/>
                <w:szCs w:val="20"/>
              </w:rPr>
              <w:t>Berries</w:t>
            </w:r>
          </w:p>
        </w:tc>
      </w:tr>
      <w:tr w:rsidR="00FB04CE" w:rsidRPr="00F626BF" w14:paraId="6D36C32B" w14:textId="77777777" w:rsidTr="00837C34">
        <w:tc>
          <w:tcPr>
            <w:tcW w:w="1501" w:type="dxa"/>
            <w:shd w:val="clear" w:color="auto" w:fill="auto"/>
          </w:tcPr>
          <w:p w14:paraId="7FBC2A84" w14:textId="77777777" w:rsidR="00FB04CE" w:rsidRPr="00F626BF" w:rsidRDefault="00FB04CE" w:rsidP="00837C34">
            <w:pPr>
              <w:rPr>
                <w:rFonts w:cs="Arial"/>
                <w:sz w:val="20"/>
                <w:szCs w:val="20"/>
              </w:rPr>
            </w:pPr>
            <w:r w:rsidRPr="00F626BF">
              <w:rPr>
                <w:rFonts w:cs="Arial"/>
                <w:sz w:val="20"/>
                <w:szCs w:val="20"/>
              </w:rPr>
              <w:t>Raspberry</w:t>
            </w:r>
          </w:p>
        </w:tc>
        <w:tc>
          <w:tcPr>
            <w:tcW w:w="1497" w:type="dxa"/>
            <w:shd w:val="clear" w:color="auto" w:fill="auto"/>
          </w:tcPr>
          <w:p w14:paraId="70B813D2" w14:textId="77777777" w:rsidR="00FB04CE" w:rsidRPr="00F626BF" w:rsidRDefault="00FB04CE" w:rsidP="00837C34">
            <w:pPr>
              <w:rPr>
                <w:rFonts w:cs="Arial"/>
                <w:sz w:val="20"/>
                <w:szCs w:val="20"/>
              </w:rPr>
            </w:pPr>
            <w:r w:rsidRPr="00F626BF">
              <w:rPr>
                <w:rFonts w:cs="Arial"/>
                <w:sz w:val="20"/>
                <w:szCs w:val="20"/>
              </w:rPr>
              <w:t>n.a.</w:t>
            </w:r>
          </w:p>
        </w:tc>
        <w:tc>
          <w:tcPr>
            <w:tcW w:w="1250" w:type="dxa"/>
            <w:shd w:val="clear" w:color="auto" w:fill="auto"/>
          </w:tcPr>
          <w:p w14:paraId="60DD4185" w14:textId="2A2719DD" w:rsidR="00FB04CE" w:rsidRPr="00F626BF" w:rsidRDefault="00FB04CE" w:rsidP="00837C34">
            <w:pPr>
              <w:rPr>
                <w:rFonts w:cs="Arial"/>
                <w:sz w:val="20"/>
                <w:szCs w:val="20"/>
              </w:rPr>
            </w:pPr>
            <w:r w:rsidRPr="00F626BF">
              <w:rPr>
                <w:rFonts w:cs="Arial"/>
                <w:sz w:val="20"/>
                <w:szCs w:val="20"/>
              </w:rPr>
              <w:t>n.d</w:t>
            </w:r>
            <w:r w:rsidR="00F55E26">
              <w:rPr>
                <w:rFonts w:cs="Arial"/>
                <w:sz w:val="20"/>
                <w:szCs w:val="20"/>
              </w:rPr>
              <w:t>.</w:t>
            </w:r>
          </w:p>
        </w:tc>
        <w:tc>
          <w:tcPr>
            <w:tcW w:w="2126" w:type="dxa"/>
            <w:shd w:val="clear" w:color="auto" w:fill="auto"/>
          </w:tcPr>
          <w:p w14:paraId="23276A41" w14:textId="77777777" w:rsidR="00FB04CE" w:rsidRPr="00F626BF" w:rsidRDefault="00FB04CE" w:rsidP="00837C34">
            <w:pPr>
              <w:rPr>
                <w:rFonts w:cs="Arial"/>
                <w:sz w:val="20"/>
                <w:szCs w:val="20"/>
              </w:rPr>
            </w:pPr>
            <w:r w:rsidRPr="00F626BF">
              <w:rPr>
                <w:rFonts w:cs="Arial"/>
                <w:sz w:val="20"/>
                <w:szCs w:val="20"/>
              </w:rPr>
              <w:t>n.a.</w:t>
            </w:r>
          </w:p>
        </w:tc>
        <w:tc>
          <w:tcPr>
            <w:tcW w:w="1243" w:type="dxa"/>
            <w:shd w:val="clear" w:color="auto" w:fill="auto"/>
          </w:tcPr>
          <w:p w14:paraId="3A23F869" w14:textId="77777777" w:rsidR="00FB04CE" w:rsidRPr="00F626BF" w:rsidRDefault="00FB04CE" w:rsidP="00837C34">
            <w:pPr>
              <w:rPr>
                <w:rFonts w:cs="Arial"/>
                <w:sz w:val="20"/>
                <w:szCs w:val="20"/>
              </w:rPr>
            </w:pPr>
            <w:r w:rsidRPr="00F626BF">
              <w:rPr>
                <w:rFonts w:cs="Arial"/>
                <w:sz w:val="20"/>
                <w:szCs w:val="20"/>
              </w:rPr>
              <w:t>2.6% (12)</w:t>
            </w:r>
          </w:p>
        </w:tc>
        <w:tc>
          <w:tcPr>
            <w:tcW w:w="1443" w:type="dxa"/>
            <w:shd w:val="clear" w:color="auto" w:fill="auto"/>
          </w:tcPr>
          <w:p w14:paraId="10FDA1D9" w14:textId="77777777" w:rsidR="00FB04CE" w:rsidRPr="00F626BF" w:rsidRDefault="00FB04CE" w:rsidP="00837C34">
            <w:pPr>
              <w:rPr>
                <w:rFonts w:cs="Arial"/>
                <w:sz w:val="20"/>
                <w:szCs w:val="20"/>
              </w:rPr>
            </w:pPr>
            <w:r w:rsidRPr="00F626BF">
              <w:rPr>
                <w:rFonts w:cs="Arial"/>
                <w:sz w:val="20"/>
                <w:szCs w:val="20"/>
              </w:rPr>
              <w:t>0.05% (4)</w:t>
            </w:r>
          </w:p>
        </w:tc>
      </w:tr>
      <w:tr w:rsidR="00FB04CE" w:rsidRPr="00F626BF" w14:paraId="0D3347FA" w14:textId="77777777" w:rsidTr="00837C34">
        <w:tc>
          <w:tcPr>
            <w:tcW w:w="1501" w:type="dxa"/>
            <w:shd w:val="clear" w:color="auto" w:fill="auto"/>
          </w:tcPr>
          <w:p w14:paraId="68EA3172" w14:textId="77777777" w:rsidR="00FB04CE" w:rsidRPr="00F626BF" w:rsidRDefault="00FB04CE" w:rsidP="00837C34">
            <w:pPr>
              <w:rPr>
                <w:rFonts w:cs="Arial"/>
                <w:sz w:val="20"/>
                <w:szCs w:val="20"/>
              </w:rPr>
            </w:pPr>
            <w:r w:rsidRPr="00F626BF">
              <w:rPr>
                <w:rFonts w:cs="Arial"/>
                <w:sz w:val="20"/>
                <w:szCs w:val="20"/>
              </w:rPr>
              <w:t>Blueberry</w:t>
            </w:r>
          </w:p>
        </w:tc>
        <w:tc>
          <w:tcPr>
            <w:tcW w:w="1497" w:type="dxa"/>
            <w:shd w:val="clear" w:color="auto" w:fill="auto"/>
          </w:tcPr>
          <w:p w14:paraId="7B77C0BF" w14:textId="77777777" w:rsidR="00FB04CE" w:rsidRPr="00F626BF" w:rsidRDefault="00FB04CE" w:rsidP="00837C34">
            <w:pPr>
              <w:rPr>
                <w:rFonts w:cs="Arial"/>
                <w:sz w:val="20"/>
                <w:szCs w:val="20"/>
              </w:rPr>
            </w:pPr>
            <w:r w:rsidRPr="00F626BF">
              <w:rPr>
                <w:rFonts w:cs="Arial"/>
                <w:sz w:val="20"/>
                <w:szCs w:val="20"/>
              </w:rPr>
              <w:t>n.a.</w:t>
            </w:r>
          </w:p>
        </w:tc>
        <w:tc>
          <w:tcPr>
            <w:tcW w:w="1250" w:type="dxa"/>
            <w:shd w:val="clear" w:color="auto" w:fill="auto"/>
          </w:tcPr>
          <w:p w14:paraId="3C2A5387" w14:textId="77777777" w:rsidR="00FB04CE" w:rsidRPr="00F626BF" w:rsidRDefault="00FB04CE" w:rsidP="00837C34">
            <w:pPr>
              <w:rPr>
                <w:rFonts w:cs="Arial"/>
                <w:sz w:val="20"/>
                <w:szCs w:val="20"/>
              </w:rPr>
            </w:pPr>
            <w:r w:rsidRPr="00F626BF">
              <w:rPr>
                <w:rFonts w:cs="Arial"/>
                <w:sz w:val="20"/>
                <w:szCs w:val="20"/>
              </w:rPr>
              <w:t>n.d.</w:t>
            </w:r>
          </w:p>
        </w:tc>
        <w:tc>
          <w:tcPr>
            <w:tcW w:w="2126" w:type="dxa"/>
            <w:shd w:val="clear" w:color="auto" w:fill="auto"/>
          </w:tcPr>
          <w:p w14:paraId="3ED32A80" w14:textId="77777777" w:rsidR="00FB04CE" w:rsidRPr="00F626BF" w:rsidRDefault="00FB04CE" w:rsidP="00837C34">
            <w:pPr>
              <w:rPr>
                <w:rFonts w:cs="Arial"/>
                <w:sz w:val="20"/>
                <w:szCs w:val="20"/>
              </w:rPr>
            </w:pPr>
            <w:r w:rsidRPr="00F626BF">
              <w:rPr>
                <w:rFonts w:cs="Arial"/>
                <w:sz w:val="20"/>
                <w:szCs w:val="20"/>
              </w:rPr>
              <w:t>n.a.</w:t>
            </w:r>
          </w:p>
        </w:tc>
        <w:tc>
          <w:tcPr>
            <w:tcW w:w="1243" w:type="dxa"/>
            <w:shd w:val="clear" w:color="auto" w:fill="auto"/>
          </w:tcPr>
          <w:p w14:paraId="46123CC7" w14:textId="77777777" w:rsidR="00FB04CE" w:rsidRPr="00F626BF" w:rsidRDefault="00FB04CE" w:rsidP="00837C34">
            <w:pPr>
              <w:rPr>
                <w:rFonts w:cs="Arial"/>
                <w:sz w:val="20"/>
                <w:szCs w:val="20"/>
              </w:rPr>
            </w:pPr>
            <w:r w:rsidRPr="00F626BF">
              <w:rPr>
                <w:rFonts w:cs="Arial"/>
                <w:sz w:val="20"/>
                <w:szCs w:val="20"/>
              </w:rPr>
              <w:t>2.4% (5)</w:t>
            </w:r>
          </w:p>
        </w:tc>
        <w:tc>
          <w:tcPr>
            <w:tcW w:w="1443" w:type="dxa"/>
            <w:shd w:val="clear" w:color="auto" w:fill="auto"/>
          </w:tcPr>
          <w:p w14:paraId="44B274AF" w14:textId="77777777" w:rsidR="00FB04CE" w:rsidRPr="00F626BF" w:rsidRDefault="00FB04CE" w:rsidP="00837C34">
            <w:pPr>
              <w:rPr>
                <w:rFonts w:cs="Arial"/>
                <w:sz w:val="20"/>
                <w:szCs w:val="20"/>
              </w:rPr>
            </w:pPr>
            <w:r w:rsidRPr="00F626BF">
              <w:rPr>
                <w:rFonts w:cs="Arial"/>
                <w:sz w:val="20"/>
                <w:szCs w:val="20"/>
              </w:rPr>
              <w:t>n.d.</w:t>
            </w:r>
          </w:p>
        </w:tc>
      </w:tr>
      <w:tr w:rsidR="00FB04CE" w:rsidRPr="00F626BF" w14:paraId="38C5B71C" w14:textId="77777777" w:rsidTr="00837C34">
        <w:tc>
          <w:tcPr>
            <w:tcW w:w="1501" w:type="dxa"/>
            <w:shd w:val="clear" w:color="auto" w:fill="auto"/>
          </w:tcPr>
          <w:p w14:paraId="035CF29A" w14:textId="77777777" w:rsidR="00FB04CE" w:rsidRPr="00F626BF" w:rsidRDefault="00FB04CE" w:rsidP="00837C34">
            <w:pPr>
              <w:rPr>
                <w:rFonts w:cs="Arial"/>
                <w:sz w:val="20"/>
                <w:szCs w:val="20"/>
              </w:rPr>
            </w:pPr>
            <w:r w:rsidRPr="00F626BF">
              <w:rPr>
                <w:rFonts w:cs="Arial"/>
                <w:sz w:val="20"/>
                <w:szCs w:val="20"/>
              </w:rPr>
              <w:t>Strawberry</w:t>
            </w:r>
          </w:p>
        </w:tc>
        <w:tc>
          <w:tcPr>
            <w:tcW w:w="1497" w:type="dxa"/>
            <w:shd w:val="clear" w:color="auto" w:fill="auto"/>
          </w:tcPr>
          <w:p w14:paraId="1FD3BAF0" w14:textId="77777777" w:rsidR="00FB04CE" w:rsidRPr="00F626BF" w:rsidRDefault="00FB04CE" w:rsidP="00837C34">
            <w:pPr>
              <w:rPr>
                <w:rFonts w:cs="Arial"/>
                <w:sz w:val="20"/>
                <w:szCs w:val="20"/>
              </w:rPr>
            </w:pPr>
            <w:r w:rsidRPr="00F626BF">
              <w:rPr>
                <w:rFonts w:cs="Arial"/>
                <w:sz w:val="20"/>
                <w:szCs w:val="20"/>
              </w:rPr>
              <w:t>n.a.</w:t>
            </w:r>
          </w:p>
        </w:tc>
        <w:tc>
          <w:tcPr>
            <w:tcW w:w="1250" w:type="dxa"/>
            <w:shd w:val="clear" w:color="auto" w:fill="auto"/>
          </w:tcPr>
          <w:p w14:paraId="18B75D7C" w14:textId="77777777" w:rsidR="00FB04CE" w:rsidRPr="00F626BF" w:rsidRDefault="00FB04CE" w:rsidP="00837C34">
            <w:pPr>
              <w:rPr>
                <w:rFonts w:cs="Arial"/>
                <w:sz w:val="20"/>
                <w:szCs w:val="20"/>
              </w:rPr>
            </w:pPr>
            <w:r w:rsidRPr="00F626BF">
              <w:rPr>
                <w:rFonts w:cs="Arial"/>
                <w:sz w:val="20"/>
                <w:szCs w:val="20"/>
              </w:rPr>
              <w:t>n.d.</w:t>
            </w:r>
          </w:p>
        </w:tc>
        <w:tc>
          <w:tcPr>
            <w:tcW w:w="2126" w:type="dxa"/>
            <w:shd w:val="clear" w:color="auto" w:fill="auto"/>
          </w:tcPr>
          <w:p w14:paraId="4D8A1EC9" w14:textId="77777777" w:rsidR="00FB04CE" w:rsidRPr="00F626BF" w:rsidRDefault="00FB04CE" w:rsidP="00837C34">
            <w:pPr>
              <w:rPr>
                <w:rFonts w:cs="Arial"/>
                <w:sz w:val="20"/>
                <w:szCs w:val="20"/>
              </w:rPr>
            </w:pPr>
            <w:r w:rsidRPr="00F626BF">
              <w:rPr>
                <w:rFonts w:cs="Arial"/>
                <w:sz w:val="20"/>
                <w:szCs w:val="20"/>
              </w:rPr>
              <w:t>n.a.</w:t>
            </w:r>
          </w:p>
        </w:tc>
        <w:tc>
          <w:tcPr>
            <w:tcW w:w="1243" w:type="dxa"/>
            <w:shd w:val="clear" w:color="auto" w:fill="auto"/>
          </w:tcPr>
          <w:p w14:paraId="46CBDC76" w14:textId="77777777" w:rsidR="00FB04CE" w:rsidRPr="00F626BF" w:rsidRDefault="00FB04CE" w:rsidP="00837C34">
            <w:pPr>
              <w:rPr>
                <w:rFonts w:cs="Arial"/>
                <w:sz w:val="20"/>
                <w:szCs w:val="20"/>
              </w:rPr>
            </w:pPr>
            <w:r w:rsidRPr="00F626BF">
              <w:rPr>
                <w:rFonts w:cs="Arial"/>
                <w:sz w:val="20"/>
                <w:szCs w:val="20"/>
              </w:rPr>
              <w:t>1.4% (8)</w:t>
            </w:r>
          </w:p>
        </w:tc>
        <w:tc>
          <w:tcPr>
            <w:tcW w:w="1443" w:type="dxa"/>
            <w:shd w:val="clear" w:color="auto" w:fill="auto"/>
          </w:tcPr>
          <w:p w14:paraId="15D573BC" w14:textId="77777777" w:rsidR="00FB04CE" w:rsidRPr="00F626BF" w:rsidRDefault="00FB04CE" w:rsidP="00837C34">
            <w:pPr>
              <w:rPr>
                <w:rFonts w:cs="Arial"/>
                <w:sz w:val="20"/>
                <w:szCs w:val="20"/>
              </w:rPr>
            </w:pPr>
            <w:r w:rsidRPr="00F626BF">
              <w:rPr>
                <w:rFonts w:cs="Arial"/>
                <w:sz w:val="20"/>
                <w:szCs w:val="20"/>
              </w:rPr>
              <w:t>0.3% (4)</w:t>
            </w:r>
          </w:p>
        </w:tc>
      </w:tr>
      <w:tr w:rsidR="00FB04CE" w:rsidRPr="00F626BF" w14:paraId="08D4D881" w14:textId="77777777" w:rsidTr="00837C34">
        <w:tc>
          <w:tcPr>
            <w:tcW w:w="9060" w:type="dxa"/>
            <w:gridSpan w:val="6"/>
            <w:shd w:val="clear" w:color="auto" w:fill="auto"/>
          </w:tcPr>
          <w:p w14:paraId="140E6F69" w14:textId="77777777" w:rsidR="00FB04CE" w:rsidRPr="00F626BF" w:rsidRDefault="00FB04CE" w:rsidP="00837C34">
            <w:pPr>
              <w:rPr>
                <w:rFonts w:cs="Arial"/>
                <w:sz w:val="20"/>
                <w:szCs w:val="20"/>
              </w:rPr>
            </w:pPr>
          </w:p>
        </w:tc>
      </w:tr>
      <w:tr w:rsidR="00FB04CE" w:rsidRPr="00F626BF" w14:paraId="708286C9" w14:textId="77777777" w:rsidTr="00837C34">
        <w:tc>
          <w:tcPr>
            <w:tcW w:w="9060" w:type="dxa"/>
            <w:gridSpan w:val="6"/>
            <w:shd w:val="clear" w:color="auto" w:fill="C6D9F1" w:themeFill="text2" w:themeFillTint="33"/>
          </w:tcPr>
          <w:p w14:paraId="688279AB" w14:textId="77777777" w:rsidR="00FB04CE" w:rsidRPr="00F626BF" w:rsidRDefault="00FB04CE" w:rsidP="00837C34">
            <w:pPr>
              <w:rPr>
                <w:rFonts w:cs="Arial"/>
                <w:sz w:val="20"/>
                <w:szCs w:val="20"/>
              </w:rPr>
            </w:pPr>
            <w:r w:rsidRPr="00F626BF">
              <w:rPr>
                <w:rFonts w:cs="Arial"/>
                <w:sz w:val="20"/>
                <w:szCs w:val="20"/>
              </w:rPr>
              <w:t>Melons</w:t>
            </w:r>
          </w:p>
        </w:tc>
      </w:tr>
      <w:tr w:rsidR="00FB04CE" w:rsidRPr="00F626BF" w14:paraId="7359FF21" w14:textId="77777777" w:rsidTr="00837C34">
        <w:tc>
          <w:tcPr>
            <w:tcW w:w="1501" w:type="dxa"/>
            <w:shd w:val="clear" w:color="auto" w:fill="auto"/>
          </w:tcPr>
          <w:p w14:paraId="5A79BBEA" w14:textId="77777777" w:rsidR="00FB04CE" w:rsidRPr="00F626BF" w:rsidRDefault="00FB04CE" w:rsidP="00837C34">
            <w:pPr>
              <w:rPr>
                <w:rFonts w:cs="Arial"/>
                <w:sz w:val="20"/>
                <w:szCs w:val="20"/>
              </w:rPr>
            </w:pPr>
            <w:r w:rsidRPr="00F626BF">
              <w:rPr>
                <w:rFonts w:cs="Arial"/>
                <w:sz w:val="20"/>
                <w:szCs w:val="20"/>
              </w:rPr>
              <w:t>Rockmelon</w:t>
            </w:r>
          </w:p>
        </w:tc>
        <w:tc>
          <w:tcPr>
            <w:tcW w:w="1497" w:type="dxa"/>
            <w:shd w:val="clear" w:color="auto" w:fill="auto"/>
          </w:tcPr>
          <w:p w14:paraId="0B2AD342" w14:textId="77777777" w:rsidR="00FB04CE" w:rsidRPr="00F626BF" w:rsidRDefault="00FB04CE" w:rsidP="00837C34">
            <w:pPr>
              <w:rPr>
                <w:rFonts w:cs="Arial"/>
                <w:sz w:val="20"/>
                <w:szCs w:val="20"/>
              </w:rPr>
            </w:pPr>
            <w:r w:rsidRPr="00F626BF">
              <w:rPr>
                <w:rFonts w:cs="Arial"/>
                <w:sz w:val="20"/>
                <w:szCs w:val="20"/>
              </w:rPr>
              <w:t>0.7% (6)</w:t>
            </w:r>
          </w:p>
        </w:tc>
        <w:tc>
          <w:tcPr>
            <w:tcW w:w="1250" w:type="dxa"/>
            <w:shd w:val="clear" w:color="auto" w:fill="auto"/>
          </w:tcPr>
          <w:p w14:paraId="04F736E3" w14:textId="77777777" w:rsidR="00FB04CE" w:rsidRPr="00F626BF" w:rsidRDefault="00FB04CE" w:rsidP="00837C34">
            <w:pPr>
              <w:rPr>
                <w:rFonts w:cs="Arial"/>
                <w:sz w:val="20"/>
                <w:szCs w:val="20"/>
              </w:rPr>
            </w:pPr>
            <w:r w:rsidRPr="00F626BF">
              <w:rPr>
                <w:rFonts w:cs="Arial"/>
                <w:sz w:val="20"/>
                <w:szCs w:val="20"/>
              </w:rPr>
              <w:t>n.a.</w:t>
            </w:r>
          </w:p>
        </w:tc>
        <w:tc>
          <w:tcPr>
            <w:tcW w:w="2126" w:type="dxa"/>
            <w:shd w:val="clear" w:color="auto" w:fill="auto"/>
          </w:tcPr>
          <w:p w14:paraId="1B0166E1" w14:textId="77777777" w:rsidR="00FB04CE" w:rsidRPr="00F626BF" w:rsidRDefault="00FB04CE" w:rsidP="00837C34">
            <w:pPr>
              <w:rPr>
                <w:rFonts w:cs="Arial"/>
                <w:sz w:val="20"/>
                <w:szCs w:val="20"/>
              </w:rPr>
            </w:pPr>
            <w:r w:rsidRPr="00F626BF">
              <w:rPr>
                <w:rFonts w:cs="Arial"/>
                <w:sz w:val="20"/>
                <w:szCs w:val="20"/>
              </w:rPr>
              <w:t>0.7% (4)</w:t>
            </w:r>
          </w:p>
        </w:tc>
        <w:tc>
          <w:tcPr>
            <w:tcW w:w="1243" w:type="dxa"/>
            <w:shd w:val="clear" w:color="auto" w:fill="auto"/>
          </w:tcPr>
          <w:p w14:paraId="1FD472FF" w14:textId="77777777" w:rsidR="00FB04CE" w:rsidRPr="00F626BF" w:rsidRDefault="00FB04CE" w:rsidP="00837C34">
            <w:pPr>
              <w:rPr>
                <w:rFonts w:cs="Arial"/>
                <w:sz w:val="20"/>
                <w:szCs w:val="20"/>
              </w:rPr>
            </w:pPr>
            <w:r w:rsidRPr="00F626BF">
              <w:rPr>
                <w:rFonts w:cs="Arial"/>
                <w:sz w:val="20"/>
                <w:szCs w:val="20"/>
              </w:rPr>
              <w:t>n.a.</w:t>
            </w:r>
          </w:p>
        </w:tc>
        <w:tc>
          <w:tcPr>
            <w:tcW w:w="1443" w:type="dxa"/>
            <w:shd w:val="clear" w:color="auto" w:fill="auto"/>
          </w:tcPr>
          <w:p w14:paraId="344C6F63" w14:textId="77777777" w:rsidR="00FB04CE" w:rsidRPr="00F626BF" w:rsidRDefault="00FB04CE" w:rsidP="00837C34">
            <w:pPr>
              <w:rPr>
                <w:rFonts w:cs="Arial"/>
                <w:sz w:val="20"/>
                <w:szCs w:val="20"/>
              </w:rPr>
            </w:pPr>
            <w:r w:rsidRPr="00F626BF">
              <w:rPr>
                <w:rFonts w:cs="Arial"/>
                <w:sz w:val="20"/>
                <w:szCs w:val="20"/>
              </w:rPr>
              <w:t>n.a.</w:t>
            </w:r>
          </w:p>
        </w:tc>
      </w:tr>
      <w:tr w:rsidR="00FB04CE" w:rsidRPr="00F626BF" w14:paraId="669623FA" w14:textId="77777777" w:rsidTr="00837C34">
        <w:tc>
          <w:tcPr>
            <w:tcW w:w="1501" w:type="dxa"/>
            <w:shd w:val="clear" w:color="auto" w:fill="auto"/>
          </w:tcPr>
          <w:p w14:paraId="5E9D90D8" w14:textId="77777777" w:rsidR="00FB04CE" w:rsidRPr="00F626BF" w:rsidRDefault="00FB04CE" w:rsidP="00837C34">
            <w:pPr>
              <w:rPr>
                <w:rFonts w:cs="Arial"/>
                <w:sz w:val="20"/>
                <w:szCs w:val="20"/>
              </w:rPr>
            </w:pPr>
            <w:r w:rsidRPr="00F626BF">
              <w:rPr>
                <w:rFonts w:cs="Arial"/>
                <w:sz w:val="20"/>
                <w:szCs w:val="20"/>
              </w:rPr>
              <w:t>Watermelon</w:t>
            </w:r>
          </w:p>
        </w:tc>
        <w:tc>
          <w:tcPr>
            <w:tcW w:w="1497" w:type="dxa"/>
            <w:shd w:val="clear" w:color="auto" w:fill="auto"/>
          </w:tcPr>
          <w:p w14:paraId="5DCA920C" w14:textId="77777777" w:rsidR="00FB04CE" w:rsidRPr="00F626BF" w:rsidRDefault="00FB04CE" w:rsidP="00837C34">
            <w:pPr>
              <w:rPr>
                <w:rFonts w:cs="Arial"/>
                <w:sz w:val="20"/>
                <w:szCs w:val="20"/>
              </w:rPr>
            </w:pPr>
            <w:r w:rsidRPr="00F626BF">
              <w:rPr>
                <w:rFonts w:cs="Arial"/>
                <w:sz w:val="20"/>
                <w:szCs w:val="20"/>
              </w:rPr>
              <w:t>n.d.</w:t>
            </w:r>
          </w:p>
        </w:tc>
        <w:tc>
          <w:tcPr>
            <w:tcW w:w="1250" w:type="dxa"/>
            <w:shd w:val="clear" w:color="auto" w:fill="auto"/>
          </w:tcPr>
          <w:p w14:paraId="3F51BF8F" w14:textId="77777777" w:rsidR="00FB04CE" w:rsidRPr="00F626BF" w:rsidRDefault="00FB04CE" w:rsidP="00837C34">
            <w:pPr>
              <w:rPr>
                <w:rFonts w:cs="Arial"/>
                <w:sz w:val="20"/>
                <w:szCs w:val="20"/>
              </w:rPr>
            </w:pPr>
            <w:r w:rsidRPr="00F626BF">
              <w:rPr>
                <w:rFonts w:cs="Arial"/>
                <w:sz w:val="20"/>
                <w:szCs w:val="20"/>
              </w:rPr>
              <w:t>n.a.</w:t>
            </w:r>
          </w:p>
        </w:tc>
        <w:tc>
          <w:tcPr>
            <w:tcW w:w="2126" w:type="dxa"/>
            <w:shd w:val="clear" w:color="auto" w:fill="auto"/>
          </w:tcPr>
          <w:p w14:paraId="3E2EABB0" w14:textId="77777777" w:rsidR="00FB04CE" w:rsidRPr="00F626BF" w:rsidRDefault="00FB04CE" w:rsidP="00837C34">
            <w:pPr>
              <w:rPr>
                <w:rFonts w:cs="Arial"/>
                <w:sz w:val="20"/>
                <w:szCs w:val="20"/>
              </w:rPr>
            </w:pPr>
            <w:r w:rsidRPr="00F626BF">
              <w:rPr>
                <w:rFonts w:cs="Arial"/>
                <w:sz w:val="20"/>
                <w:szCs w:val="20"/>
              </w:rPr>
              <w:t>n.d.</w:t>
            </w:r>
          </w:p>
        </w:tc>
        <w:tc>
          <w:tcPr>
            <w:tcW w:w="1243" w:type="dxa"/>
            <w:shd w:val="clear" w:color="auto" w:fill="auto"/>
          </w:tcPr>
          <w:p w14:paraId="1F7D5781" w14:textId="77777777" w:rsidR="00FB04CE" w:rsidRPr="00F626BF" w:rsidRDefault="00FB04CE" w:rsidP="00837C34">
            <w:pPr>
              <w:rPr>
                <w:rFonts w:cs="Arial"/>
                <w:sz w:val="20"/>
                <w:szCs w:val="20"/>
              </w:rPr>
            </w:pPr>
            <w:r w:rsidRPr="00F626BF">
              <w:rPr>
                <w:rFonts w:cs="Arial"/>
                <w:sz w:val="20"/>
                <w:szCs w:val="20"/>
              </w:rPr>
              <w:t>n.a.</w:t>
            </w:r>
          </w:p>
        </w:tc>
        <w:tc>
          <w:tcPr>
            <w:tcW w:w="1443" w:type="dxa"/>
            <w:shd w:val="clear" w:color="auto" w:fill="auto"/>
          </w:tcPr>
          <w:p w14:paraId="2692BE2A" w14:textId="77777777" w:rsidR="00FB04CE" w:rsidRPr="00F626BF" w:rsidRDefault="00FB04CE" w:rsidP="00837C34">
            <w:pPr>
              <w:rPr>
                <w:rFonts w:cs="Arial"/>
                <w:sz w:val="20"/>
                <w:szCs w:val="20"/>
              </w:rPr>
            </w:pPr>
            <w:r w:rsidRPr="00F626BF">
              <w:rPr>
                <w:rFonts w:cs="Arial"/>
                <w:sz w:val="20"/>
                <w:szCs w:val="20"/>
              </w:rPr>
              <w:t>n.a.</w:t>
            </w:r>
          </w:p>
        </w:tc>
      </w:tr>
    </w:tbl>
    <w:p w14:paraId="28EF1C0B" w14:textId="77777777" w:rsidR="00FB04CE" w:rsidRPr="00F626BF" w:rsidRDefault="00FB04CE" w:rsidP="00FB04CE">
      <w:pPr>
        <w:rPr>
          <w:rFonts w:cs="Arial"/>
          <w:sz w:val="20"/>
          <w:szCs w:val="20"/>
        </w:rPr>
      </w:pPr>
      <w:r w:rsidRPr="00F626BF">
        <w:rPr>
          <w:rFonts w:cs="Arial"/>
          <w:sz w:val="20"/>
          <w:szCs w:val="20"/>
        </w:rPr>
        <w:t>n.a. – not applicable; n.d. – no data; values in brackets are the number of surveys.</w:t>
      </w:r>
    </w:p>
    <w:p w14:paraId="78138CE3" w14:textId="77777777" w:rsidR="00FB04CE" w:rsidRDefault="00FB04CE" w:rsidP="00FB04CE"/>
    <w:p w14:paraId="2110D7D4" w14:textId="63D50784" w:rsidR="00FB04CE" w:rsidRDefault="00FB04CE" w:rsidP="00FB04CE">
      <w:r>
        <w:t xml:space="preserve">In interpreting the prevalence summary statistics in </w:t>
      </w:r>
      <w:r>
        <w:rPr>
          <w:highlight w:val="yellow"/>
        </w:rPr>
        <w:fldChar w:fldCharType="begin"/>
      </w:r>
      <w:r>
        <w:instrText xml:space="preserve"> REF _Ref58344001 \h </w:instrText>
      </w:r>
      <w:r>
        <w:rPr>
          <w:highlight w:val="yellow"/>
        </w:rPr>
      </w:r>
      <w:r>
        <w:rPr>
          <w:highlight w:val="yellow"/>
        </w:rPr>
        <w:fldChar w:fldCharType="separate"/>
      </w:r>
      <w:r w:rsidR="00A952A2">
        <w:t xml:space="preserve">Table </w:t>
      </w:r>
      <w:r w:rsidR="00A952A2">
        <w:rPr>
          <w:noProof/>
        </w:rPr>
        <w:t>3</w:t>
      </w:r>
      <w:r>
        <w:rPr>
          <w:highlight w:val="yellow"/>
        </w:rPr>
        <w:fldChar w:fldCharType="end"/>
      </w:r>
      <w:r>
        <w:t xml:space="preserve"> it is important to note both the number of studies for each commodity:pathogen combination, the number of samples in each study and the heterogeneity between studies. For </w:t>
      </w:r>
      <w:r w:rsidRPr="00153CB3">
        <w:rPr>
          <w:i/>
        </w:rPr>
        <w:t>Salmonella</w:t>
      </w:r>
      <w:r>
        <w:t xml:space="preserve"> spp. in lettuce, the commodity group with the highest number of prevalence studies, the estimated prevalence is 0.2% based on 33 individual studies. The most number of samples was from a US survey with 19244 results </w:t>
      </w:r>
      <w:r w:rsidR="00657FDB">
        <w:t>(Reddy et al. 2016)</w:t>
      </w:r>
      <w:r>
        <w:t xml:space="preserve"> and the least, a survey by </w:t>
      </w:r>
      <w:r w:rsidR="00657FDB">
        <w:t>(Vital et al. 2014)</w:t>
      </w:r>
      <w:r>
        <w:t xml:space="preserve"> with only 10 samples. </w:t>
      </w:r>
      <w:r w:rsidRPr="00153CB3">
        <w:rPr>
          <w:i/>
        </w:rPr>
        <w:t>Salmonella</w:t>
      </w:r>
      <w:r>
        <w:t xml:space="preserve"> spp. prevalence for individual studies ranges from 0% (multiple studies) to 32% </w:t>
      </w:r>
      <w:r w:rsidR="00657FDB">
        <w:t>(Abatcha et al. 2018)</w:t>
      </w:r>
      <w:r>
        <w:t>. The large variability between individual studies highlights potential for contamination of horticulture products during primary production and processing.</w:t>
      </w:r>
    </w:p>
    <w:p w14:paraId="1E34A121" w14:textId="77777777" w:rsidR="00FB04CE" w:rsidRDefault="00FB04CE" w:rsidP="00FB04CE"/>
    <w:p w14:paraId="641642E8" w14:textId="24F63213" w:rsidR="00FB04CE" w:rsidRDefault="00FB04CE" w:rsidP="00FB04CE">
      <w:r>
        <w:t xml:space="preserve">For this analysis, the literature for STEC-type prevalence studies was split in two groups: the culture based methods specific for </w:t>
      </w:r>
      <w:r w:rsidRPr="00D14264">
        <w:rPr>
          <w:i/>
        </w:rPr>
        <w:t>E</w:t>
      </w:r>
      <w:r>
        <w:t xml:space="preserve">. </w:t>
      </w:r>
      <w:r w:rsidRPr="00D14264">
        <w:rPr>
          <w:i/>
        </w:rPr>
        <w:t>coli</w:t>
      </w:r>
      <w:r>
        <w:t xml:space="preserve"> O157:H7 and the predominately molecular based methods (e.g. PCR) for the presence of Shiga toxin genes (</w:t>
      </w:r>
      <w:r w:rsidRPr="00D14264">
        <w:rPr>
          <w:i/>
        </w:rPr>
        <w:t>stx</w:t>
      </w:r>
      <w:r w:rsidRPr="00D14264">
        <w:rPr>
          <w:i/>
          <w:vertAlign w:val="subscript"/>
        </w:rPr>
        <w:t>1</w:t>
      </w:r>
      <w:r>
        <w:t xml:space="preserve"> and </w:t>
      </w:r>
      <w:r w:rsidRPr="00D14264">
        <w:rPr>
          <w:i/>
        </w:rPr>
        <w:t>stx</w:t>
      </w:r>
      <w:r w:rsidRPr="00D14264">
        <w:rPr>
          <w:i/>
          <w:vertAlign w:val="subscript"/>
        </w:rPr>
        <w:t>2</w:t>
      </w:r>
      <w:r>
        <w:t xml:space="preserve">) in </w:t>
      </w:r>
      <w:r w:rsidRPr="00D14264">
        <w:rPr>
          <w:i/>
        </w:rPr>
        <w:t>E</w:t>
      </w:r>
      <w:r>
        <w:t xml:space="preserve">. </w:t>
      </w:r>
      <w:r w:rsidRPr="00D14264">
        <w:rPr>
          <w:i/>
        </w:rPr>
        <w:t>coli</w:t>
      </w:r>
      <w:r>
        <w:t xml:space="preserve"> isolates. </w:t>
      </w:r>
      <w:r w:rsidRPr="00D14264">
        <w:rPr>
          <w:i/>
        </w:rPr>
        <w:t>E</w:t>
      </w:r>
      <w:r>
        <w:t>. </w:t>
      </w:r>
      <w:r w:rsidRPr="00D14264">
        <w:rPr>
          <w:i/>
        </w:rPr>
        <w:t>coli</w:t>
      </w:r>
      <w:r>
        <w:t xml:space="preserve"> O157:H7 is one of many </w:t>
      </w:r>
      <w:r w:rsidRPr="00D14264">
        <w:rPr>
          <w:i/>
        </w:rPr>
        <w:t>E</w:t>
      </w:r>
      <w:r>
        <w:t xml:space="preserve">. </w:t>
      </w:r>
      <w:r w:rsidRPr="00D14264">
        <w:rPr>
          <w:i/>
        </w:rPr>
        <w:t>coli</w:t>
      </w:r>
      <w:r>
        <w:t xml:space="preserve"> types that make up the STEC group which are capable of causing human illness. Reporting </w:t>
      </w:r>
      <w:r w:rsidRPr="00D14264">
        <w:rPr>
          <w:i/>
        </w:rPr>
        <w:t>E</w:t>
      </w:r>
      <w:r>
        <w:t xml:space="preserve">. </w:t>
      </w:r>
      <w:r w:rsidRPr="00D14264">
        <w:rPr>
          <w:i/>
        </w:rPr>
        <w:t>coli</w:t>
      </w:r>
      <w:r>
        <w:t xml:space="preserve"> O157:H7 would therefore underestimate the prevalence of this important pathogen. Therefore, the results reported in </w:t>
      </w:r>
      <w:r>
        <w:rPr>
          <w:highlight w:val="yellow"/>
        </w:rPr>
        <w:fldChar w:fldCharType="begin"/>
      </w:r>
      <w:r>
        <w:instrText xml:space="preserve"> REF _Ref58344001 \h </w:instrText>
      </w:r>
      <w:r>
        <w:rPr>
          <w:highlight w:val="yellow"/>
        </w:rPr>
      </w:r>
      <w:r>
        <w:rPr>
          <w:highlight w:val="yellow"/>
        </w:rPr>
        <w:fldChar w:fldCharType="separate"/>
      </w:r>
      <w:r w:rsidR="00A952A2">
        <w:t xml:space="preserve">Table </w:t>
      </w:r>
      <w:r w:rsidR="00A952A2">
        <w:rPr>
          <w:noProof/>
        </w:rPr>
        <w:t>3</w:t>
      </w:r>
      <w:r>
        <w:rPr>
          <w:highlight w:val="yellow"/>
        </w:rPr>
        <w:fldChar w:fldCharType="end"/>
      </w:r>
      <w:r>
        <w:t xml:space="preserve"> are for the STEC group using the PCR prevalence results. No prevalence data was identified for STEC in any of the berry types.</w:t>
      </w:r>
    </w:p>
    <w:p w14:paraId="4511A8E7" w14:textId="77777777" w:rsidR="00FB04CE" w:rsidRDefault="00FB04CE" w:rsidP="00FB04CE"/>
    <w:p w14:paraId="518991F7" w14:textId="77777777" w:rsidR="00FB04CE" w:rsidRDefault="00FB04CE" w:rsidP="00FB04CE">
      <w:r>
        <w:t>Overall, nearly 70% (90/130) of the identified prevalence studies included either lettuce or spinach. For all other commodities only NoV in raspberries had more than ten prevalence studies. Despite the difference in studies the statistical analysis does show that each of the bacterial and viral pathogens have been identified in the horticulture products.</w:t>
      </w:r>
    </w:p>
    <w:p w14:paraId="25B187B9" w14:textId="77777777" w:rsidR="00FB04CE" w:rsidRDefault="00FB04CE" w:rsidP="00FB04CE">
      <w:pPr>
        <w:widowControl/>
      </w:pPr>
      <w:r>
        <w:br w:type="page"/>
      </w:r>
    </w:p>
    <w:p w14:paraId="26B099A1" w14:textId="77777777" w:rsidR="00FB04CE" w:rsidRDefault="00FB04CE" w:rsidP="00FB04CE">
      <w:pPr>
        <w:pStyle w:val="Heading1"/>
        <w:numPr>
          <w:ilvl w:val="0"/>
          <w:numId w:val="11"/>
        </w:numPr>
        <w:ind w:right="454"/>
        <w:rPr>
          <w:color w:val="000000" w:themeColor="text1"/>
        </w:rPr>
      </w:pPr>
      <w:bookmarkStart w:id="87" w:name="_Toc56693414"/>
      <w:bookmarkStart w:id="88" w:name="_Toc58327766"/>
      <w:bookmarkStart w:id="89" w:name="_Toc58333946"/>
      <w:bookmarkStart w:id="90" w:name="_Toc45275332"/>
      <w:bookmarkStart w:id="91" w:name="_Toc64448754"/>
      <w:bookmarkStart w:id="92" w:name="_Toc87860015"/>
      <w:r w:rsidRPr="00AA3092">
        <w:rPr>
          <w:color w:val="000000" w:themeColor="text1"/>
        </w:rPr>
        <w:t>Overview of commodity production systems</w:t>
      </w:r>
      <w:bookmarkEnd w:id="87"/>
      <w:bookmarkEnd w:id="88"/>
      <w:bookmarkEnd w:id="89"/>
      <w:bookmarkEnd w:id="90"/>
      <w:bookmarkEnd w:id="91"/>
      <w:bookmarkEnd w:id="92"/>
    </w:p>
    <w:p w14:paraId="60026BA9" w14:textId="665EA946" w:rsidR="00FB04CE" w:rsidRDefault="00FB04CE" w:rsidP="00FB04CE">
      <w:pPr>
        <w:rPr>
          <w:lang w:bidi="ar-SA"/>
        </w:rPr>
      </w:pPr>
      <w:r>
        <w:rPr>
          <w:lang w:bidi="ar-SA"/>
        </w:rPr>
        <w:t>A summary of Australian production systems for the in-scope commodities is provided below.</w:t>
      </w:r>
    </w:p>
    <w:p w14:paraId="5890C389" w14:textId="77777777" w:rsidR="00E44DB7" w:rsidRPr="00F26F56" w:rsidRDefault="00E44DB7" w:rsidP="00FB04CE">
      <w:pPr>
        <w:rPr>
          <w:lang w:bidi="ar-SA"/>
        </w:rPr>
      </w:pPr>
    </w:p>
    <w:p w14:paraId="57E918BF" w14:textId="77777777" w:rsidR="00FB04CE" w:rsidRPr="00AA3092" w:rsidRDefault="00FB04CE" w:rsidP="00FB04CE">
      <w:pPr>
        <w:pStyle w:val="Heading2"/>
        <w:numPr>
          <w:ilvl w:val="1"/>
          <w:numId w:val="11"/>
        </w:numPr>
      </w:pPr>
      <w:bookmarkStart w:id="93" w:name="_Toc56693415"/>
      <w:bookmarkStart w:id="94" w:name="_Toc58327767"/>
      <w:bookmarkStart w:id="95" w:name="_Toc58333947"/>
      <w:bookmarkStart w:id="96" w:name="_Toc64448755"/>
      <w:bookmarkStart w:id="97" w:name="_Toc87860016"/>
      <w:r w:rsidRPr="00AA3092">
        <w:t>Leafy vegetables primary production and processing</w:t>
      </w:r>
      <w:bookmarkEnd w:id="93"/>
      <w:bookmarkEnd w:id="94"/>
      <w:bookmarkEnd w:id="95"/>
      <w:bookmarkEnd w:id="96"/>
      <w:bookmarkEnd w:id="97"/>
    </w:p>
    <w:p w14:paraId="246735E0" w14:textId="77777777" w:rsidR="00FB04CE" w:rsidRDefault="00FB04CE" w:rsidP="00FB04CE">
      <w:r w:rsidDel="007D2690">
        <w:rPr>
          <w:lang w:bidi="ar-SA"/>
        </w:rPr>
        <w:t>Australia</w:t>
      </w:r>
      <w:r w:rsidDel="007D2690">
        <w:rPr>
          <w:lang w:eastAsia="en-AU" w:bidi="ar-SA"/>
        </w:rPr>
        <w:t xml:space="preserve"> </w:t>
      </w:r>
      <w:r>
        <w:rPr>
          <w:lang w:eastAsia="en-AU" w:bidi="ar-SA"/>
        </w:rPr>
        <w:t>produces a diverse range</w:t>
      </w:r>
      <w:r w:rsidDel="007D2690">
        <w:rPr>
          <w:lang w:eastAsia="en-AU" w:bidi="ar-SA"/>
        </w:rPr>
        <w:t xml:space="preserve"> of </w:t>
      </w:r>
      <w:r>
        <w:rPr>
          <w:lang w:eastAsia="en-AU" w:bidi="ar-SA"/>
        </w:rPr>
        <w:t>leafy vegetables, supported by consumer demand for choice and convenience. D</w:t>
      </w:r>
      <w:r w:rsidDel="007D2690">
        <w:rPr>
          <w:lang w:eastAsia="en-AU" w:bidi="ar-SA"/>
        </w:rPr>
        <w:t>ense head lettuce</w:t>
      </w:r>
      <w:r>
        <w:rPr>
          <w:lang w:eastAsia="en-AU" w:bidi="ar-SA"/>
        </w:rPr>
        <w:t>s</w:t>
      </w:r>
      <w:r w:rsidDel="007D2690">
        <w:rPr>
          <w:lang w:eastAsia="en-AU" w:bidi="ar-SA"/>
        </w:rPr>
        <w:t xml:space="preserve"> </w:t>
      </w:r>
      <w:r>
        <w:rPr>
          <w:lang w:eastAsia="en-AU" w:bidi="ar-SA"/>
        </w:rPr>
        <w:t xml:space="preserve">include </w:t>
      </w:r>
      <w:r>
        <w:rPr>
          <w:lang w:bidi="ar-SA"/>
        </w:rPr>
        <w:t>cos, iceberg and oak, and</w:t>
      </w:r>
      <w:r w:rsidDel="007D2690">
        <w:rPr>
          <w:lang w:bidi="ar-SA"/>
        </w:rPr>
        <w:t xml:space="preserve"> </w:t>
      </w:r>
      <w:r>
        <w:rPr>
          <w:lang w:bidi="ar-SA"/>
        </w:rPr>
        <w:t>a variety of l</w:t>
      </w:r>
      <w:r w:rsidDel="007D2690">
        <w:rPr>
          <w:lang w:bidi="ar-SA"/>
        </w:rPr>
        <w:t xml:space="preserve">eafy salad vegetables </w:t>
      </w:r>
      <w:r>
        <w:rPr>
          <w:lang w:bidi="ar-SA"/>
        </w:rPr>
        <w:t xml:space="preserve">including </w:t>
      </w:r>
      <w:r w:rsidRPr="00006426" w:rsidDel="007D2690">
        <w:rPr>
          <w:lang w:bidi="ar-SA"/>
        </w:rPr>
        <w:t>baby spinach</w:t>
      </w:r>
      <w:r>
        <w:rPr>
          <w:lang w:bidi="ar-SA"/>
        </w:rPr>
        <w:t xml:space="preserve"> and </w:t>
      </w:r>
      <w:r w:rsidRPr="00006426" w:rsidDel="007D2690">
        <w:rPr>
          <w:lang w:bidi="ar-SA"/>
        </w:rPr>
        <w:t>rocket</w:t>
      </w:r>
      <w:r>
        <w:rPr>
          <w:lang w:bidi="ar-SA"/>
        </w:rPr>
        <w:t>. L</w:t>
      </w:r>
      <w:r w:rsidDel="007D2690">
        <w:rPr>
          <w:lang w:bidi="ar-SA"/>
        </w:rPr>
        <w:t xml:space="preserve">eafy herbs </w:t>
      </w:r>
      <w:r>
        <w:rPr>
          <w:lang w:bidi="ar-SA"/>
        </w:rPr>
        <w:t xml:space="preserve">include </w:t>
      </w:r>
      <w:r w:rsidRPr="00006426" w:rsidDel="007D2690">
        <w:rPr>
          <w:lang w:bidi="ar-SA"/>
        </w:rPr>
        <w:t>basil, c</w:t>
      </w:r>
      <w:r>
        <w:rPr>
          <w:lang w:bidi="ar-SA"/>
        </w:rPr>
        <w:t>hives, coriander, mint and parsley amongst</w:t>
      </w:r>
      <w:r w:rsidDel="007D2690">
        <w:rPr>
          <w:lang w:bidi="ar-SA"/>
        </w:rPr>
        <w:t xml:space="preserve"> other</w:t>
      </w:r>
      <w:r>
        <w:rPr>
          <w:lang w:bidi="ar-SA"/>
        </w:rPr>
        <w:t>s</w:t>
      </w:r>
      <w:r w:rsidDel="007D2690">
        <w:rPr>
          <w:lang w:bidi="ar-SA"/>
        </w:rPr>
        <w:t xml:space="preserve">. </w:t>
      </w:r>
    </w:p>
    <w:p w14:paraId="268A87BA" w14:textId="77777777" w:rsidR="00FB04CE" w:rsidRDefault="00FB04CE" w:rsidP="00FB04CE"/>
    <w:p w14:paraId="2B85AAA3" w14:textId="088C8BA8" w:rsidR="00FB04CE" w:rsidRDefault="00FB04CE" w:rsidP="00FB04CE">
      <w:pPr>
        <w:rPr>
          <w:lang w:bidi="ar-SA"/>
        </w:rPr>
      </w:pPr>
      <w:r>
        <w:rPr>
          <w:rFonts w:cs="Arial"/>
          <w:lang w:eastAsia="en-AU" w:bidi="ar-SA"/>
        </w:rPr>
        <w:t xml:space="preserve">Leafy </w:t>
      </w:r>
      <w:r w:rsidRPr="0049207F">
        <w:rPr>
          <w:rFonts w:cs="Arial"/>
          <w:lang w:eastAsia="en-AU" w:bidi="ar-SA"/>
        </w:rPr>
        <w:t xml:space="preserve">vegetables are produced in all Australian states, enabling year-round production and availability. </w:t>
      </w:r>
      <w:r w:rsidRPr="0049207F">
        <w:rPr>
          <w:lang w:eastAsia="en-AU" w:bidi="ar-SA"/>
        </w:rPr>
        <w:t>In 2017/18 the annual production of leafy vege</w:t>
      </w:r>
      <w:r w:rsidR="00E05177">
        <w:rPr>
          <w:lang w:eastAsia="en-AU" w:bidi="ar-SA"/>
        </w:rPr>
        <w:t>tables in Australia was 315,890 </w:t>
      </w:r>
      <w:r w:rsidRPr="0049207F">
        <w:rPr>
          <w:lang w:eastAsia="en-AU" w:bidi="ar-SA"/>
        </w:rPr>
        <w:t xml:space="preserve">tonnes </w:t>
      </w:r>
      <w:r w:rsidR="00657FDB">
        <w:t>(Hort Innovation 2019c)</w:t>
      </w:r>
      <w:r w:rsidRPr="0049207F">
        <w:rPr>
          <w:lang w:eastAsia="en-AU" w:bidi="ar-SA"/>
        </w:rPr>
        <w:t xml:space="preserve">. </w:t>
      </w:r>
      <w:r w:rsidRPr="0049207F">
        <w:rPr>
          <w:lang w:bidi="ar-SA"/>
        </w:rPr>
        <w:t xml:space="preserve">Head lettuce is produced in the highest total volume. Leafy salad vegetables account for the highest total value. </w:t>
      </w:r>
    </w:p>
    <w:p w14:paraId="41EFEE4E" w14:textId="77777777" w:rsidR="00FB04CE" w:rsidRPr="0049207F" w:rsidRDefault="00FB04CE" w:rsidP="00FB04CE">
      <w:pPr>
        <w:rPr>
          <w:lang w:bidi="ar-SA"/>
        </w:rPr>
      </w:pPr>
    </w:p>
    <w:p w14:paraId="2C95FDEE" w14:textId="77777777" w:rsidR="00FB04CE" w:rsidRPr="0049207F" w:rsidRDefault="00FB04CE" w:rsidP="00FB04CE">
      <w:pPr>
        <w:rPr>
          <w:lang w:bidi="ar-SA"/>
        </w:rPr>
      </w:pPr>
      <w:r w:rsidRPr="0049207F">
        <w:rPr>
          <w:lang w:bidi="ar-SA"/>
        </w:rPr>
        <w:t>In Australia there is estimated to be 1,000-2,000 leafy vegetable businesses, the majority of which are small (5-19 employees) or micro (up to 4 employees) sized businesses.</w:t>
      </w:r>
    </w:p>
    <w:p w14:paraId="113B53E7" w14:textId="77777777" w:rsidR="00FB04CE" w:rsidRDefault="00FB04CE" w:rsidP="00FB04CE">
      <w:pPr>
        <w:rPr>
          <w:lang w:bidi="ar-SA"/>
        </w:rPr>
      </w:pPr>
    </w:p>
    <w:p w14:paraId="2C0E807D" w14:textId="7FBDD386" w:rsidR="00FB04CE" w:rsidRDefault="00FB04CE" w:rsidP="00FB04CE">
      <w:pPr>
        <w:rPr>
          <w:lang w:bidi="ar-SA"/>
        </w:rPr>
      </w:pPr>
      <w:r>
        <w:rPr>
          <w:lang w:bidi="ar-SA"/>
        </w:rPr>
        <w:t xml:space="preserve">Most produce is distributed domestically. Washed, bagged, and ready-to-eat products are popular </w:t>
      </w:r>
      <w:r w:rsidR="00657FDB">
        <w:rPr>
          <w:lang w:bidi="ar-SA"/>
        </w:rPr>
        <w:t>(Woodward 2018)</w:t>
      </w:r>
      <w:r>
        <w:rPr>
          <w:lang w:bidi="ar-SA"/>
        </w:rPr>
        <w:t xml:space="preserve">. </w:t>
      </w:r>
      <w:r w:rsidRPr="0049207F">
        <w:rPr>
          <w:lang w:bidi="ar-SA"/>
        </w:rPr>
        <w:t>In 2017/18, 70% of Australian households purchased head lettuce, 55% purchased leafy salad vegetables</w:t>
      </w:r>
      <w:r>
        <w:rPr>
          <w:lang w:bidi="ar-SA"/>
        </w:rPr>
        <w:t xml:space="preserve"> and 38% purchased leafy herbs </w:t>
      </w:r>
      <w:r w:rsidR="00657FDB">
        <w:t>(Hort Innovation 2019c)</w:t>
      </w:r>
      <w:r w:rsidRPr="001C446E">
        <w:t>.</w:t>
      </w:r>
    </w:p>
    <w:p w14:paraId="4363FE65" w14:textId="77777777" w:rsidR="00FB04CE" w:rsidRDefault="00FB04CE" w:rsidP="00FB04CE">
      <w:pPr>
        <w:rPr>
          <w:lang w:bidi="ar-SA"/>
        </w:rPr>
      </w:pPr>
    </w:p>
    <w:p w14:paraId="6E23515D" w14:textId="77777777" w:rsidR="00FB04CE" w:rsidRDefault="00FB04CE" w:rsidP="00FB04CE">
      <w:pPr>
        <w:rPr>
          <w:lang w:bidi="ar-SA"/>
        </w:rPr>
      </w:pPr>
      <w:r>
        <w:rPr>
          <w:lang w:bidi="ar-SA"/>
        </w:rPr>
        <w:t xml:space="preserve">A relatively small volume of </w:t>
      </w:r>
      <w:r>
        <w:rPr>
          <w:lang w:eastAsia="en-AU" w:bidi="ar-SA"/>
        </w:rPr>
        <w:t>head lettuce and leafy salad vegetables are exported</w:t>
      </w:r>
      <w:r>
        <w:rPr>
          <w:rStyle w:val="FootnoteReference"/>
          <w:lang w:eastAsia="en-AU" w:bidi="ar-SA"/>
        </w:rPr>
        <w:footnoteReference w:id="9"/>
      </w:r>
      <w:r>
        <w:rPr>
          <w:lang w:eastAsia="en-AU" w:bidi="ar-SA"/>
        </w:rPr>
        <w:t>; minimal volumes are imported. There is no import or export of leafy herbs.</w:t>
      </w:r>
    </w:p>
    <w:p w14:paraId="5BF55378" w14:textId="77777777" w:rsidR="00FB04CE" w:rsidRDefault="00FB04CE" w:rsidP="00FB04CE">
      <w:pPr>
        <w:shd w:val="clear" w:color="auto" w:fill="FFFFFF" w:themeFill="background1"/>
        <w:rPr>
          <w:lang w:bidi="ar-SA"/>
        </w:rPr>
      </w:pPr>
    </w:p>
    <w:p w14:paraId="6D901801" w14:textId="77777777" w:rsidR="00FB04CE" w:rsidRPr="007A179B" w:rsidRDefault="00FB04CE" w:rsidP="00FB04CE">
      <w:pPr>
        <w:shd w:val="clear" w:color="auto" w:fill="FFFFFF" w:themeFill="background1"/>
        <w:rPr>
          <w:lang w:bidi="ar-SA"/>
        </w:rPr>
      </w:pPr>
      <w:r w:rsidRPr="007A179B">
        <w:rPr>
          <w:lang w:bidi="ar-SA"/>
        </w:rPr>
        <w:t xml:space="preserve">The on-farm activities and inputs for leafy vegetables are </w:t>
      </w:r>
      <w:r w:rsidRPr="00C2575F">
        <w:rPr>
          <w:lang w:bidi="ar-SA"/>
        </w:rPr>
        <w:t>summarised in Figure 2.</w:t>
      </w:r>
      <w:r w:rsidRPr="007A179B">
        <w:rPr>
          <w:lang w:bidi="ar-SA"/>
        </w:rPr>
        <w:t xml:space="preserve"> </w:t>
      </w:r>
    </w:p>
    <w:p w14:paraId="4BF5D067" w14:textId="77777777" w:rsidR="00FB04CE" w:rsidRPr="007A179B" w:rsidRDefault="00FB04CE" w:rsidP="00FB04CE">
      <w:pPr>
        <w:shd w:val="clear" w:color="auto" w:fill="FFFFFF" w:themeFill="background1"/>
        <w:rPr>
          <w:lang w:bidi="ar-SA"/>
        </w:rPr>
      </w:pPr>
    </w:p>
    <w:p w14:paraId="3048EAF1" w14:textId="18DAFB87" w:rsidR="00FB04CE" w:rsidRPr="007A179B" w:rsidRDefault="00FB04CE" w:rsidP="00FB04CE">
      <w:pPr>
        <w:shd w:val="clear" w:color="auto" w:fill="FFFFFF" w:themeFill="background1"/>
        <w:rPr>
          <w:rFonts w:cs="Arial"/>
        </w:rPr>
      </w:pPr>
      <w:r w:rsidRPr="007A179B">
        <w:rPr>
          <w:rFonts w:cs="Arial"/>
        </w:rPr>
        <w:t>Leafy vegetables are grown from seeds or seedlings purchased from seed suppliers and commercial nurseries. Some growers raise their own seedlings to transplant. Field preparation may include ploughing, forming soil beds, applying</w:t>
      </w:r>
      <w:r w:rsidR="00207885">
        <w:rPr>
          <w:rFonts w:cs="Arial"/>
        </w:rPr>
        <w:t xml:space="preserve"> fertiliser and correcting soil </w:t>
      </w:r>
      <w:r w:rsidRPr="007A179B">
        <w:rPr>
          <w:rFonts w:cs="Arial"/>
        </w:rPr>
        <w:t>pH. Seeds are sown directly into soil by hand or using a seed machine. Seedlings are planted by hand or with transplanting machines.</w:t>
      </w:r>
    </w:p>
    <w:p w14:paraId="7869EC20" w14:textId="77777777" w:rsidR="00FB04CE" w:rsidRPr="007A179B" w:rsidRDefault="00FB04CE" w:rsidP="00FB04CE">
      <w:pPr>
        <w:shd w:val="clear" w:color="auto" w:fill="FFFFFF" w:themeFill="background1"/>
        <w:rPr>
          <w:rFonts w:cs="Arial"/>
        </w:rPr>
      </w:pPr>
    </w:p>
    <w:p w14:paraId="129479E5" w14:textId="77777777" w:rsidR="00FB04CE" w:rsidRPr="007A179B" w:rsidRDefault="00FB04CE" w:rsidP="00FB04CE">
      <w:pPr>
        <w:shd w:val="clear" w:color="auto" w:fill="FFFFFF" w:themeFill="background1"/>
        <w:rPr>
          <w:rFonts w:cs="Arial"/>
        </w:rPr>
      </w:pPr>
      <w:r w:rsidRPr="007A179B">
        <w:rPr>
          <w:rFonts w:cs="Arial"/>
        </w:rPr>
        <w:t>Side dressings of fertiliser, often heat-treated manure, are applied during growth. Water is supplied through drip, furrow or overhead irrigation. Crops are monitored and controlled for pests and weeds.</w:t>
      </w:r>
    </w:p>
    <w:p w14:paraId="6514F9D1" w14:textId="77777777" w:rsidR="00FB04CE" w:rsidRPr="007A179B" w:rsidRDefault="00FB04CE" w:rsidP="00FB04CE">
      <w:pPr>
        <w:shd w:val="clear" w:color="auto" w:fill="FFFFFF" w:themeFill="background1"/>
        <w:rPr>
          <w:rFonts w:cs="Arial"/>
        </w:rPr>
      </w:pPr>
    </w:p>
    <w:p w14:paraId="70C0A688" w14:textId="77777777" w:rsidR="00FB04CE" w:rsidRPr="007A179B" w:rsidRDefault="00FB04CE" w:rsidP="00FB04CE">
      <w:pPr>
        <w:shd w:val="clear" w:color="auto" w:fill="FFFFFF" w:themeFill="background1"/>
        <w:rPr>
          <w:rFonts w:cs="Arial"/>
        </w:rPr>
      </w:pPr>
      <w:r w:rsidRPr="007A179B">
        <w:rPr>
          <w:rFonts w:cs="Arial"/>
        </w:rPr>
        <w:t>Leafy vegetables are generally harvested by hand, although mechanical harvesters are available for lettuces and baby spinach. Harvested products are collected in containers or crates. Some head lettuces are field trimmed, cored, packed into waxed cartons and palletised to be sent directly to market as a ready-to-wash product. Containers and crates are palletised and transported to packing sheds; refrigerated vehicl</w:t>
      </w:r>
      <w:r>
        <w:rPr>
          <w:rFonts w:cs="Arial"/>
        </w:rPr>
        <w:t>es are used for long distances.</w:t>
      </w:r>
    </w:p>
    <w:p w14:paraId="5BF39615" w14:textId="77777777" w:rsidR="00E37503" w:rsidRDefault="00E37503" w:rsidP="00FB04CE">
      <w:pPr>
        <w:shd w:val="clear" w:color="auto" w:fill="FFFFFF" w:themeFill="background1"/>
        <w:rPr>
          <w:lang w:bidi="ar-SA"/>
        </w:rPr>
      </w:pPr>
    </w:p>
    <w:p w14:paraId="052D546D" w14:textId="28478CDC" w:rsidR="00FB04CE" w:rsidRPr="007A179B" w:rsidRDefault="00FB04CE" w:rsidP="00FB04CE">
      <w:pPr>
        <w:shd w:val="clear" w:color="auto" w:fill="FFFFFF" w:themeFill="background1"/>
      </w:pPr>
      <w:r w:rsidRPr="007A179B">
        <w:rPr>
          <w:lang w:bidi="ar-SA"/>
        </w:rPr>
        <w:t>The activities and inputs at packing sheds for head lettuce and leafy salad vegetables (</w:t>
      </w:r>
      <w:r w:rsidRPr="00C2575F">
        <w:rPr>
          <w:lang w:bidi="ar-SA"/>
        </w:rPr>
        <w:t>summarised in Figure 3) differ slightly from leafy herbs (summarised in Figure 4).</w:t>
      </w:r>
    </w:p>
    <w:p w14:paraId="370C7EEA" w14:textId="77777777" w:rsidR="00FB04CE" w:rsidRPr="007A179B" w:rsidRDefault="00FB04CE" w:rsidP="00FB04CE">
      <w:pPr>
        <w:shd w:val="clear" w:color="auto" w:fill="FFFFFF" w:themeFill="background1"/>
      </w:pPr>
    </w:p>
    <w:p w14:paraId="76F54A5C" w14:textId="77777777" w:rsidR="00E37503" w:rsidRDefault="00E37503">
      <w:pPr>
        <w:widowControl/>
      </w:pPr>
      <w:r>
        <w:br w:type="page"/>
      </w:r>
    </w:p>
    <w:p w14:paraId="756D9C04" w14:textId="20945E60" w:rsidR="00FB04CE" w:rsidRPr="007A179B" w:rsidRDefault="00FB04CE" w:rsidP="00FB04CE">
      <w:pPr>
        <w:shd w:val="clear" w:color="auto" w:fill="FFFFFF" w:themeFill="background1"/>
      </w:pPr>
      <w:r w:rsidRPr="007A179B">
        <w:t>Harvested head lettuce and leafy salad vegetables in crates, containers, or cartons are immediately cooled using forced air, vacuum or hydrovac cooling. They are then washed, sorted, trimmed and sanitised. This is followed by drying with air-drying systems or commercial spinners. Product is packed into plastic bags or sleeves, or bulk-packed into cartons or crates. Packed products are then palletised, shrink wrapped and stored in coolrooms before distribution.</w:t>
      </w:r>
    </w:p>
    <w:p w14:paraId="09072A76" w14:textId="77777777" w:rsidR="00FB04CE" w:rsidRPr="007A179B" w:rsidRDefault="00FB04CE" w:rsidP="00FB04CE">
      <w:pPr>
        <w:shd w:val="clear" w:color="auto" w:fill="FFFFFF" w:themeFill="background1"/>
        <w:rPr>
          <w:lang w:bidi="ar-SA"/>
        </w:rPr>
      </w:pPr>
    </w:p>
    <w:p w14:paraId="72F49EA5" w14:textId="77777777" w:rsidR="00FB04CE" w:rsidRPr="007A179B" w:rsidRDefault="00FB04CE" w:rsidP="00FB04CE">
      <w:pPr>
        <w:shd w:val="clear" w:color="auto" w:fill="FFFFFF" w:themeFill="background1"/>
      </w:pPr>
      <w:r w:rsidRPr="007A179B">
        <w:t>Leafy herbs are also immediately cooled upon receipt. They are not commonly treated with sanitisers but are regularly sprayed with or dipped in water to prevent moisture loss. Leafy herbs are bunched, packed into plastic bags, punnets or plastic film, and then placed into waxed cartons. Unpackaged herbs may also be bulk-packed into styrofoam boxes or waxed cartons.</w:t>
      </w:r>
    </w:p>
    <w:p w14:paraId="2D771F79" w14:textId="77777777" w:rsidR="00FB04CE" w:rsidRPr="007A179B" w:rsidRDefault="00FB04CE" w:rsidP="00FB04CE">
      <w:pPr>
        <w:shd w:val="clear" w:color="auto" w:fill="FFFFFF" w:themeFill="background1"/>
      </w:pPr>
    </w:p>
    <w:p w14:paraId="4DFF1E6D" w14:textId="77777777" w:rsidR="00FB04CE" w:rsidRPr="007A179B" w:rsidRDefault="00FB04CE" w:rsidP="00FB04CE">
      <w:pPr>
        <w:shd w:val="clear" w:color="auto" w:fill="FFFFFF" w:themeFill="background1"/>
      </w:pPr>
      <w:r w:rsidRPr="007A179B">
        <w:t xml:space="preserve">Some leafy vegetables (washed or unwashed) are sent for further processing. Processor activities are </w:t>
      </w:r>
      <w:r w:rsidRPr="00C2575F">
        <w:t>summarised in Figure 5. Most activities</w:t>
      </w:r>
      <w:r w:rsidRPr="007A179B">
        <w:t xml:space="preserve"> in processing factories use mechanical or robotic equipment. Products are washed, trimmed and sanitised. They are then dried in air-drying systems or spinners and packed into plastic bags. For some products (e.g. ready-to-eat leafy salads) the plastic bag is gas flushed (modified atmosphere packaging) before sealing. Packed products are palletised and stored in coolrooms before distribution.</w:t>
      </w:r>
    </w:p>
    <w:p w14:paraId="4F3F21A6" w14:textId="77777777" w:rsidR="00FB04CE" w:rsidRPr="007A179B" w:rsidRDefault="00FB04CE" w:rsidP="00FB04CE">
      <w:pPr>
        <w:shd w:val="clear" w:color="auto" w:fill="FFFFFF" w:themeFill="background1"/>
      </w:pPr>
    </w:p>
    <w:p w14:paraId="43FAC648" w14:textId="77777777" w:rsidR="00FB04CE" w:rsidRPr="007A179B" w:rsidRDefault="00FB04CE" w:rsidP="00FB04CE">
      <w:pPr>
        <w:shd w:val="clear" w:color="auto" w:fill="FFFFFF" w:themeFill="background1"/>
        <w:rPr>
          <w:b/>
          <w:lang w:bidi="ar-SA"/>
        </w:rPr>
      </w:pPr>
      <w:r w:rsidRPr="007A179B">
        <w:t>From the packing shed, ready-to-wash or ready-to-eat leafy vegetables are transported under refrigeration to distribution centres, wholesale markets, or processors. Processors send processed products to distribution centres. The distribution centres dispatch products to retail stores, and wholesale markets to food service outlets. Consumers can purchase products directly from wholesale markets or retail outlets.</w:t>
      </w:r>
    </w:p>
    <w:p w14:paraId="06957DFE" w14:textId="77777777" w:rsidR="00FB04CE" w:rsidRDefault="00FB04CE" w:rsidP="00FB04CE"/>
    <w:p w14:paraId="300F37D7" w14:textId="77777777" w:rsidR="00FB04CE" w:rsidRDefault="00FB04CE" w:rsidP="00FB04CE">
      <w:pPr>
        <w:widowControl/>
      </w:pPr>
      <w:r>
        <w:br w:type="page"/>
      </w:r>
    </w:p>
    <w:p w14:paraId="52DE0048" w14:textId="77777777" w:rsidR="00FB04CE" w:rsidRDefault="00FB04CE" w:rsidP="00FB04CE"/>
    <w:p w14:paraId="29BDA772" w14:textId="77777777" w:rsidR="00FB04CE" w:rsidRDefault="00FB04CE" w:rsidP="00FB04CE">
      <w:r>
        <w:rPr>
          <w:rFonts w:eastAsia="Calibri" w:cs="Arial"/>
          <w:b/>
          <w:noProof/>
          <w:szCs w:val="22"/>
          <w:lang w:eastAsia="en-GB" w:bidi="ar-SA"/>
        </w:rPr>
        <w:drawing>
          <wp:inline distT="0" distB="0" distL="0" distR="0" wp14:anchorId="41C212FA" wp14:editId="4D5EC9E0">
            <wp:extent cx="4838400" cy="4878000"/>
            <wp:effectExtent l="0" t="0" r="635" b="0"/>
            <wp:docPr id="30" name="Picture 30" descr="Flow diagram of on-farm activities and inputs for leafy vegetable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w diagram of on-farm activities and inputs for leafy vegetable produ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400" cy="4878000"/>
                    </a:xfrm>
                    <a:prstGeom prst="rect">
                      <a:avLst/>
                    </a:prstGeom>
                    <a:noFill/>
                    <a:ln>
                      <a:noFill/>
                    </a:ln>
                  </pic:spPr>
                </pic:pic>
              </a:graphicData>
            </a:graphic>
          </wp:inline>
        </w:drawing>
      </w:r>
    </w:p>
    <w:p w14:paraId="6BCD795B" w14:textId="77777777" w:rsidR="00FB04CE" w:rsidRDefault="00FB04CE" w:rsidP="00FB04CE"/>
    <w:p w14:paraId="44B59A0F" w14:textId="5CCF63CF" w:rsidR="00FB04CE" w:rsidRPr="00167726" w:rsidRDefault="00FB04CE" w:rsidP="00FB04CE">
      <w:pPr>
        <w:rPr>
          <w:szCs w:val="22"/>
        </w:rPr>
      </w:pPr>
      <w:r>
        <w:t xml:space="preserve">Figure </w:t>
      </w:r>
      <w:fldSimple w:instr=" SEQ Figure \* ARABIC ">
        <w:r w:rsidR="00A952A2">
          <w:rPr>
            <w:noProof/>
          </w:rPr>
          <w:t>2</w:t>
        </w:r>
      </w:fldSimple>
      <w:r>
        <w:t xml:space="preserve">. </w:t>
      </w:r>
      <w:r w:rsidRPr="00167726">
        <w:rPr>
          <w:rFonts w:eastAsia="Calibri" w:cs="Arial"/>
          <w:szCs w:val="22"/>
        </w:rPr>
        <w:t>Generalised on-farm activities and inputs for leafy vegetable production in Australia. Diagram based on information in</w:t>
      </w:r>
      <w:r>
        <w:rPr>
          <w:rFonts w:eastAsia="Calibri" w:cs="Arial"/>
          <w:szCs w:val="22"/>
        </w:rPr>
        <w:t xml:space="preserve"> IFPA et al. </w:t>
      </w:r>
      <w:r w:rsidR="00657FDB">
        <w:rPr>
          <w:rFonts w:eastAsia="Calibri" w:cs="Arial"/>
          <w:szCs w:val="22"/>
        </w:rPr>
        <w:t>(2006)</w:t>
      </w:r>
      <w:r w:rsidRPr="00167726">
        <w:rPr>
          <w:rFonts w:eastAsia="Calibri" w:cs="Arial"/>
          <w:szCs w:val="22"/>
        </w:rPr>
        <w:t xml:space="preserve"> </w:t>
      </w:r>
    </w:p>
    <w:p w14:paraId="05E410FD" w14:textId="77777777" w:rsidR="00FB04CE" w:rsidRPr="00167726" w:rsidRDefault="00FB04CE" w:rsidP="00FB04CE">
      <w:pPr>
        <w:rPr>
          <w:szCs w:val="22"/>
        </w:rPr>
      </w:pPr>
    </w:p>
    <w:p w14:paraId="196C5DBB" w14:textId="77777777" w:rsidR="00FB04CE" w:rsidRDefault="00FB04CE" w:rsidP="00FB04CE">
      <w:pPr>
        <w:widowControl/>
      </w:pPr>
      <w:r>
        <w:br w:type="page"/>
      </w:r>
    </w:p>
    <w:p w14:paraId="6D547BAA" w14:textId="77777777" w:rsidR="00FB04CE" w:rsidRDefault="00FB04CE" w:rsidP="00FB04CE"/>
    <w:p w14:paraId="5D191374" w14:textId="77777777" w:rsidR="00FB04CE" w:rsidRDefault="00FB04CE" w:rsidP="00FB04CE">
      <w:r>
        <w:rPr>
          <w:rFonts w:cs="Arial"/>
          <w:noProof/>
          <w:sz w:val="20"/>
          <w:lang w:eastAsia="en-GB" w:bidi="ar-SA"/>
        </w:rPr>
        <w:drawing>
          <wp:inline distT="0" distB="0" distL="0" distR="0" wp14:anchorId="48737409" wp14:editId="1037590F">
            <wp:extent cx="5054400" cy="5846400"/>
            <wp:effectExtent l="0" t="0" r="0" b="2540"/>
            <wp:docPr id="33" name="Picture 33" descr="Flow diagram of packing shed activities and inputs for leafy vegetable production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w diagram of packing shed activities and inputs for leafy vegetable production fin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4400" cy="5846400"/>
                    </a:xfrm>
                    <a:prstGeom prst="rect">
                      <a:avLst/>
                    </a:prstGeom>
                    <a:noFill/>
                    <a:ln>
                      <a:noFill/>
                    </a:ln>
                  </pic:spPr>
                </pic:pic>
              </a:graphicData>
            </a:graphic>
          </wp:inline>
        </w:drawing>
      </w:r>
    </w:p>
    <w:p w14:paraId="260C3C28" w14:textId="77777777" w:rsidR="00FB04CE" w:rsidRDefault="00FB04CE" w:rsidP="00FB04CE"/>
    <w:p w14:paraId="3E6C9D67" w14:textId="3923ECD6" w:rsidR="00FB04CE" w:rsidRPr="00167726" w:rsidRDefault="00FB04CE" w:rsidP="00FB04CE">
      <w:r>
        <w:t xml:space="preserve">Figure </w:t>
      </w:r>
      <w:fldSimple w:instr=" SEQ Figure \* ARABIC ">
        <w:r w:rsidR="00A952A2">
          <w:rPr>
            <w:noProof/>
          </w:rPr>
          <w:t>3</w:t>
        </w:r>
      </w:fldSimple>
      <w:r>
        <w:t xml:space="preserve">. </w:t>
      </w:r>
      <w:r w:rsidRPr="00167726">
        <w:rPr>
          <w:rFonts w:eastAsia="Calibri" w:cs="Arial"/>
          <w:szCs w:val="22"/>
        </w:rPr>
        <w:t>Generalised packing shed activities and inputs for head lettuce and leafy salad vegetable production in Australia. Diagram based on information in</w:t>
      </w:r>
      <w:r>
        <w:t xml:space="preserve"> Lockrey et al. </w:t>
      </w:r>
      <w:r w:rsidR="00657FDB">
        <w:t>(2019)</w:t>
      </w:r>
      <w:r w:rsidRPr="00167726">
        <w:t>.</w:t>
      </w:r>
    </w:p>
    <w:p w14:paraId="67DF4E35" w14:textId="77777777" w:rsidR="00FB04CE" w:rsidRPr="00167726" w:rsidRDefault="00FB04CE" w:rsidP="00FB04CE"/>
    <w:p w14:paraId="7CC846A1" w14:textId="77777777" w:rsidR="00FB04CE" w:rsidRDefault="00FB04CE" w:rsidP="00FB04CE">
      <w:pPr>
        <w:widowControl/>
      </w:pPr>
      <w:r>
        <w:br w:type="page"/>
      </w:r>
    </w:p>
    <w:p w14:paraId="2A4A869A" w14:textId="77777777" w:rsidR="00FB04CE" w:rsidRDefault="00FB04CE" w:rsidP="00FB04CE"/>
    <w:p w14:paraId="081A7C05" w14:textId="77777777" w:rsidR="00FB04CE" w:rsidRDefault="00FB04CE" w:rsidP="00FB04CE">
      <w:r>
        <w:rPr>
          <w:noProof/>
          <w:lang w:eastAsia="en-GB" w:bidi="ar-SA"/>
        </w:rPr>
        <w:drawing>
          <wp:inline distT="0" distB="0" distL="0" distR="0" wp14:anchorId="36605B7B" wp14:editId="29A25F04">
            <wp:extent cx="4622323" cy="5403850"/>
            <wp:effectExtent l="0" t="0" r="6985" b="6350"/>
            <wp:docPr id="34" name="Picture 34" descr="Flow diagram of packing shed activities and inputs for leafy herb production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w diagram of packing shed activities and inputs for leafy herb production fin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7153" cy="5421187"/>
                    </a:xfrm>
                    <a:prstGeom prst="rect">
                      <a:avLst/>
                    </a:prstGeom>
                    <a:noFill/>
                    <a:ln>
                      <a:noFill/>
                    </a:ln>
                  </pic:spPr>
                </pic:pic>
              </a:graphicData>
            </a:graphic>
          </wp:inline>
        </w:drawing>
      </w:r>
    </w:p>
    <w:p w14:paraId="7B147686" w14:textId="77777777" w:rsidR="00FB04CE" w:rsidRDefault="00FB04CE" w:rsidP="00FB04CE"/>
    <w:p w14:paraId="5B13E10C" w14:textId="683DF412" w:rsidR="00FB04CE" w:rsidRDefault="00FB04CE" w:rsidP="00FB04CE">
      <w:r>
        <w:t xml:space="preserve">Figure </w:t>
      </w:r>
      <w:fldSimple w:instr=" SEQ Figure \* ARABIC ">
        <w:r w:rsidR="00A952A2">
          <w:rPr>
            <w:noProof/>
          </w:rPr>
          <w:t>4</w:t>
        </w:r>
      </w:fldSimple>
      <w:r>
        <w:t xml:space="preserve">. </w:t>
      </w:r>
      <w:r w:rsidRPr="002250E3">
        <w:rPr>
          <w:rFonts w:eastAsia="Calibri" w:cs="Arial"/>
          <w:szCs w:val="22"/>
        </w:rPr>
        <w:t>Generalised packing shed activities and inputs for leafy herb production in Australia. Diagram based on information in</w:t>
      </w:r>
      <w:r>
        <w:t xml:space="preserve"> Lopresti and Tomkins </w:t>
      </w:r>
      <w:r w:rsidR="00657FDB">
        <w:t>(1997)</w:t>
      </w:r>
      <w:r w:rsidRPr="002250E3">
        <w:t>.</w:t>
      </w:r>
    </w:p>
    <w:p w14:paraId="24AD78A1" w14:textId="77777777" w:rsidR="00FB04CE" w:rsidRDefault="00FB04CE" w:rsidP="00FB04CE"/>
    <w:p w14:paraId="2DF98837" w14:textId="77777777" w:rsidR="00FB04CE" w:rsidRDefault="00FB04CE" w:rsidP="00FB04CE">
      <w:pPr>
        <w:rPr>
          <w:rFonts w:cs="Arial"/>
          <w:sz w:val="20"/>
        </w:rPr>
      </w:pPr>
      <w:r>
        <w:rPr>
          <w:rFonts w:cs="Arial"/>
          <w:sz w:val="20"/>
        </w:rPr>
        <w:br w:type="page"/>
      </w:r>
    </w:p>
    <w:p w14:paraId="58EB63A5" w14:textId="77777777" w:rsidR="00FB04CE" w:rsidRDefault="00FB04CE" w:rsidP="00FB04CE">
      <w:pPr>
        <w:rPr>
          <w:rFonts w:cs="Arial"/>
          <w:sz w:val="20"/>
        </w:rPr>
      </w:pPr>
    </w:p>
    <w:p w14:paraId="595A9D96" w14:textId="77777777" w:rsidR="00FB04CE" w:rsidRDefault="00FB04CE" w:rsidP="00FB04CE">
      <w:pPr>
        <w:rPr>
          <w:rFonts w:cs="Arial"/>
          <w:sz w:val="20"/>
        </w:rPr>
      </w:pPr>
      <w:r>
        <w:rPr>
          <w:rFonts w:cs="Arial"/>
          <w:noProof/>
          <w:sz w:val="20"/>
          <w:lang w:eastAsia="en-GB" w:bidi="ar-SA"/>
        </w:rPr>
        <w:drawing>
          <wp:inline distT="0" distB="0" distL="0" distR="0" wp14:anchorId="5523F46B" wp14:editId="5F649026">
            <wp:extent cx="4038600" cy="6769817"/>
            <wp:effectExtent l="0" t="0" r="0" b="0"/>
            <wp:docPr id="29" name="Picture 29" descr="Flow diagram of processor activities and inputs for leafy vegetable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ow diagram of processor activities and inputs for leafy vegetable produc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1925" cy="6825679"/>
                    </a:xfrm>
                    <a:prstGeom prst="rect">
                      <a:avLst/>
                    </a:prstGeom>
                    <a:noFill/>
                    <a:ln>
                      <a:noFill/>
                    </a:ln>
                  </pic:spPr>
                </pic:pic>
              </a:graphicData>
            </a:graphic>
          </wp:inline>
        </w:drawing>
      </w:r>
    </w:p>
    <w:p w14:paraId="045C6BDF" w14:textId="77777777" w:rsidR="00FB04CE" w:rsidRDefault="00FB04CE" w:rsidP="00FB04CE"/>
    <w:p w14:paraId="68A2FE76" w14:textId="4C8F648E" w:rsidR="00FB04CE" w:rsidRDefault="00FB04CE" w:rsidP="00FB04CE">
      <w:pPr>
        <w:rPr>
          <w:rFonts w:eastAsia="Calibri" w:cs="Arial"/>
          <w:szCs w:val="22"/>
        </w:rPr>
      </w:pPr>
      <w:r>
        <w:t xml:space="preserve">Figure </w:t>
      </w:r>
      <w:fldSimple w:instr=" SEQ Figure \* ARABIC ">
        <w:r w:rsidR="00A952A2">
          <w:rPr>
            <w:noProof/>
          </w:rPr>
          <w:t>5</w:t>
        </w:r>
      </w:fldSimple>
      <w:r>
        <w:t xml:space="preserve">. </w:t>
      </w:r>
      <w:r w:rsidRPr="00C14D24">
        <w:rPr>
          <w:rFonts w:eastAsia="Calibri" w:cs="Arial"/>
          <w:szCs w:val="22"/>
        </w:rPr>
        <w:t>Generalised processor activities and inputs for leafy vegetable production in Australia. Diagram based on information in</w:t>
      </w:r>
      <w:r>
        <w:rPr>
          <w:rFonts w:eastAsia="Calibri" w:cs="Arial"/>
          <w:szCs w:val="22"/>
        </w:rPr>
        <w:t xml:space="preserve"> Lockrey et al. </w:t>
      </w:r>
      <w:r w:rsidR="00657FDB">
        <w:rPr>
          <w:rFonts w:eastAsia="Calibri" w:cs="Arial"/>
          <w:szCs w:val="22"/>
        </w:rPr>
        <w:t>(2019)</w:t>
      </w:r>
      <w:r w:rsidRPr="00C14D24">
        <w:rPr>
          <w:rFonts w:eastAsia="Calibri" w:cs="Arial"/>
          <w:szCs w:val="22"/>
        </w:rPr>
        <w:t>.</w:t>
      </w:r>
    </w:p>
    <w:p w14:paraId="5008D466" w14:textId="77777777" w:rsidR="00FB04CE" w:rsidRPr="00C14D24" w:rsidRDefault="00FB04CE" w:rsidP="00FB04CE">
      <w:pPr>
        <w:rPr>
          <w:rFonts w:cs="Arial"/>
          <w:szCs w:val="22"/>
        </w:rPr>
      </w:pPr>
    </w:p>
    <w:p w14:paraId="7DC93D98" w14:textId="77777777" w:rsidR="00FB04CE" w:rsidRDefault="00FB04CE" w:rsidP="00FB04CE">
      <w:pPr>
        <w:widowControl/>
        <w:rPr>
          <w:rFonts w:cs="Arial"/>
          <w:b/>
          <w:bCs/>
          <w:i/>
          <w:sz w:val="28"/>
          <w:szCs w:val="22"/>
          <w:lang w:bidi="ar-SA"/>
        </w:rPr>
      </w:pPr>
      <w:bookmarkStart w:id="98" w:name="_Toc58334234"/>
      <w:bookmarkStart w:id="99" w:name="_Toc58334235"/>
      <w:bookmarkStart w:id="100" w:name="_Toc58334239"/>
      <w:bookmarkStart w:id="101" w:name="_Toc58334243"/>
      <w:bookmarkStart w:id="102" w:name="_Toc58334244"/>
      <w:bookmarkStart w:id="103" w:name="_Toc58334248"/>
      <w:bookmarkStart w:id="104" w:name="_Toc58334249"/>
      <w:bookmarkStart w:id="105" w:name="_Toc58334250"/>
      <w:bookmarkStart w:id="106" w:name="_Toc56693416"/>
      <w:bookmarkStart w:id="107" w:name="_Toc58327768"/>
      <w:bookmarkStart w:id="108" w:name="_Toc58333948"/>
      <w:bookmarkStart w:id="109" w:name="_Toc64448756"/>
      <w:bookmarkEnd w:id="98"/>
      <w:bookmarkEnd w:id="99"/>
      <w:bookmarkEnd w:id="100"/>
      <w:bookmarkEnd w:id="101"/>
      <w:bookmarkEnd w:id="102"/>
      <w:bookmarkEnd w:id="103"/>
      <w:bookmarkEnd w:id="104"/>
      <w:bookmarkEnd w:id="105"/>
      <w:r>
        <w:br w:type="page"/>
      </w:r>
    </w:p>
    <w:p w14:paraId="2C4CE9AE" w14:textId="77777777" w:rsidR="00FB04CE" w:rsidRPr="00A93F19" w:rsidRDefault="00FB04CE" w:rsidP="00FB04CE">
      <w:pPr>
        <w:pStyle w:val="Heading2"/>
        <w:numPr>
          <w:ilvl w:val="1"/>
          <w:numId w:val="11"/>
        </w:numPr>
      </w:pPr>
      <w:bookmarkStart w:id="110" w:name="_Toc87860017"/>
      <w:r w:rsidRPr="00A93F19">
        <w:t>Berry primary production and processing</w:t>
      </w:r>
      <w:bookmarkEnd w:id="106"/>
      <w:bookmarkEnd w:id="107"/>
      <w:bookmarkEnd w:id="108"/>
      <w:bookmarkEnd w:id="109"/>
      <w:bookmarkEnd w:id="110"/>
    </w:p>
    <w:p w14:paraId="1DAD7C9F" w14:textId="77777777" w:rsidR="00FB04CE" w:rsidRPr="00680982" w:rsidRDefault="00FB04CE" w:rsidP="00FB04CE">
      <w:pPr>
        <w:rPr>
          <w:rFonts w:cs="Arial"/>
          <w:lang w:bidi="ar-SA"/>
        </w:rPr>
      </w:pPr>
      <w:bookmarkStart w:id="111" w:name="_Toc24993853"/>
      <w:bookmarkStart w:id="112" w:name="_Toc24975282"/>
      <w:r>
        <w:rPr>
          <w:rFonts w:cs="Arial"/>
          <w:lang w:bidi="ar-SA"/>
        </w:rPr>
        <w:t>T</w:t>
      </w:r>
      <w:r w:rsidRPr="00680982">
        <w:rPr>
          <w:rFonts w:cs="Arial"/>
          <w:lang w:bidi="ar-SA"/>
        </w:rPr>
        <w:t xml:space="preserve">he four major berries grown in Australia </w:t>
      </w:r>
      <w:r>
        <w:rPr>
          <w:rFonts w:cs="Arial"/>
          <w:lang w:bidi="ar-SA"/>
        </w:rPr>
        <w:t>are b</w:t>
      </w:r>
      <w:r w:rsidRPr="00680982">
        <w:rPr>
          <w:rFonts w:cs="Arial"/>
          <w:lang w:bidi="ar-SA"/>
        </w:rPr>
        <w:t>lueberries, blackberries, raspberries and strawberries</w:t>
      </w:r>
      <w:r>
        <w:rPr>
          <w:rFonts w:cs="Arial"/>
          <w:lang w:bidi="ar-SA"/>
        </w:rPr>
        <w:t>. Multiple</w:t>
      </w:r>
      <w:r w:rsidRPr="00680982">
        <w:rPr>
          <w:rFonts w:cs="Arial"/>
          <w:lang w:bidi="ar-SA"/>
        </w:rPr>
        <w:t xml:space="preserve"> varieties of each </w:t>
      </w:r>
      <w:r>
        <w:rPr>
          <w:rFonts w:cs="Arial"/>
          <w:lang w:bidi="ar-SA"/>
        </w:rPr>
        <w:t xml:space="preserve">are </w:t>
      </w:r>
      <w:r w:rsidRPr="00680982">
        <w:rPr>
          <w:rFonts w:cs="Arial"/>
          <w:lang w:bidi="ar-SA"/>
        </w:rPr>
        <w:t>produced. Boysenberry, loganberry, silvanberry</w:t>
      </w:r>
      <w:r>
        <w:rPr>
          <w:rFonts w:cs="Arial"/>
          <w:lang w:bidi="ar-SA"/>
        </w:rPr>
        <w:t>,</w:t>
      </w:r>
      <w:r w:rsidRPr="00680982">
        <w:rPr>
          <w:rFonts w:cs="Arial"/>
          <w:lang w:bidi="ar-SA"/>
        </w:rPr>
        <w:t xml:space="preserve"> and youngberry are </w:t>
      </w:r>
      <w:r w:rsidRPr="00DB7D3B">
        <w:rPr>
          <w:rFonts w:cs="Arial"/>
          <w:lang w:bidi="ar-SA"/>
        </w:rPr>
        <w:t>rubus</w:t>
      </w:r>
      <w:r w:rsidRPr="00680982">
        <w:rPr>
          <w:rFonts w:cs="Arial"/>
          <w:lang w:bidi="ar-SA"/>
        </w:rPr>
        <w:t xml:space="preserve"> hybrid cultivars grown in </w:t>
      </w:r>
      <w:r>
        <w:rPr>
          <w:rFonts w:cs="Arial"/>
          <w:lang w:bidi="ar-SA"/>
        </w:rPr>
        <w:t xml:space="preserve">relatively </w:t>
      </w:r>
      <w:r w:rsidRPr="00680982">
        <w:rPr>
          <w:rFonts w:cs="Arial"/>
          <w:lang w:bidi="ar-SA"/>
        </w:rPr>
        <w:t xml:space="preserve">minimal quantities. </w:t>
      </w:r>
    </w:p>
    <w:p w14:paraId="2392B362" w14:textId="77777777" w:rsidR="00FB04CE" w:rsidRPr="00680982" w:rsidRDefault="00FB04CE" w:rsidP="00FB04CE">
      <w:pPr>
        <w:rPr>
          <w:rFonts w:cs="Arial"/>
          <w:lang w:bidi="ar-SA"/>
        </w:rPr>
      </w:pPr>
    </w:p>
    <w:p w14:paraId="4DF8855A" w14:textId="2993DADD" w:rsidR="00FB04CE" w:rsidRPr="00D06ABA" w:rsidRDefault="00FB04CE" w:rsidP="00FB04CE">
      <w:pPr>
        <w:rPr>
          <w:lang w:bidi="ar-SA"/>
        </w:rPr>
      </w:pPr>
      <w:r w:rsidRPr="00680982">
        <w:rPr>
          <w:rFonts w:cs="Arial"/>
          <w:lang w:bidi="ar-SA"/>
        </w:rPr>
        <w:t xml:space="preserve">Berries are grown in </w:t>
      </w:r>
      <w:r>
        <w:rPr>
          <w:rFonts w:cs="Arial"/>
          <w:lang w:bidi="ar-SA"/>
        </w:rPr>
        <w:t>most</w:t>
      </w:r>
      <w:r w:rsidRPr="00680982">
        <w:rPr>
          <w:rFonts w:cs="Arial"/>
          <w:lang w:bidi="ar-SA"/>
        </w:rPr>
        <w:t xml:space="preserve"> Australian states</w:t>
      </w:r>
      <w:r>
        <w:rPr>
          <w:rFonts w:cs="Arial"/>
          <w:lang w:bidi="ar-SA"/>
        </w:rPr>
        <w:t>,</w:t>
      </w:r>
      <w:r w:rsidRPr="00680982">
        <w:rPr>
          <w:rFonts w:cs="Arial"/>
          <w:lang w:bidi="ar-SA"/>
        </w:rPr>
        <w:t xml:space="preserve"> which enables year-round pro</w:t>
      </w:r>
      <w:r>
        <w:rPr>
          <w:rFonts w:cs="Arial"/>
          <w:lang w:bidi="ar-SA"/>
        </w:rPr>
        <w:t xml:space="preserve">duction. </w:t>
      </w:r>
      <w:r w:rsidRPr="00D06ABA">
        <w:rPr>
          <w:lang w:eastAsia="en-AU" w:bidi="ar-SA"/>
        </w:rPr>
        <w:t>In 2017/18 the annual production of berries in Australia was 116,585 tonnes</w:t>
      </w:r>
      <w:r>
        <w:rPr>
          <w:lang w:eastAsia="en-AU" w:bidi="ar-SA"/>
        </w:rPr>
        <w:t xml:space="preserve"> </w:t>
      </w:r>
      <w:r w:rsidR="00657FDB">
        <w:rPr>
          <w:lang w:eastAsia="en-AU" w:bidi="ar-SA"/>
        </w:rPr>
        <w:t>(Hort Innovation 2019b)</w:t>
      </w:r>
      <w:r>
        <w:rPr>
          <w:lang w:eastAsia="en-AU" w:bidi="ar-SA"/>
        </w:rPr>
        <w:t>.</w:t>
      </w:r>
      <w:r w:rsidRPr="0048424C">
        <w:rPr>
          <w:rFonts w:cs="Arial"/>
          <w:lang w:bidi="ar-SA"/>
        </w:rPr>
        <w:t xml:space="preserve"> </w:t>
      </w:r>
      <w:r>
        <w:rPr>
          <w:rFonts w:cs="Arial"/>
          <w:lang w:bidi="ar-SA"/>
        </w:rPr>
        <w:t xml:space="preserve">Strawberry production accounts for 80% of total production. </w:t>
      </w:r>
      <w:r w:rsidRPr="0048424C">
        <w:rPr>
          <w:lang w:bidi="ar-SA"/>
        </w:rPr>
        <w:t>In Australia there is estimated to be 500-600 berries businesses. About half of these are medium sized businesses (20-199 employees), with most other businesses being small (5-19 employees) or micro (up to 4 employees) sized businesses.</w:t>
      </w:r>
    </w:p>
    <w:p w14:paraId="5220A3DD" w14:textId="77777777" w:rsidR="00FB04CE" w:rsidRDefault="00FB04CE" w:rsidP="00FB04CE">
      <w:pPr>
        <w:rPr>
          <w:rFonts w:cs="Arial"/>
          <w:lang w:bidi="ar-SA"/>
        </w:rPr>
      </w:pPr>
    </w:p>
    <w:p w14:paraId="493B2AC7" w14:textId="77777777" w:rsidR="00FB04CE" w:rsidRPr="00F26F56" w:rsidRDefault="00FB04CE" w:rsidP="00FB04CE">
      <w:pPr>
        <w:rPr>
          <w:rFonts w:cs="Arial"/>
          <w:lang w:bidi="ar-SA"/>
        </w:rPr>
      </w:pPr>
      <w:r>
        <w:rPr>
          <w:rFonts w:cs="Arial"/>
          <w:lang w:bidi="ar-SA"/>
        </w:rPr>
        <w:t>The majority of Australian berry production enters the domestic market as fresh ready-to-eat product. Some ‘pick your own’ enterprises allow customers to</w:t>
      </w:r>
      <w:r w:rsidRPr="00680982">
        <w:rPr>
          <w:rFonts w:cs="Arial"/>
          <w:lang w:bidi="ar-SA"/>
        </w:rPr>
        <w:t xml:space="preserve"> harvest their own berries for purchase</w:t>
      </w:r>
      <w:r>
        <w:rPr>
          <w:rFonts w:cs="Arial"/>
          <w:lang w:bidi="ar-SA"/>
        </w:rPr>
        <w:t>. A small proportion of production is exported as fresh or frozen berries</w:t>
      </w:r>
      <w:r>
        <w:rPr>
          <w:rStyle w:val="FootnoteReference"/>
          <w:rFonts w:cs="Arial"/>
          <w:lang w:bidi="ar-SA"/>
        </w:rPr>
        <w:footnoteReference w:id="10"/>
      </w:r>
      <w:r>
        <w:rPr>
          <w:rFonts w:cs="Arial"/>
          <w:lang w:bidi="ar-SA"/>
        </w:rPr>
        <w:t>. There is minimal import of berries.</w:t>
      </w:r>
    </w:p>
    <w:p w14:paraId="7DE4F7CB" w14:textId="77777777" w:rsidR="00FB04CE" w:rsidRDefault="00FB04CE" w:rsidP="00FB04CE"/>
    <w:p w14:paraId="54032F57" w14:textId="77777777" w:rsidR="00FB04CE" w:rsidRDefault="00FB04CE" w:rsidP="00FB04CE">
      <w:r w:rsidRPr="00A93F19">
        <w:t xml:space="preserve">The main activities and inputs involved in berry production and supply are </w:t>
      </w:r>
      <w:r w:rsidRPr="003376A3">
        <w:t>shown in Figure 6.</w:t>
      </w:r>
      <w:r w:rsidRPr="00A93F19">
        <w:t xml:space="preserve"> </w:t>
      </w:r>
      <w:r>
        <w:t>As berries are a soft delicate fruit and are susceptibility to fungal decay, berries destined for the fresh market do not undergo a washing and sanitising step.</w:t>
      </w:r>
    </w:p>
    <w:p w14:paraId="193BFB8B" w14:textId="77777777" w:rsidR="00FB04CE" w:rsidRDefault="00FB04CE" w:rsidP="00FB04CE"/>
    <w:p w14:paraId="2D2DBC4B" w14:textId="77777777" w:rsidR="00FB04CE" w:rsidRPr="00A93F19" w:rsidRDefault="00FB04CE" w:rsidP="00FB04CE">
      <w:r w:rsidRPr="00A93F19">
        <w:t>The overall production of the different berry types is similar but there are a few differences, as described below.</w:t>
      </w:r>
    </w:p>
    <w:p w14:paraId="4E9D56F2" w14:textId="77777777" w:rsidR="00FB04CE" w:rsidRPr="00A93F19" w:rsidRDefault="00FB04CE" w:rsidP="00787E56">
      <w:pPr>
        <w:pStyle w:val="Heading3"/>
        <w:numPr>
          <w:ilvl w:val="2"/>
          <w:numId w:val="11"/>
        </w:numPr>
      </w:pPr>
      <w:bookmarkStart w:id="113" w:name="_Toc27659661"/>
      <w:bookmarkStart w:id="114" w:name="_Toc56693417"/>
      <w:bookmarkStart w:id="115" w:name="_Toc58327769"/>
      <w:bookmarkStart w:id="116" w:name="_Toc58333949"/>
      <w:bookmarkStart w:id="117" w:name="_Toc64448757"/>
      <w:bookmarkStart w:id="118" w:name="_Toc87860018"/>
      <w:bookmarkEnd w:id="111"/>
      <w:bookmarkEnd w:id="112"/>
      <w:r w:rsidRPr="00A93F19">
        <w:t>Strawberries</w:t>
      </w:r>
      <w:bookmarkEnd w:id="113"/>
      <w:bookmarkEnd w:id="114"/>
      <w:bookmarkEnd w:id="115"/>
      <w:bookmarkEnd w:id="116"/>
      <w:bookmarkEnd w:id="117"/>
      <w:bookmarkEnd w:id="118"/>
    </w:p>
    <w:p w14:paraId="051D699E" w14:textId="77777777" w:rsidR="00FB04CE" w:rsidRPr="00A93F19" w:rsidRDefault="00FB04CE" w:rsidP="00FB04CE">
      <w:r w:rsidRPr="00A93F19">
        <w:t>In Australia most strawberries are grown on the ground in open fields. Some strawberries are grown hydroponically, either in t</w:t>
      </w:r>
      <w:r>
        <w:t>he field or in glasshouses.</w:t>
      </w:r>
    </w:p>
    <w:p w14:paraId="546994DC" w14:textId="77777777" w:rsidR="00FB04CE" w:rsidRPr="00A93F19" w:rsidRDefault="00FB04CE" w:rsidP="00FB04CE"/>
    <w:p w14:paraId="71809A2E" w14:textId="77777777" w:rsidR="00FB04CE" w:rsidRPr="00A93F19" w:rsidRDefault="00FB04CE" w:rsidP="00FB04CE">
      <w:r w:rsidRPr="00A93F19">
        <w:t xml:space="preserve">Strawberry plants propagate by producing runners. Strawberry crops are grown from these strawberry runners, predominantly sourced from Victoria and Queensland. Commercial nurseries propagate runners under certification schemes. Field preparation includes ploughing soil into raised beds, which are covered with plastic (polythene) sheeting. Fumigants, herbicide, compost and other soil additives </w:t>
      </w:r>
      <w:r>
        <w:t xml:space="preserve">(e.g. lime to correct soil pH) </w:t>
      </w:r>
      <w:r w:rsidRPr="00A93F19">
        <w:t xml:space="preserve">may be used. Runners are manually or mechanically planted into the beds </w:t>
      </w:r>
      <w:r>
        <w:t xml:space="preserve">and in some cases are </w:t>
      </w:r>
      <w:r w:rsidRPr="00A93F19">
        <w:t>then covered with protective polythe</w:t>
      </w:r>
      <w:r>
        <w:t>ne tunnels (cloches).</w:t>
      </w:r>
    </w:p>
    <w:p w14:paraId="6DA7C3E1" w14:textId="77777777" w:rsidR="00FB04CE" w:rsidRPr="00A93F19" w:rsidRDefault="00FB04CE" w:rsidP="00FB04CE"/>
    <w:p w14:paraId="5812819A" w14:textId="77777777" w:rsidR="00FB04CE" w:rsidRPr="00A93F19" w:rsidRDefault="00FB04CE" w:rsidP="00FB04CE">
      <w:r w:rsidRPr="00A93F19">
        <w:t>Water is generally supplied by trickle or sprinkler irrigation. Strawberries are harvested manually into trays that are taken to on-farm packing sheds. Refrigerated vehicles are used for long distance</w:t>
      </w:r>
      <w:r>
        <w:t xml:space="preserve"> transport to packing/processing sheds.</w:t>
      </w:r>
    </w:p>
    <w:p w14:paraId="5902DC51" w14:textId="77777777" w:rsidR="00FB04CE" w:rsidRPr="00A93F19" w:rsidRDefault="00FB04CE" w:rsidP="00FB04CE"/>
    <w:p w14:paraId="5DCAF46D" w14:textId="77777777" w:rsidR="00FB04CE" w:rsidRPr="00A93F19" w:rsidRDefault="00FB04CE" w:rsidP="00FB04CE">
      <w:r w:rsidRPr="00A93F19">
        <w:t>In the packing shed, harvested strawberries are quickly cooled by forced-air cooling systems. They are hand packed into punnets, stacked into cartons and stored in coolrooms before distribution. Fruit that is second or third grade may be packaged and frozen. Strawberries are sometimes sold directly to consumers from farm packing sheds (farm gate sales).</w:t>
      </w:r>
    </w:p>
    <w:p w14:paraId="4E0FF41B" w14:textId="77777777" w:rsidR="00FB04CE" w:rsidRPr="00A93F19" w:rsidRDefault="00FB04CE" w:rsidP="00FB04CE"/>
    <w:p w14:paraId="551488F9" w14:textId="77777777" w:rsidR="00FB04CE" w:rsidRPr="00A93F19" w:rsidRDefault="00FB04CE" w:rsidP="00FB04CE">
      <w:r w:rsidRPr="00A93F19">
        <w:t>The majority of strawberries are sold domestically. Fresh product is transported under refrigeration to retail distribution centres and wholesalers for supply to food service and direct to consumers. Second and third grade fruit may be sent for further processing.</w:t>
      </w:r>
    </w:p>
    <w:p w14:paraId="0FD79825" w14:textId="77777777" w:rsidR="00FB04CE" w:rsidRPr="00A93F19" w:rsidRDefault="00FB04CE" w:rsidP="00787E56">
      <w:pPr>
        <w:pStyle w:val="Heading3"/>
        <w:numPr>
          <w:ilvl w:val="2"/>
          <w:numId w:val="11"/>
        </w:numPr>
      </w:pPr>
      <w:bookmarkStart w:id="119" w:name="_Toc27659662"/>
      <w:bookmarkStart w:id="120" w:name="_Toc24993854"/>
      <w:bookmarkStart w:id="121" w:name="_Toc24975283"/>
      <w:bookmarkStart w:id="122" w:name="_Toc56693418"/>
      <w:bookmarkStart w:id="123" w:name="_Toc58327770"/>
      <w:bookmarkStart w:id="124" w:name="_Toc58333950"/>
      <w:bookmarkStart w:id="125" w:name="_Toc64448758"/>
      <w:bookmarkStart w:id="126" w:name="_Toc87860019"/>
      <w:r w:rsidRPr="00A93F19">
        <w:t>Blueberries</w:t>
      </w:r>
      <w:bookmarkEnd w:id="119"/>
      <w:bookmarkEnd w:id="120"/>
      <w:bookmarkEnd w:id="121"/>
      <w:bookmarkEnd w:id="122"/>
      <w:bookmarkEnd w:id="123"/>
      <w:bookmarkEnd w:id="124"/>
      <w:bookmarkEnd w:id="125"/>
      <w:bookmarkEnd w:id="126"/>
    </w:p>
    <w:p w14:paraId="5CF47531" w14:textId="77777777" w:rsidR="00FB04CE" w:rsidRPr="00A93F19" w:rsidRDefault="00FB04CE" w:rsidP="00FB04CE">
      <w:r w:rsidRPr="00A93F19">
        <w:t>In Australia, blueberries are traditionally grown in open fields (orchards)</w:t>
      </w:r>
      <w:r>
        <w:t>, however, m</w:t>
      </w:r>
      <w:r w:rsidRPr="00A93F19">
        <w:t>ore recently</w:t>
      </w:r>
      <w:r>
        <w:t xml:space="preserve"> they have also been </w:t>
      </w:r>
      <w:r w:rsidRPr="00A93F19">
        <w:t xml:space="preserve">grown under plastic tunnels. The general flow of activities involved in blueberry production and processing is </w:t>
      </w:r>
      <w:r w:rsidRPr="00C2575F">
        <w:t>included in Figure 6.</w:t>
      </w:r>
    </w:p>
    <w:p w14:paraId="2940CA05" w14:textId="77777777" w:rsidR="00FB04CE" w:rsidRPr="00A93F19" w:rsidRDefault="00FB04CE" w:rsidP="00FB04CE"/>
    <w:p w14:paraId="3592E6E7" w14:textId="77777777" w:rsidR="00FB04CE" w:rsidRPr="00A93F19" w:rsidRDefault="00FB04CE" w:rsidP="00FB04CE">
      <w:r w:rsidRPr="00A93F19">
        <w:t xml:space="preserve">Blueberry plants are propagated from hardwood cuttings of disease-free mother plants and grown in open fields. Plants may be grown </w:t>
      </w:r>
      <w:r w:rsidRPr="00A93F19">
        <w:rPr>
          <w:rFonts w:cs="Arial"/>
          <w:lang w:bidi="ar-SA"/>
        </w:rPr>
        <w:t xml:space="preserve">low to the ground (lowbush varieties) or up to three metres tall (highbush varieties). </w:t>
      </w:r>
      <w:r w:rsidRPr="00A93F19">
        <w:t xml:space="preserve">Field preparation may include the use of fertilisers, compost or other soil additives. </w:t>
      </w:r>
    </w:p>
    <w:p w14:paraId="5FB0F186" w14:textId="77777777" w:rsidR="00FB04CE" w:rsidRPr="00A93F19" w:rsidRDefault="00FB04CE" w:rsidP="00FB04CE"/>
    <w:p w14:paraId="222E9812" w14:textId="77777777" w:rsidR="00FB04CE" w:rsidRPr="00A93F19" w:rsidRDefault="00FB04CE" w:rsidP="00FB04CE">
      <w:r w:rsidRPr="00A93F19">
        <w:t xml:space="preserve">For field grown blueberries, plants are hand-planted into soil with compost or mulch applied. Netting may be used to protect plants from birds and also other wildlife. Water is applied to plants by trickle or micro-jet irrigation. Fertilisers can be applied directly to the base of plants, alongside them or through irrigation systems. </w:t>
      </w:r>
    </w:p>
    <w:p w14:paraId="708C9DB6" w14:textId="77777777" w:rsidR="00FB04CE" w:rsidRPr="00A93F19" w:rsidRDefault="00FB04CE" w:rsidP="00FB04CE"/>
    <w:p w14:paraId="5D8B51A4" w14:textId="77777777" w:rsidR="00FB04CE" w:rsidRPr="00A93F19" w:rsidRDefault="00FB04CE" w:rsidP="00FB04CE">
      <w:r w:rsidRPr="00A93F19">
        <w:t>For blueberries grown under plastic tunnels, plants are hand-planted into substrate. The plastic tunnels protect the crop from birds and other wildlife. Water and nutrients are applied into the substrate.</w:t>
      </w:r>
    </w:p>
    <w:p w14:paraId="44C7EA9A" w14:textId="77777777" w:rsidR="00FB04CE" w:rsidRPr="00A93F19" w:rsidRDefault="00FB04CE" w:rsidP="00FB04CE"/>
    <w:p w14:paraId="447FF09C" w14:textId="77777777" w:rsidR="00FB04CE" w:rsidRPr="00A93F19" w:rsidRDefault="00FB04CE" w:rsidP="00FB04CE">
      <w:r w:rsidRPr="00A93F19">
        <w:t xml:space="preserve">The fruit </w:t>
      </w:r>
      <w:r>
        <w:t>are</w:t>
      </w:r>
      <w:r w:rsidRPr="00A93F19">
        <w:t xml:space="preserve"> harvested </w:t>
      </w:r>
      <w:r>
        <w:t xml:space="preserve">mechanically or </w:t>
      </w:r>
      <w:r w:rsidRPr="00A93F19">
        <w:t>by hand</w:t>
      </w:r>
      <w:r>
        <w:t>,</w:t>
      </w:r>
      <w:r w:rsidRPr="00A93F19">
        <w:t xml:space="preserve"> and transported to on-farm packing sheds. Refrigerated vehicles are used for long distance</w:t>
      </w:r>
      <w:r>
        <w:t xml:space="preserve"> transport to packing sheds</w:t>
      </w:r>
      <w:r w:rsidRPr="00A93F19">
        <w:t>.</w:t>
      </w:r>
      <w:r>
        <w:t xml:space="preserve"> </w:t>
      </w:r>
      <w:r w:rsidRPr="00A93F19">
        <w:t>Following harvest, blueberries are cooled using fo</w:t>
      </w:r>
      <w:r>
        <w:t xml:space="preserve">rced-air coolers. They are hand sorted and hand </w:t>
      </w:r>
      <w:r w:rsidRPr="00A93F19">
        <w:t xml:space="preserve">packed into retail punnets. Few operations have adopted machine packing. Punnets are packed into cardboard cartons and stored in coolrooms for distribution. </w:t>
      </w:r>
    </w:p>
    <w:p w14:paraId="7B3E6244" w14:textId="77777777" w:rsidR="00FB04CE" w:rsidRPr="00A93F19" w:rsidRDefault="00FB04CE" w:rsidP="00FB04CE"/>
    <w:p w14:paraId="234CC37D" w14:textId="77777777" w:rsidR="00FB04CE" w:rsidRPr="00A93F19" w:rsidRDefault="00FB04CE" w:rsidP="00FB04CE">
      <w:r w:rsidRPr="00A93F19">
        <w:t xml:space="preserve">Most blueberries are sold domestically. Fruit is transported under refrigeration to retail distribution centres and wholesalers who supply </w:t>
      </w:r>
      <w:r>
        <w:t xml:space="preserve">to </w:t>
      </w:r>
      <w:r w:rsidRPr="00A93F19">
        <w:t xml:space="preserve">food service outlets and directly to consumers. Blueberries are also exported overseas. Some fruit is also sold on to food manufacturers/processors. </w:t>
      </w:r>
    </w:p>
    <w:p w14:paraId="52F464C1" w14:textId="77777777" w:rsidR="00FB04CE" w:rsidRPr="00A93F19" w:rsidRDefault="00FB04CE" w:rsidP="00787E56">
      <w:pPr>
        <w:pStyle w:val="Heading3"/>
        <w:numPr>
          <w:ilvl w:val="2"/>
          <w:numId w:val="11"/>
        </w:numPr>
      </w:pPr>
      <w:bookmarkStart w:id="127" w:name="_Toc27659663"/>
      <w:bookmarkStart w:id="128" w:name="_Toc24993855"/>
      <w:bookmarkStart w:id="129" w:name="_Toc24975284"/>
      <w:bookmarkStart w:id="130" w:name="_Toc56693419"/>
      <w:bookmarkStart w:id="131" w:name="_Toc58327771"/>
      <w:bookmarkStart w:id="132" w:name="_Toc58333951"/>
      <w:bookmarkStart w:id="133" w:name="_Toc64448759"/>
      <w:bookmarkStart w:id="134" w:name="_Toc87860020"/>
      <w:r w:rsidRPr="00A93F19">
        <w:t>R</w:t>
      </w:r>
      <w:bookmarkEnd w:id="127"/>
      <w:bookmarkEnd w:id="128"/>
      <w:bookmarkEnd w:id="129"/>
      <w:r w:rsidRPr="00A93F19">
        <w:t>aspberries</w:t>
      </w:r>
      <w:bookmarkEnd w:id="130"/>
      <w:bookmarkEnd w:id="131"/>
      <w:bookmarkEnd w:id="132"/>
      <w:bookmarkEnd w:id="133"/>
      <w:bookmarkEnd w:id="134"/>
    </w:p>
    <w:p w14:paraId="04CA31DC" w14:textId="77777777" w:rsidR="00FB04CE" w:rsidRPr="00A93F19" w:rsidRDefault="00FB04CE" w:rsidP="00FB04CE">
      <w:r w:rsidRPr="00A93F19">
        <w:t xml:space="preserve">In Australia, raspberries are either grown in largescale open field plantations or under plastic tunnels. </w:t>
      </w:r>
      <w:r w:rsidRPr="00A93F19">
        <w:rPr>
          <w:rFonts w:cs="Arial"/>
          <w:lang w:bidi="ar-SA"/>
        </w:rPr>
        <w:t xml:space="preserve">Raspberry plants are tall erect shrubs with woody stems (canes) and grow best in colder </w:t>
      </w:r>
      <w:r w:rsidRPr="00C2575F">
        <w:rPr>
          <w:rFonts w:cs="Arial"/>
          <w:lang w:bidi="ar-SA"/>
        </w:rPr>
        <w:t xml:space="preserve">climates. </w:t>
      </w:r>
      <w:r w:rsidRPr="00C2575F">
        <w:t xml:space="preserve">Production activities for </w:t>
      </w:r>
      <w:r w:rsidRPr="00C2575F">
        <w:rPr>
          <w:rFonts w:cs="Arial"/>
          <w:lang w:bidi="ar-SA"/>
        </w:rPr>
        <w:t xml:space="preserve">raspberries </w:t>
      </w:r>
      <w:r w:rsidRPr="00C2575F">
        <w:t>are based primarily on raspberry and blackberry production (Figure 6).</w:t>
      </w:r>
      <w:r w:rsidRPr="00A93F19">
        <w:t xml:space="preserve"> </w:t>
      </w:r>
    </w:p>
    <w:p w14:paraId="5BE76E0E" w14:textId="77777777" w:rsidR="00FB04CE" w:rsidRPr="00A93F19" w:rsidRDefault="00FB04CE" w:rsidP="00FB04CE"/>
    <w:p w14:paraId="58760493" w14:textId="77777777" w:rsidR="00FB04CE" w:rsidRPr="00A93F19" w:rsidRDefault="00FB04CE" w:rsidP="00FB04CE">
      <w:r w:rsidRPr="00A93F19">
        <w:rPr>
          <w:rFonts w:cs="Arial"/>
          <w:lang w:bidi="ar-SA"/>
        </w:rPr>
        <w:t>Raspberry</w:t>
      </w:r>
      <w:r w:rsidRPr="00A93F19">
        <w:t xml:space="preserve"> plants are sourced through the Rubus Multiplication Scheme managed by Raspberries and Blackberries Australia. Growers may also propagate their own</w:t>
      </w:r>
      <w:r>
        <w:t xml:space="preserve"> plants from established stock.</w:t>
      </w:r>
    </w:p>
    <w:p w14:paraId="429A4E0C" w14:textId="77777777" w:rsidR="00FB04CE" w:rsidRPr="00A93F19" w:rsidRDefault="00FB04CE" w:rsidP="00FB04CE"/>
    <w:p w14:paraId="34B1099D" w14:textId="77777777" w:rsidR="00FB04CE" w:rsidRPr="00A93F19" w:rsidRDefault="00FB04CE" w:rsidP="00FB04CE">
      <w:r w:rsidRPr="00A93F19">
        <w:rPr>
          <w:rFonts w:cs="Arial"/>
          <w:lang w:bidi="ar-SA"/>
        </w:rPr>
        <w:t>Raspberry</w:t>
      </w:r>
      <w:r>
        <w:t xml:space="preserve"> plants are hand-</w:t>
      </w:r>
      <w:r w:rsidRPr="00A93F19">
        <w:t xml:space="preserve">planted and are positioned on trellises with wire or twine used to train plants to grow along them. </w:t>
      </w:r>
    </w:p>
    <w:p w14:paraId="06CA8B0E" w14:textId="77777777" w:rsidR="00FB04CE" w:rsidRPr="00A93F19" w:rsidRDefault="00FB04CE" w:rsidP="00FB04CE"/>
    <w:p w14:paraId="23454259" w14:textId="77777777" w:rsidR="00FB04CE" w:rsidRPr="00A93F19" w:rsidRDefault="00FB04CE" w:rsidP="00FB04CE">
      <w:r w:rsidRPr="00A93F19">
        <w:t xml:space="preserve">For field grown </w:t>
      </w:r>
      <w:r w:rsidRPr="00A93F19">
        <w:rPr>
          <w:rFonts w:cs="Arial"/>
          <w:lang w:bidi="ar-SA"/>
        </w:rPr>
        <w:t>raspberries</w:t>
      </w:r>
      <w:r w:rsidRPr="00A93F19">
        <w:t xml:space="preserve">, weed control coverings used include polyethylene sheeting and polythene or natural mulch. Raspberry plants are not usually grown through polythene sheeting. Trickle or micro-jet irrigation systems are used and fertiliser may also be applied. The entire plantation may be covered with netting to protect it from birds and also other wildlife. Shade clothes are often also erected for sun protection. </w:t>
      </w:r>
    </w:p>
    <w:p w14:paraId="330F14E4" w14:textId="77777777" w:rsidR="00FB04CE" w:rsidRPr="00A93F19" w:rsidRDefault="00FB04CE" w:rsidP="00FB04CE"/>
    <w:p w14:paraId="64A15062" w14:textId="77777777" w:rsidR="00FB04CE" w:rsidRPr="00A93F19" w:rsidRDefault="00FB04CE" w:rsidP="00FB04CE">
      <w:r w:rsidRPr="00A93F19">
        <w:t xml:space="preserve">For </w:t>
      </w:r>
      <w:r w:rsidRPr="00A93F19">
        <w:rPr>
          <w:rFonts w:cs="Arial"/>
          <w:lang w:bidi="ar-SA"/>
        </w:rPr>
        <w:t>raspberries</w:t>
      </w:r>
      <w:r w:rsidRPr="00A93F19">
        <w:t xml:space="preserve"> grown under plastic tunnels, plants are hand-planted into substrate. The plastic tunnels protect the crop from birds and other wildlife. Water and nutrients are applied into the substrate.</w:t>
      </w:r>
    </w:p>
    <w:p w14:paraId="1B95AC7A" w14:textId="77777777" w:rsidR="00FB04CE" w:rsidRPr="00A93F19" w:rsidRDefault="00FB04CE" w:rsidP="00FB04CE"/>
    <w:p w14:paraId="580674DF" w14:textId="77777777" w:rsidR="00FB04CE" w:rsidRPr="00A93F19" w:rsidRDefault="00FB04CE" w:rsidP="00FB04CE">
      <w:r w:rsidRPr="00A93F19">
        <w:t xml:space="preserve">Most </w:t>
      </w:r>
      <w:r w:rsidRPr="00A93F19">
        <w:rPr>
          <w:rFonts w:cs="Arial"/>
          <w:lang w:bidi="ar-SA"/>
        </w:rPr>
        <w:t>raspberry</w:t>
      </w:r>
      <w:r w:rsidRPr="00A93F19">
        <w:t xml:space="preserve"> operations hand-pick and field-grade ripe berries, which are packed directly into retail punnets. Large operations may use mechanical harvesters. Produce is </w:t>
      </w:r>
      <w:r>
        <w:t>then</w:t>
      </w:r>
      <w:r w:rsidRPr="00A93F19">
        <w:t xml:space="preserve"> taken to packing sheds</w:t>
      </w:r>
      <w:r>
        <w:t xml:space="preserve"> prior to distribution</w:t>
      </w:r>
      <w:r w:rsidRPr="00A93F19">
        <w:t>. Refrigerated vehicles are used for long distance</w:t>
      </w:r>
      <w:r>
        <w:t xml:space="preserve"> transport to packing sheds.</w:t>
      </w:r>
    </w:p>
    <w:p w14:paraId="0ABE83D4" w14:textId="77777777" w:rsidR="00FB04CE" w:rsidRPr="00A93F19" w:rsidRDefault="00FB04CE" w:rsidP="00FB04CE"/>
    <w:p w14:paraId="49D4164F" w14:textId="77777777" w:rsidR="00FB04CE" w:rsidRPr="00A93F19" w:rsidRDefault="00FB04CE" w:rsidP="00FB04CE">
      <w:pPr>
        <w:rPr>
          <w:lang w:bidi="ar-SA"/>
        </w:rPr>
      </w:pPr>
      <w:r w:rsidRPr="00A93F19">
        <w:t xml:space="preserve">Following harvest, </w:t>
      </w:r>
      <w:r w:rsidRPr="00A93F19">
        <w:rPr>
          <w:rFonts w:cs="Arial"/>
          <w:lang w:bidi="ar-SA"/>
        </w:rPr>
        <w:t>raspberries</w:t>
      </w:r>
      <w:r w:rsidRPr="00A93F19">
        <w:t xml:space="preserve"> are cooled using forced-air coolers. Punnets are packed into cardboard cartons and stored in coolrooms before distribution. Berries may also be frozen before distribution.</w:t>
      </w:r>
    </w:p>
    <w:p w14:paraId="6868BAAD" w14:textId="77777777" w:rsidR="00FB04CE" w:rsidRPr="00A93F19" w:rsidRDefault="00FB04CE" w:rsidP="00FB04CE">
      <w:pPr>
        <w:rPr>
          <w:lang w:bidi="ar-SA"/>
        </w:rPr>
      </w:pPr>
    </w:p>
    <w:p w14:paraId="4C667B83" w14:textId="687DDA19" w:rsidR="00FB04CE" w:rsidRPr="00A93F19" w:rsidRDefault="00FB04CE" w:rsidP="00FB04CE">
      <w:r w:rsidRPr="00A93F19">
        <w:rPr>
          <w:rFonts w:cs="Arial"/>
          <w:lang w:bidi="ar-SA"/>
        </w:rPr>
        <w:t>Raspberries</w:t>
      </w:r>
      <w:r w:rsidRPr="00A93F19">
        <w:t xml:space="preserve"> are distributed in refrigerated vehicles. Hand-picke</w:t>
      </w:r>
      <w:r w:rsidR="00531D32">
        <w:t xml:space="preserve">d berries are distributed to </w:t>
      </w:r>
      <w:r w:rsidRPr="00A93F19">
        <w:t>the fresh market. Most are taken to retail distribution centres, and to wholesalers who supply food service outlets and directly to consumers. Mechanically harvested berries are oft</w:t>
      </w:r>
      <w:r>
        <w:t>en sent for further processing.</w:t>
      </w:r>
    </w:p>
    <w:p w14:paraId="340C9D24" w14:textId="77777777" w:rsidR="00FB04CE" w:rsidRDefault="00FB04CE" w:rsidP="00FB04CE">
      <w:pPr>
        <w:rPr>
          <w:lang w:bidi="ar-SA"/>
        </w:rPr>
      </w:pPr>
    </w:p>
    <w:p w14:paraId="62F5399B" w14:textId="77777777" w:rsidR="00FB04CE" w:rsidRDefault="00FB04CE" w:rsidP="00FB04CE">
      <w:pPr>
        <w:widowControl/>
        <w:rPr>
          <w:lang w:bidi="ar-SA"/>
        </w:rPr>
      </w:pPr>
      <w:r>
        <w:rPr>
          <w:lang w:bidi="ar-SA"/>
        </w:rPr>
        <w:br w:type="page"/>
      </w:r>
    </w:p>
    <w:p w14:paraId="74AFCCBE" w14:textId="77777777" w:rsidR="00FB04CE" w:rsidRDefault="00FB04CE" w:rsidP="00FB04CE">
      <w:pPr>
        <w:rPr>
          <w:lang w:bidi="ar-SA"/>
        </w:rPr>
      </w:pPr>
    </w:p>
    <w:p w14:paraId="174E8246" w14:textId="77777777" w:rsidR="00FB04CE" w:rsidRDefault="00FB04CE" w:rsidP="00FB04CE">
      <w:pPr>
        <w:rPr>
          <w:lang w:bidi="ar-SA"/>
        </w:rPr>
      </w:pPr>
      <w:r w:rsidRPr="00072236">
        <w:rPr>
          <w:noProof/>
          <w:color w:val="4F6228" w:themeColor="accent3" w:themeShade="80"/>
          <w:sz w:val="20"/>
          <w:lang w:eastAsia="en-GB" w:bidi="ar-SA"/>
        </w:rPr>
        <w:drawing>
          <wp:inline distT="0" distB="0" distL="0" distR="0" wp14:anchorId="2FFAF57F" wp14:editId="49A8CDFF">
            <wp:extent cx="4975200" cy="6847200"/>
            <wp:effectExtent l="0" t="0" r="0" b="0"/>
            <wp:docPr id="31" name="Picture 31" descr="Flow diagram of activities and inputs for berry production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w diagram of activities and inputs for berry production fin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5200" cy="6847200"/>
                    </a:xfrm>
                    <a:prstGeom prst="rect">
                      <a:avLst/>
                    </a:prstGeom>
                    <a:noFill/>
                    <a:ln>
                      <a:noFill/>
                    </a:ln>
                  </pic:spPr>
                </pic:pic>
              </a:graphicData>
            </a:graphic>
          </wp:inline>
        </w:drawing>
      </w:r>
    </w:p>
    <w:p w14:paraId="39E8649D" w14:textId="77777777" w:rsidR="00FB04CE" w:rsidRDefault="00FB04CE" w:rsidP="00FB04CE"/>
    <w:p w14:paraId="2368A2D2" w14:textId="70EA2772" w:rsidR="00FB04CE" w:rsidRPr="00B6168A" w:rsidRDefault="00FB04CE" w:rsidP="00FB04CE">
      <w:pPr>
        <w:rPr>
          <w:lang w:bidi="ar-SA"/>
        </w:rPr>
      </w:pPr>
      <w:r>
        <w:t xml:space="preserve">Figure </w:t>
      </w:r>
      <w:fldSimple w:instr=" SEQ Figure \* ARABIC ">
        <w:r w:rsidR="00A952A2">
          <w:rPr>
            <w:noProof/>
          </w:rPr>
          <w:t>6</w:t>
        </w:r>
      </w:fldSimple>
      <w:r>
        <w:t xml:space="preserve">. </w:t>
      </w:r>
      <w:r w:rsidRPr="00B6168A">
        <w:t>Generalised flow of activities and inputs for berry production in Australia. Diagram based on information in</w:t>
      </w:r>
      <w:r>
        <w:t xml:space="preserve"> DPIRD WA </w:t>
      </w:r>
      <w:r w:rsidR="00657FDB">
        <w:t>(2016a, 2016c, 2016d)</w:t>
      </w:r>
    </w:p>
    <w:p w14:paraId="003B0638" w14:textId="77777777" w:rsidR="00FB04CE" w:rsidRDefault="00FB04CE" w:rsidP="00FB04CE">
      <w:pPr>
        <w:rPr>
          <w:lang w:bidi="ar-SA"/>
        </w:rPr>
      </w:pPr>
    </w:p>
    <w:p w14:paraId="736A4119" w14:textId="77777777" w:rsidR="00FB04CE" w:rsidRDefault="00FB04CE" w:rsidP="00FB04CE">
      <w:pPr>
        <w:widowControl/>
        <w:rPr>
          <w:lang w:bidi="ar-SA"/>
        </w:rPr>
      </w:pPr>
      <w:r>
        <w:rPr>
          <w:lang w:bidi="ar-SA"/>
        </w:rPr>
        <w:br w:type="page"/>
      </w:r>
    </w:p>
    <w:p w14:paraId="4E50431C" w14:textId="77777777" w:rsidR="00FB04CE" w:rsidRPr="007A179B" w:rsidRDefault="00FB04CE" w:rsidP="00FB04CE">
      <w:pPr>
        <w:pStyle w:val="Heading2"/>
        <w:numPr>
          <w:ilvl w:val="1"/>
          <w:numId w:val="11"/>
        </w:numPr>
      </w:pPr>
      <w:bookmarkStart w:id="135" w:name="_Toc56693420"/>
      <w:bookmarkStart w:id="136" w:name="_Toc58327772"/>
      <w:bookmarkStart w:id="137" w:name="_Toc58333952"/>
      <w:bookmarkStart w:id="138" w:name="_Toc64448760"/>
      <w:bookmarkStart w:id="139" w:name="_Toc87860021"/>
      <w:r w:rsidRPr="007A179B">
        <w:t>Melon primary production and processing</w:t>
      </w:r>
      <w:bookmarkEnd w:id="135"/>
      <w:bookmarkEnd w:id="136"/>
      <w:bookmarkEnd w:id="137"/>
      <w:bookmarkEnd w:id="138"/>
      <w:bookmarkEnd w:id="139"/>
    </w:p>
    <w:p w14:paraId="782B681A" w14:textId="7B937960" w:rsidR="00FB04CE" w:rsidRPr="0049207F" w:rsidRDefault="00FB04CE" w:rsidP="00FB04CE">
      <w:pPr>
        <w:rPr>
          <w:lang w:bidi="ar-SA"/>
        </w:rPr>
      </w:pPr>
      <w:r w:rsidRPr="0049207F">
        <w:rPr>
          <w:rFonts w:cs="Arial"/>
          <w:lang w:bidi="ar-SA"/>
        </w:rPr>
        <w:t>Australian melon p</w:t>
      </w:r>
      <w:r w:rsidRPr="0049207F">
        <w:t xml:space="preserve">roduction covers a wide range of geographical and climatic conditions, enabling </w:t>
      </w:r>
      <w:r w:rsidRPr="0049207F">
        <w:rPr>
          <w:rFonts w:cs="Arial"/>
          <w:lang w:bidi="ar-SA"/>
        </w:rPr>
        <w:t>year-round supply (Hort Innovation 2019a).</w:t>
      </w:r>
      <w:r>
        <w:rPr>
          <w:rFonts w:cs="Arial"/>
          <w:lang w:bidi="ar-SA"/>
        </w:rPr>
        <w:t xml:space="preserve"> The estimated growing area is 6,000-8,000 hectares </w:t>
      </w:r>
      <w:r w:rsidR="00657FDB">
        <w:rPr>
          <w:rFonts w:cs="Arial"/>
          <w:lang w:bidi="ar-SA"/>
        </w:rPr>
        <w:t>(Hort Innovation 2018)</w:t>
      </w:r>
      <w:r>
        <w:rPr>
          <w:rFonts w:cs="Arial"/>
          <w:lang w:bidi="ar-SA"/>
        </w:rPr>
        <w:t xml:space="preserve">. </w:t>
      </w:r>
      <w:r w:rsidRPr="0049207F">
        <w:rPr>
          <w:rFonts w:cs="Arial"/>
          <w:lang w:bidi="ar-SA"/>
        </w:rPr>
        <w:t xml:space="preserve">In 2017/18 the annual production of melons in Australia was 215,519 tonnes </w:t>
      </w:r>
      <w:r w:rsidR="00657FDB">
        <w:rPr>
          <w:rFonts w:cs="Arial"/>
          <w:lang w:bidi="ar-SA"/>
        </w:rPr>
        <w:t>(Hort Innovation 2019b)</w:t>
      </w:r>
      <w:r w:rsidRPr="0049207F">
        <w:rPr>
          <w:rFonts w:cs="Arial"/>
          <w:lang w:bidi="ar-SA"/>
        </w:rPr>
        <w:t>.</w:t>
      </w:r>
      <w:r>
        <w:rPr>
          <w:rFonts w:cs="Arial"/>
          <w:lang w:bidi="ar-SA"/>
        </w:rPr>
        <w:t xml:space="preserve"> </w:t>
      </w:r>
      <w:r w:rsidRPr="0049207F">
        <w:rPr>
          <w:lang w:bidi="ar-SA"/>
        </w:rPr>
        <w:t>In Australia there is estimated to be 250-300 melon businesses. The majority of these are small sized (5-19 employees) and about a third are medium sized (20-199 employees) businesses.</w:t>
      </w:r>
    </w:p>
    <w:p w14:paraId="3445B2F8" w14:textId="77777777" w:rsidR="00FB04CE" w:rsidRDefault="00FB04CE" w:rsidP="00FB04CE">
      <w:pPr>
        <w:rPr>
          <w:rFonts w:cs="Arial"/>
          <w:lang w:bidi="ar-SA"/>
        </w:rPr>
      </w:pPr>
    </w:p>
    <w:p w14:paraId="70EFA1F1" w14:textId="77777777" w:rsidR="00FB04CE" w:rsidRDefault="00FB04CE" w:rsidP="00FB04CE">
      <w:pPr>
        <w:rPr>
          <w:rFonts w:cs="Arial"/>
          <w:lang w:bidi="ar-SA"/>
        </w:rPr>
      </w:pPr>
      <w:r>
        <w:rPr>
          <w:rFonts w:cs="Arial"/>
          <w:lang w:bidi="ar-SA"/>
        </w:rPr>
        <w:t>Watermelon is the most common melon grown in Australia, accounting for nearly 80% of production. Most</w:t>
      </w:r>
      <w:r w:rsidRPr="00680982">
        <w:rPr>
          <w:rFonts w:cs="Arial"/>
          <w:lang w:bidi="ar-SA"/>
        </w:rPr>
        <w:t xml:space="preserve"> melons produced in Australia are sold on the domestic market as either fresh</w:t>
      </w:r>
      <w:r>
        <w:rPr>
          <w:rFonts w:cs="Arial"/>
          <w:lang w:bidi="ar-SA"/>
        </w:rPr>
        <w:t xml:space="preserve"> whole</w:t>
      </w:r>
      <w:r w:rsidRPr="00680982">
        <w:rPr>
          <w:rFonts w:cs="Arial"/>
          <w:lang w:bidi="ar-SA"/>
        </w:rPr>
        <w:t xml:space="preserve"> or </w:t>
      </w:r>
      <w:r>
        <w:rPr>
          <w:rFonts w:cs="Arial"/>
          <w:lang w:bidi="ar-SA"/>
        </w:rPr>
        <w:t xml:space="preserve">fresh </w:t>
      </w:r>
      <w:r w:rsidRPr="00680982">
        <w:rPr>
          <w:rFonts w:cs="Arial"/>
          <w:lang w:bidi="ar-SA"/>
        </w:rPr>
        <w:t>cut</w:t>
      </w:r>
      <w:r>
        <w:rPr>
          <w:rFonts w:cs="Arial"/>
          <w:lang w:bidi="ar-SA"/>
        </w:rPr>
        <w:t xml:space="preserve"> fruit</w:t>
      </w:r>
      <w:r w:rsidRPr="00680982">
        <w:rPr>
          <w:rFonts w:cs="Arial"/>
          <w:lang w:bidi="ar-SA"/>
        </w:rPr>
        <w:t>.</w:t>
      </w:r>
      <w:r>
        <w:rPr>
          <w:rFonts w:cs="Arial"/>
          <w:lang w:bidi="ar-SA"/>
        </w:rPr>
        <w:t xml:space="preserve"> Some whole fruit is also exported</w:t>
      </w:r>
      <w:r>
        <w:rPr>
          <w:rStyle w:val="FootnoteReference"/>
          <w:rFonts w:cs="Arial"/>
          <w:lang w:bidi="ar-SA"/>
        </w:rPr>
        <w:footnoteReference w:id="11"/>
      </w:r>
      <w:r>
        <w:rPr>
          <w:rFonts w:cs="Arial"/>
          <w:lang w:bidi="ar-SA"/>
        </w:rPr>
        <w:t xml:space="preserve"> but only minimal amounts are imported</w:t>
      </w:r>
      <w:r w:rsidRPr="00F40C9B">
        <w:rPr>
          <w:rFonts w:cs="Arial"/>
          <w:lang w:bidi="ar-SA"/>
        </w:rPr>
        <w:t>.</w:t>
      </w:r>
      <w:r>
        <w:rPr>
          <w:rFonts w:cs="Arial"/>
          <w:lang w:bidi="ar-SA"/>
        </w:rPr>
        <w:t xml:space="preserve"> </w:t>
      </w:r>
    </w:p>
    <w:p w14:paraId="34249030" w14:textId="77777777" w:rsidR="00FB04CE" w:rsidRPr="007A179B" w:rsidRDefault="00FB04CE" w:rsidP="00FB04CE">
      <w:pPr>
        <w:rPr>
          <w:b/>
          <w:lang w:bidi="ar-SA"/>
        </w:rPr>
      </w:pPr>
    </w:p>
    <w:p w14:paraId="79BC622B" w14:textId="77777777" w:rsidR="00FB04CE" w:rsidRPr="007A179B" w:rsidRDefault="00FB04CE" w:rsidP="00FB04CE">
      <w:pPr>
        <w:rPr>
          <w:lang w:bidi="ar-SA"/>
        </w:rPr>
      </w:pPr>
      <w:r w:rsidRPr="007A179B">
        <w:t xml:space="preserve">Melons are a ground vine, broad-acre crop that requires large areas of land </w:t>
      </w:r>
      <w:r>
        <w:t>for</w:t>
      </w:r>
      <w:r w:rsidRPr="007A179B">
        <w:t xml:space="preserve"> produc</w:t>
      </w:r>
      <w:r>
        <w:t>tion</w:t>
      </w:r>
      <w:r w:rsidRPr="007A179B">
        <w:t xml:space="preserve">. All melon species in Australia are grown under field production systems involving similar </w:t>
      </w:r>
      <w:r w:rsidRPr="00C2575F">
        <w:t>practices. Figure 7</w:t>
      </w:r>
      <w:r w:rsidRPr="00C2575F">
        <w:rPr>
          <w:lang w:bidi="ar-SA"/>
        </w:rPr>
        <w:t xml:space="preserve"> outlines</w:t>
      </w:r>
      <w:r w:rsidRPr="007A179B">
        <w:t xml:space="preserve"> on-farm and </w:t>
      </w:r>
      <w:r w:rsidRPr="007A179B">
        <w:rPr>
          <w:lang w:bidi="ar-SA"/>
        </w:rPr>
        <w:t xml:space="preserve">packing shed </w:t>
      </w:r>
      <w:r w:rsidRPr="007A179B">
        <w:t>activities and inputs for melons</w:t>
      </w:r>
      <w:r w:rsidRPr="007A179B">
        <w:rPr>
          <w:lang w:bidi="ar-SA"/>
        </w:rPr>
        <w:t>. Key steps in the supply chain are described below.</w:t>
      </w:r>
    </w:p>
    <w:p w14:paraId="4B0EF891" w14:textId="77777777" w:rsidR="00FB04CE" w:rsidRPr="007A179B" w:rsidRDefault="00FB04CE" w:rsidP="00FB04CE">
      <w:pPr>
        <w:rPr>
          <w:rFonts w:cs="Arial"/>
        </w:rPr>
      </w:pPr>
    </w:p>
    <w:p w14:paraId="1862B0B7" w14:textId="77777777" w:rsidR="00FB04CE" w:rsidRPr="007A179B" w:rsidRDefault="00FB04CE" w:rsidP="00FB04CE">
      <w:r w:rsidRPr="007A179B">
        <w:rPr>
          <w:rFonts w:cs="Arial"/>
        </w:rPr>
        <w:t xml:space="preserve">Melon seeds or seedlings are sourced from seed suppliers or commercial nurseries. Before planting, field preparation may include use of fumigants, herbicides, fertilisers or soil additives. Planting of seeds or seedlings can be done manually or mechanically, either directly into soil or through polythene mulch. </w:t>
      </w:r>
      <w:r w:rsidRPr="007A179B">
        <w:t xml:space="preserve">Plants are watered through trickle, furrow or overhead irrigation. Fertilisers are applied through side dressings or irrigation. Vines are trained during growth onto beds so that developing fruit remains on mulch. The fruit may be placed on plastic cups or pads, or hand-turned by workers, to prevent development of ground spot blemishes. </w:t>
      </w:r>
    </w:p>
    <w:p w14:paraId="1D220E63" w14:textId="77777777" w:rsidR="00FB04CE" w:rsidRPr="007A179B" w:rsidRDefault="00FB04CE" w:rsidP="00FB04CE"/>
    <w:p w14:paraId="3E8E9E64" w14:textId="77777777" w:rsidR="00FB04CE" w:rsidRPr="007A179B" w:rsidRDefault="00FB04CE" w:rsidP="00FB04CE">
      <w:r w:rsidRPr="007A179B">
        <w:t>Melons are manually harvested by cutting or twisting fruit off the vine. Picked melons are placed into harvest bins directly or by conveyor belts, then transported to packing sheds. Refrigerated vehicles are used for long distance</w:t>
      </w:r>
      <w:r>
        <w:t xml:space="preserve"> transport to processing/packing sheds.</w:t>
      </w:r>
    </w:p>
    <w:p w14:paraId="005F458A" w14:textId="77777777" w:rsidR="00FB04CE" w:rsidRPr="007A179B" w:rsidRDefault="00FB04CE" w:rsidP="00FB04CE"/>
    <w:p w14:paraId="61FB5F20" w14:textId="77777777" w:rsidR="00FB04CE" w:rsidRPr="007A179B" w:rsidRDefault="00FB04CE" w:rsidP="00FB04CE">
      <w:r w:rsidRPr="007A179B">
        <w:t xml:space="preserve">On arrival at the packing shed, melons may be cooled before further processing. Muskmelons are then either ‘dry dumped’ or ‘wet dumped’. Dry dumping involves placing fruit on conveyer belts that move through a water spray to remove soil, followed by sanitiser spray to reduce the level of surface microorganisms. Wet dumping involves immersing melons in large tanks filled with water containing sanitiser, then moving fruit along belts to be washed, scrubbed and further sanitised. They are then sprayed with or dipped in fungicide to prevent fruit rot. Following these treatments, the fruit is air-dried sometimes with the assistance of fans. </w:t>
      </w:r>
    </w:p>
    <w:p w14:paraId="037D3DF9" w14:textId="77777777" w:rsidR="00FB04CE" w:rsidRPr="007A179B" w:rsidRDefault="00FB04CE" w:rsidP="00FB04CE"/>
    <w:p w14:paraId="76BF382B" w14:textId="77777777" w:rsidR="00FB04CE" w:rsidRPr="007A179B" w:rsidRDefault="00FB04CE" w:rsidP="00FB04CE">
      <w:r w:rsidRPr="007A179B">
        <w:t>Melons are then sorted to remove undesirable fruit (e.g. overripe, misshapen) and to separate by colour and maturity. They are graded by size, packed into cartons or trays, palletised and stored in coolrooms. Some melons, particularly honeydew melons, may be ripened using ethylene gas before placing in cold storage. Watermelons generally do not receive any treatment and are often packed in field.</w:t>
      </w:r>
    </w:p>
    <w:p w14:paraId="20DACB19" w14:textId="77777777" w:rsidR="00FB04CE" w:rsidRPr="007A179B" w:rsidRDefault="00FB04CE" w:rsidP="00FB04CE"/>
    <w:p w14:paraId="04AE5321" w14:textId="77777777" w:rsidR="00FB04CE" w:rsidRDefault="00FB04CE" w:rsidP="00FB04CE">
      <w:r w:rsidRPr="007A179B">
        <w:t>The distribution of melons can be complex, involving multiple businesses and business types. Melons are transported refrigerated to wholesale markets, distribution centres, processors, ret</w:t>
      </w:r>
      <w:r>
        <w:t>ailers or to the export market.</w:t>
      </w:r>
      <w:r>
        <w:br w:type="page"/>
      </w:r>
    </w:p>
    <w:p w14:paraId="2EB7D2AF" w14:textId="77777777" w:rsidR="00FB04CE" w:rsidRDefault="00FB04CE" w:rsidP="00FB04CE">
      <w:pPr>
        <w:keepNext/>
      </w:pPr>
      <w:r>
        <w:rPr>
          <w:noProof/>
          <w:sz w:val="20"/>
          <w:lang w:eastAsia="en-GB" w:bidi="ar-SA"/>
        </w:rPr>
        <w:drawing>
          <wp:inline distT="0" distB="0" distL="0" distR="0" wp14:anchorId="6BF386B3" wp14:editId="788383C6">
            <wp:extent cx="4701600" cy="8269200"/>
            <wp:effectExtent l="0" t="0" r="3810" b="0"/>
            <wp:docPr id="32" name="Picture 32" descr="Flow diagram of activities and inputs for melon production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w diagram of activities and inputs for melon production fin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1600" cy="8269200"/>
                    </a:xfrm>
                    <a:prstGeom prst="rect">
                      <a:avLst/>
                    </a:prstGeom>
                    <a:noFill/>
                    <a:ln>
                      <a:noFill/>
                    </a:ln>
                  </pic:spPr>
                </pic:pic>
              </a:graphicData>
            </a:graphic>
          </wp:inline>
        </w:drawing>
      </w:r>
    </w:p>
    <w:p w14:paraId="6D572D8E" w14:textId="77777777" w:rsidR="00E37503" w:rsidRDefault="00E37503" w:rsidP="00E37503">
      <w:pPr>
        <w:pStyle w:val="Caption"/>
        <w:spacing w:after="0"/>
      </w:pPr>
    </w:p>
    <w:p w14:paraId="5D1A582B" w14:textId="264A51D3" w:rsidR="00FB04CE" w:rsidRDefault="00FB04CE" w:rsidP="00FB04CE">
      <w:pPr>
        <w:pStyle w:val="Caption"/>
        <w:rPr>
          <w:lang w:bidi="ar-SA"/>
        </w:rPr>
      </w:pPr>
      <w:r>
        <w:t xml:space="preserve">Figure </w:t>
      </w:r>
      <w:fldSimple w:instr=" SEQ Figure \* ARABIC ">
        <w:r w:rsidR="00A952A2">
          <w:rPr>
            <w:noProof/>
          </w:rPr>
          <w:t>7</w:t>
        </w:r>
      </w:fldSimple>
      <w:r>
        <w:t xml:space="preserve">. </w:t>
      </w:r>
      <w:r w:rsidRPr="002D2097">
        <w:rPr>
          <w:lang w:bidi="ar-SA"/>
        </w:rPr>
        <w:t>Generalised flow of activities and inputs for melon production in Australia. Diagram based on information in</w:t>
      </w:r>
      <w:r>
        <w:rPr>
          <w:lang w:bidi="ar-SA"/>
        </w:rPr>
        <w:t xml:space="preserve"> NSW DPI </w:t>
      </w:r>
      <w:r w:rsidR="00657FDB">
        <w:rPr>
          <w:lang w:bidi="ar-SA"/>
        </w:rPr>
        <w:t>(2019)</w:t>
      </w:r>
      <w:r>
        <w:rPr>
          <w:lang w:bidi="ar-SA"/>
        </w:rPr>
        <w:t xml:space="preserve"> and Wright et al. </w:t>
      </w:r>
      <w:r w:rsidR="00657FDB">
        <w:rPr>
          <w:lang w:bidi="ar-SA"/>
        </w:rPr>
        <w:t>(1997)</w:t>
      </w:r>
    </w:p>
    <w:p w14:paraId="32E25CA8" w14:textId="77777777" w:rsidR="00625761" w:rsidRPr="00EC5D6A" w:rsidRDefault="00625761" w:rsidP="00625761">
      <w:pPr>
        <w:pStyle w:val="Heading1"/>
        <w:numPr>
          <w:ilvl w:val="0"/>
          <w:numId w:val="11"/>
        </w:numPr>
        <w:ind w:right="454"/>
        <w:rPr>
          <w:color w:val="000000" w:themeColor="text1"/>
        </w:rPr>
      </w:pPr>
      <w:bookmarkStart w:id="140" w:name="_Toc45275331"/>
      <w:bookmarkStart w:id="141" w:name="_Toc56693421"/>
      <w:bookmarkStart w:id="142" w:name="_Toc58327773"/>
      <w:bookmarkStart w:id="143" w:name="_Toc58333953"/>
      <w:bookmarkStart w:id="144" w:name="_Toc64448761"/>
      <w:bookmarkStart w:id="145" w:name="_Toc87860022"/>
      <w:bookmarkStart w:id="146" w:name="_Toc45275333"/>
      <w:r w:rsidRPr="00EC5D6A">
        <w:rPr>
          <w:color w:val="000000" w:themeColor="text1"/>
        </w:rPr>
        <w:t>Commodity consumption patterns</w:t>
      </w:r>
      <w:bookmarkEnd w:id="140"/>
      <w:bookmarkEnd w:id="141"/>
      <w:bookmarkEnd w:id="142"/>
      <w:bookmarkEnd w:id="143"/>
      <w:bookmarkEnd w:id="144"/>
      <w:bookmarkEnd w:id="145"/>
    </w:p>
    <w:p w14:paraId="31096562" w14:textId="77777777" w:rsidR="00625761" w:rsidRDefault="00625761" w:rsidP="00625761">
      <w:r w:rsidRPr="006531A7">
        <w:t>The proportion of the p</w:t>
      </w:r>
      <w:r>
        <w:t>opulation that consume a particular food</w:t>
      </w:r>
      <w:r w:rsidRPr="006531A7">
        <w:t xml:space="preserve">, the amount consumed, and the frequency of consumption are important considerations for exposure assessments in </w:t>
      </w:r>
      <w:r>
        <w:t xml:space="preserve">microbiological </w:t>
      </w:r>
      <w:r w:rsidRPr="006531A7">
        <w:t>risk assessments. The data from the 2011-12 Australian National Nutrition and Physical Activity Survey (NNPAS)</w:t>
      </w:r>
      <w:r w:rsidRPr="006531A7">
        <w:rPr>
          <w:rStyle w:val="FootnoteReference"/>
        </w:rPr>
        <w:footnoteReference w:id="12"/>
      </w:r>
      <w:r w:rsidRPr="006531A7">
        <w:t>, have been summarised to provide an indication of the consuming p</w:t>
      </w:r>
      <w:r>
        <w:t>opulations and amount of the in-</w:t>
      </w:r>
      <w:r w:rsidRPr="006531A7">
        <w:t>scope commodities consumed</w:t>
      </w:r>
      <w:r>
        <w:t>. H</w:t>
      </w:r>
      <w:r w:rsidRPr="006531A7">
        <w:t xml:space="preserve">owever, a full exposure assessment </w:t>
      </w:r>
      <w:r>
        <w:t xml:space="preserve">for the large variety of primary production pathways, pathogens, and commodity combinations considered </w:t>
      </w:r>
      <w:r w:rsidRPr="006531A7">
        <w:t>was beyon</w:t>
      </w:r>
      <w:r>
        <w:t>d the scope of this assessment.</w:t>
      </w:r>
    </w:p>
    <w:p w14:paraId="50833DF6" w14:textId="77777777" w:rsidR="00625761" w:rsidRDefault="00625761" w:rsidP="00625761"/>
    <w:p w14:paraId="55ECECA5" w14:textId="536A742D" w:rsidR="00625761" w:rsidRDefault="00625761" w:rsidP="00625761">
      <w:pPr>
        <w:rPr>
          <w:rFonts w:cs="Arial"/>
        </w:rPr>
      </w:pPr>
      <w:r w:rsidRPr="006531A7">
        <w:t>The data</w:t>
      </w:r>
      <w:r>
        <w:t xml:space="preserve"> summarised</w:t>
      </w:r>
      <w:r w:rsidRPr="006531A7">
        <w:t xml:space="preserve"> represent the recall of a single day of consumption and, therefore, would not capture consumers who ate the commodities on a different day during the week or infrequently throughout the year.</w:t>
      </w:r>
      <w:r>
        <w:t xml:space="preserve"> </w:t>
      </w:r>
      <w:r w:rsidRPr="006531A7">
        <w:t xml:space="preserve">The number of respondents in each age group were </w:t>
      </w:r>
      <w:r w:rsidRPr="006531A7">
        <w:rPr>
          <w:rFonts w:cs="Arial"/>
        </w:rPr>
        <w:t>2</w:t>
      </w:r>
      <w:r>
        <w:rPr>
          <w:rFonts w:cs="Arial"/>
        </w:rPr>
        <w:t>,</w:t>
      </w:r>
      <w:r w:rsidR="00207885">
        <w:rPr>
          <w:rFonts w:cs="Arial"/>
        </w:rPr>
        <w:t>412 </w:t>
      </w:r>
      <w:r w:rsidRPr="006531A7">
        <w:rPr>
          <w:rFonts w:cs="Arial"/>
        </w:rPr>
        <w:t>(</w:t>
      </w:r>
      <w:r>
        <w:t>2-</w:t>
      </w:r>
      <w:r w:rsidRPr="006531A7">
        <w:t xml:space="preserve">16 years), </w:t>
      </w:r>
      <w:r w:rsidRPr="006531A7">
        <w:rPr>
          <w:rFonts w:cs="Arial"/>
        </w:rPr>
        <w:t>8</w:t>
      </w:r>
      <w:r>
        <w:rPr>
          <w:rFonts w:cs="Arial"/>
        </w:rPr>
        <w:t>,635 (16-</w:t>
      </w:r>
      <w:r w:rsidRPr="006531A7">
        <w:rPr>
          <w:rFonts w:cs="Arial"/>
        </w:rPr>
        <w:t>69 years), and 1</w:t>
      </w:r>
      <w:r>
        <w:rPr>
          <w:rFonts w:cs="Arial"/>
        </w:rPr>
        <w:t>,107 (7</w:t>
      </w:r>
      <w:r w:rsidRPr="006531A7">
        <w:rPr>
          <w:rFonts w:cs="Arial"/>
        </w:rPr>
        <w:t xml:space="preserve">0+ years). Results are </w:t>
      </w:r>
      <w:r>
        <w:rPr>
          <w:rFonts w:cs="Arial"/>
        </w:rPr>
        <w:t>provided</w:t>
      </w:r>
      <w:r w:rsidRPr="006531A7">
        <w:rPr>
          <w:rFonts w:cs="Arial"/>
        </w:rPr>
        <w:t xml:space="preserve"> as the percentage of respondents reporting to consume the commodity, and the mean grams per day reported by respondents </w:t>
      </w:r>
      <w:r>
        <w:rPr>
          <w:rFonts w:cs="Arial"/>
        </w:rPr>
        <w:t>who</w:t>
      </w:r>
      <w:r w:rsidRPr="006531A7">
        <w:rPr>
          <w:rFonts w:cs="Arial"/>
        </w:rPr>
        <w:t xml:space="preserve"> consume</w:t>
      </w:r>
      <w:r>
        <w:rPr>
          <w:rFonts w:cs="Arial"/>
        </w:rPr>
        <w:t>d</w:t>
      </w:r>
      <w:r w:rsidRPr="006531A7">
        <w:rPr>
          <w:rFonts w:cs="Arial"/>
        </w:rPr>
        <w:t xml:space="preserve"> the commodity. </w:t>
      </w:r>
    </w:p>
    <w:p w14:paraId="7D3F4D74" w14:textId="77777777" w:rsidR="00625761" w:rsidRDefault="00625761" w:rsidP="00625761">
      <w:pPr>
        <w:rPr>
          <w:rFonts w:cs="Arial"/>
        </w:rPr>
      </w:pPr>
    </w:p>
    <w:p w14:paraId="008B6157" w14:textId="77777777" w:rsidR="00625761" w:rsidRPr="001F7FFB" w:rsidRDefault="00625761" w:rsidP="00625761">
      <w:r>
        <w:t xml:space="preserve">The </w:t>
      </w:r>
      <w:r w:rsidRPr="00C2575F">
        <w:t>consumption data for the commodity sectors and individual commodities is detailed in Appendix 4. However, due to the low number of respondents for some individual commodities, it is</w:t>
      </w:r>
      <w:r>
        <w:t xml:space="preserve"> not appropriate to use the data to make assumptions of differences in risk between the </w:t>
      </w:r>
      <w:r w:rsidRPr="001F7FFB">
        <w:t>individual commodities.</w:t>
      </w:r>
    </w:p>
    <w:p w14:paraId="7E22065E" w14:textId="77777777" w:rsidR="00625761" w:rsidRPr="001F7FFB" w:rsidRDefault="00625761" w:rsidP="00625761"/>
    <w:p w14:paraId="7A5B3417" w14:textId="77777777" w:rsidR="00625761" w:rsidRPr="001F7FFB" w:rsidRDefault="00625761" w:rsidP="00625761">
      <w:r w:rsidRPr="001F7FFB">
        <w:t xml:space="preserve">The survey results </w:t>
      </w:r>
      <w:r>
        <w:t xml:space="preserve">indicate that </w:t>
      </w:r>
      <w:r w:rsidRPr="00321A57">
        <w:t xml:space="preserve">leafy vegetables </w:t>
      </w:r>
      <w:r>
        <w:t xml:space="preserve">as a sector </w:t>
      </w:r>
      <w:r w:rsidRPr="00321A57">
        <w:t xml:space="preserve">were eaten by </w:t>
      </w:r>
      <w:r>
        <w:t>a larger proportion of respondents as</w:t>
      </w:r>
      <w:r w:rsidRPr="00321A57">
        <w:t xml:space="preserve"> mixed dishes</w:t>
      </w:r>
      <w:r>
        <w:rPr>
          <w:rStyle w:val="FootnoteReference"/>
        </w:rPr>
        <w:footnoteReference w:id="13"/>
      </w:r>
      <w:r w:rsidRPr="00321A57">
        <w:t xml:space="preserve"> </w:t>
      </w:r>
      <w:r>
        <w:t>(</w:t>
      </w:r>
      <w:r w:rsidRPr="00321A57">
        <w:t>that may</w:t>
      </w:r>
      <w:r>
        <w:t xml:space="preserve"> or may not </w:t>
      </w:r>
      <w:r w:rsidRPr="00321A57">
        <w:t>have been cooked reducing the likelihood for pathogens to be present at consumption</w:t>
      </w:r>
      <w:r>
        <w:t>),</w:t>
      </w:r>
      <w:r w:rsidRPr="00321A57">
        <w:t xml:space="preserve"> and a lower proportion ate leafy vegetables as </w:t>
      </w:r>
      <w:r>
        <w:t xml:space="preserve">is, </w:t>
      </w:r>
      <w:r w:rsidRPr="00321A57">
        <w:t xml:space="preserve">with </w:t>
      </w:r>
      <w:r>
        <w:t xml:space="preserve">little or </w:t>
      </w:r>
      <w:r w:rsidRPr="00321A57">
        <w:t>no further processing</w:t>
      </w:r>
      <w:r>
        <w:t>. The average amount consumed was</w:t>
      </w:r>
      <w:r w:rsidRPr="00321A57">
        <w:t xml:space="preserve"> </w:t>
      </w:r>
      <w:r w:rsidRPr="001F7FFB">
        <w:t>generally less than 30g/day.</w:t>
      </w:r>
    </w:p>
    <w:p w14:paraId="17EA49F9" w14:textId="77777777" w:rsidR="00625761" w:rsidRPr="001F7FFB" w:rsidRDefault="00625761" w:rsidP="00625761"/>
    <w:p w14:paraId="1224936D" w14:textId="388FCD1A" w:rsidR="00625761" w:rsidRPr="00654DC0" w:rsidRDefault="00625761" w:rsidP="00625761">
      <w:r w:rsidRPr="001F7FFB">
        <w:t xml:space="preserve">Berries were </w:t>
      </w:r>
      <w:r w:rsidRPr="00654DC0">
        <w:t>consumed by a large</w:t>
      </w:r>
      <w:r w:rsidR="002451DF">
        <w:t>r</w:t>
      </w:r>
      <w:r w:rsidRPr="00654DC0">
        <w:t xml:space="preserve"> proportion of people at lower amounts (approximately </w:t>
      </w:r>
      <w:r w:rsidR="004371CF">
        <w:t>5</w:t>
      </w:r>
      <w:r w:rsidRPr="00654DC0">
        <w:t>g/day) as part of a mixed dish that may or may not be cooked, and a lower proportion ate berries as a fresh piece of fruit, generally consuming 72g/day. Very few respondents reported consuming berries as fruit juice.</w:t>
      </w:r>
    </w:p>
    <w:p w14:paraId="20387865" w14:textId="77777777" w:rsidR="00625761" w:rsidRDefault="00625761" w:rsidP="00625761"/>
    <w:p w14:paraId="316F6C38" w14:textId="77777777" w:rsidR="00625761" w:rsidRDefault="00625761" w:rsidP="00625761">
      <w:r>
        <w:t>M</w:t>
      </w:r>
      <w:r w:rsidRPr="00654DC0">
        <w:t xml:space="preserve">elons were eaten by a similar proportion of people as mixed dishes </w:t>
      </w:r>
      <w:r>
        <w:t>or as a fresh piece of fruit. W</w:t>
      </w:r>
      <w:r w:rsidRPr="00654DC0">
        <w:t>hen eaten as is</w:t>
      </w:r>
      <w:r>
        <w:t>,</w:t>
      </w:r>
      <w:r w:rsidRPr="00654DC0">
        <w:t xml:space="preserve"> approximately 200g/day was consumed by respondents in all age groups.</w:t>
      </w:r>
    </w:p>
    <w:p w14:paraId="1A977CA8" w14:textId="77777777" w:rsidR="00625761" w:rsidRDefault="00625761" w:rsidP="00625761"/>
    <w:p w14:paraId="571CD52B" w14:textId="4FC9E360" w:rsidR="00625761" w:rsidRDefault="002451DF" w:rsidP="00625761">
      <w:r>
        <w:rPr>
          <w:rFonts w:cs="Arial"/>
        </w:rPr>
        <w:t>It should be noted that these data only represent a small proportion of the Australian population and it is likely that consumer habits may have changed significantly in the past decade.</w:t>
      </w:r>
    </w:p>
    <w:p w14:paraId="082AAD37" w14:textId="77777777" w:rsidR="00625761" w:rsidRDefault="00625761" w:rsidP="00625761">
      <w:pPr>
        <w:widowControl/>
        <w:rPr>
          <w:b/>
          <w:bCs/>
          <w:sz w:val="36"/>
          <w:szCs w:val="28"/>
          <w:lang w:bidi="ar-SA"/>
        </w:rPr>
      </w:pPr>
      <w:r>
        <w:br w:type="page"/>
      </w:r>
    </w:p>
    <w:p w14:paraId="6843BB3E" w14:textId="77777777" w:rsidR="00625761" w:rsidRDefault="00625761" w:rsidP="00625761">
      <w:pPr>
        <w:pStyle w:val="Heading1"/>
        <w:numPr>
          <w:ilvl w:val="0"/>
          <w:numId w:val="11"/>
        </w:numPr>
        <w:ind w:right="454"/>
      </w:pPr>
      <w:bookmarkStart w:id="147" w:name="_Toc56693422"/>
      <w:bookmarkStart w:id="148" w:name="_Toc58327775"/>
      <w:bookmarkStart w:id="149" w:name="_Toc58333955"/>
      <w:bookmarkStart w:id="150" w:name="_Toc64448762"/>
      <w:bookmarkStart w:id="151" w:name="_Toc87860023"/>
      <w:r>
        <w:t>Microbial hazard characteristics</w:t>
      </w:r>
      <w:bookmarkEnd w:id="147"/>
      <w:bookmarkEnd w:id="148"/>
      <w:bookmarkEnd w:id="149"/>
      <w:bookmarkEnd w:id="150"/>
      <w:bookmarkEnd w:id="151"/>
    </w:p>
    <w:p w14:paraId="0973366F" w14:textId="52ABEA34" w:rsidR="00625761" w:rsidRDefault="00625761" w:rsidP="00625761">
      <w:r>
        <w:t xml:space="preserve">Selection of microbial hazards of concern for this assessment was based on consideration of Australian and international data on causes of fruit- and vegetable-associated illness provided to inform the 2008 expert meeting </w:t>
      </w:r>
      <w:r w:rsidR="00657FDB">
        <w:t>(FAO/WHO 2008a)</w:t>
      </w:r>
      <w:r>
        <w:t>. Australian prevalence and outbreak data since that time were also considered, to ensure that emerging hazards of particular relevance to the Australian production and processing environment were included in this report where appropriate.</w:t>
      </w:r>
    </w:p>
    <w:p w14:paraId="23FBEBEF" w14:textId="77777777" w:rsidR="00625761" w:rsidRDefault="00625761" w:rsidP="00625761"/>
    <w:p w14:paraId="1296FEBA" w14:textId="1061B7D7" w:rsidR="00625761" w:rsidRDefault="00625761" w:rsidP="00625761">
      <w:r>
        <w:t xml:space="preserve">FSANZ has previously undertaken detailed hazard characterisations of the in-scope microbial hazards included </w:t>
      </w:r>
      <w:r w:rsidRPr="00C2575F">
        <w:t xml:space="preserve">in this assessment </w:t>
      </w:r>
      <w:r w:rsidR="00657FDB">
        <w:t>(FSANZ 2018)</w:t>
      </w:r>
      <w:r w:rsidRPr="00C2575F">
        <w:t xml:space="preserve">, and summaries of the characterisations are included in </w:t>
      </w:r>
      <w:r>
        <w:t xml:space="preserve">Appendices 6-10. </w:t>
      </w:r>
    </w:p>
    <w:p w14:paraId="45B6E350" w14:textId="77777777" w:rsidR="00625761" w:rsidRPr="00BA1E15" w:rsidRDefault="00625761" w:rsidP="00625761">
      <w:pPr>
        <w:rPr>
          <w:i/>
        </w:rPr>
      </w:pPr>
    </w:p>
    <w:p w14:paraId="143B4151" w14:textId="77777777" w:rsidR="00625761" w:rsidRPr="00E25B24" w:rsidRDefault="00625761" w:rsidP="00625761">
      <w:pPr>
        <w:rPr>
          <w:b/>
        </w:rPr>
      </w:pPr>
      <w:r w:rsidRPr="00E25B24">
        <w:rPr>
          <w:b/>
        </w:rPr>
        <w:t>Hepatitis A</w:t>
      </w:r>
    </w:p>
    <w:p w14:paraId="40457E51" w14:textId="77777777" w:rsidR="00625761" w:rsidRPr="00E25B24" w:rsidRDefault="00625761" w:rsidP="00625761">
      <w:r w:rsidRPr="00E25B24">
        <w:t>Hepatitis A (HAV) belongs to the Picornaviridae family of viru</w:t>
      </w:r>
      <w:r>
        <w:t>ses. It is a small (25–</w:t>
      </w:r>
      <w:r w:rsidRPr="00E25B24">
        <w:t>28 nm) non-</w:t>
      </w:r>
      <w:r w:rsidRPr="00E25B24">
        <w:rPr>
          <w:rFonts w:cs="Arial"/>
        </w:rPr>
        <w:t>enveloped icosahedral virus with a single stranded RNA genome.</w:t>
      </w:r>
      <w:r w:rsidRPr="00E25B24">
        <w:rPr>
          <w:rFonts w:cs="Arial"/>
          <w:i/>
        </w:rPr>
        <w:t xml:space="preserve"> </w:t>
      </w:r>
      <w:r w:rsidRPr="00E25B24">
        <w:rPr>
          <w:rFonts w:cs="Arial"/>
        </w:rPr>
        <w:t xml:space="preserve">HAV cannot </w:t>
      </w:r>
      <w:r>
        <w:rPr>
          <w:rFonts w:cs="Arial"/>
        </w:rPr>
        <w:t>multiply outside the host or grow in food. H</w:t>
      </w:r>
      <w:r w:rsidRPr="00E25B24">
        <w:rPr>
          <w:rFonts w:cs="Arial"/>
        </w:rPr>
        <w:t>owever the virus can survive in food</w:t>
      </w:r>
      <w:r w:rsidRPr="00E25B24">
        <w:rPr>
          <w:rFonts w:cs="Arial"/>
          <w:lang w:val="en-US" w:eastAsia="en-AU"/>
        </w:rPr>
        <w:t xml:space="preserve"> and still be present at the point of consumption. The virus can also survive in the </w:t>
      </w:r>
      <w:r w:rsidRPr="00C2575F">
        <w:rPr>
          <w:rFonts w:cs="Arial"/>
          <w:lang w:val="en-US" w:eastAsia="en-AU"/>
        </w:rPr>
        <w:t xml:space="preserve">environment. HAV hosts are primarily humans and </w:t>
      </w:r>
      <w:r w:rsidRPr="00C2575F">
        <w:rPr>
          <w:rFonts w:cs="Arial"/>
        </w:rPr>
        <w:t>HAV infects the liver, with disease characterised by liver inflammation and the development of jaundice</w:t>
      </w:r>
      <w:r w:rsidRPr="00C2575F">
        <w:t>.</w:t>
      </w:r>
      <w:r w:rsidRPr="00C2575F">
        <w:rPr>
          <w:rFonts w:cs="Arial"/>
        </w:rPr>
        <w:t xml:space="preserve"> This</w:t>
      </w:r>
      <w:r w:rsidRPr="00C2575F">
        <w:t xml:space="preserve"> viral hazard is characterised in Appendix 6.</w:t>
      </w:r>
    </w:p>
    <w:p w14:paraId="450BC49D" w14:textId="77777777" w:rsidR="00625761" w:rsidRDefault="00625761" w:rsidP="00625761">
      <w:pPr>
        <w:rPr>
          <w:b/>
          <w:i/>
        </w:rPr>
      </w:pPr>
    </w:p>
    <w:p w14:paraId="6F82970B" w14:textId="77777777" w:rsidR="00625761" w:rsidRPr="00E25B24" w:rsidRDefault="00625761" w:rsidP="00625761">
      <w:pPr>
        <w:rPr>
          <w:b/>
        </w:rPr>
      </w:pPr>
      <w:r w:rsidRPr="00E25B24">
        <w:rPr>
          <w:b/>
          <w:i/>
        </w:rPr>
        <w:t xml:space="preserve">Listeria monocytogenes </w:t>
      </w:r>
    </w:p>
    <w:p w14:paraId="7FE9834B" w14:textId="77777777" w:rsidR="00625761" w:rsidRDefault="00625761" w:rsidP="00625761">
      <w:r w:rsidRPr="00E25B24">
        <w:rPr>
          <w:i/>
        </w:rPr>
        <w:t>Listeria monocytogenes</w:t>
      </w:r>
      <w:r w:rsidRPr="00E25B24">
        <w:t xml:space="preserve"> is a Gram-positive, non-spore forming rod-shaped bacterium that is found throughout the environment</w:t>
      </w:r>
      <w:r>
        <w:t xml:space="preserve">. </w:t>
      </w:r>
      <w:r w:rsidRPr="0012650D">
        <w:rPr>
          <w:rFonts w:cs="Arial"/>
          <w:color w:val="000000"/>
          <w:szCs w:val="22"/>
        </w:rPr>
        <w:t>It has been isolated from domestic and wild animals, birds, soil, vegetation, fodder</w:t>
      </w:r>
      <w:r>
        <w:rPr>
          <w:rFonts w:cs="Arial"/>
          <w:color w:val="000000"/>
          <w:szCs w:val="22"/>
        </w:rPr>
        <w:t>,</w:t>
      </w:r>
      <w:r w:rsidRPr="0012650D">
        <w:rPr>
          <w:rFonts w:cs="Arial"/>
          <w:color w:val="000000"/>
          <w:szCs w:val="22"/>
        </w:rPr>
        <w:t xml:space="preserve"> water</w:t>
      </w:r>
      <w:r>
        <w:rPr>
          <w:rFonts w:cs="Arial"/>
          <w:color w:val="000000"/>
          <w:szCs w:val="22"/>
        </w:rPr>
        <w:t xml:space="preserve"> and</w:t>
      </w:r>
      <w:r w:rsidRPr="0012650D">
        <w:rPr>
          <w:rFonts w:cs="Arial"/>
          <w:color w:val="000000"/>
          <w:szCs w:val="22"/>
        </w:rPr>
        <w:t xml:space="preserve"> from floors, drains and wet area</w:t>
      </w:r>
      <w:r>
        <w:rPr>
          <w:rFonts w:cs="Arial"/>
          <w:color w:val="000000"/>
          <w:szCs w:val="22"/>
        </w:rPr>
        <w:t xml:space="preserve">s of food processing factories. </w:t>
      </w:r>
      <w:r>
        <w:rPr>
          <w:rFonts w:cs="Arial"/>
          <w:i/>
          <w:color w:val="000000"/>
          <w:szCs w:val="22"/>
        </w:rPr>
        <w:t>L.</w:t>
      </w:r>
      <w:r w:rsidRPr="0012650D">
        <w:rPr>
          <w:rFonts w:cs="Arial"/>
          <w:i/>
          <w:color w:val="000000"/>
          <w:szCs w:val="22"/>
        </w:rPr>
        <w:t xml:space="preserve"> monocytogenes</w:t>
      </w:r>
      <w:r w:rsidRPr="0012650D">
        <w:rPr>
          <w:rFonts w:cs="Arial"/>
          <w:color w:val="000000"/>
          <w:szCs w:val="22"/>
        </w:rPr>
        <w:t xml:space="preserve"> is a bacterium that causes listeriosis, a disease that can have severe consequences for particular groups of the population</w:t>
      </w:r>
      <w:r w:rsidRPr="00E25B24">
        <w:t xml:space="preserve">. This bacterial hazard is </w:t>
      </w:r>
      <w:r w:rsidRPr="00C2575F">
        <w:t>characterised in Appendix 7.</w:t>
      </w:r>
    </w:p>
    <w:p w14:paraId="3C5ECFA7" w14:textId="77777777" w:rsidR="00625761" w:rsidRPr="00BA1E15" w:rsidRDefault="00625761" w:rsidP="00625761">
      <w:pPr>
        <w:rPr>
          <w:i/>
        </w:rPr>
      </w:pPr>
    </w:p>
    <w:p w14:paraId="1C5119CE" w14:textId="77777777" w:rsidR="00625761" w:rsidRPr="00E25B24" w:rsidRDefault="00625761" w:rsidP="00625761">
      <w:pPr>
        <w:rPr>
          <w:b/>
        </w:rPr>
      </w:pPr>
      <w:r>
        <w:rPr>
          <w:b/>
        </w:rPr>
        <w:t>Norovirus</w:t>
      </w:r>
    </w:p>
    <w:p w14:paraId="6E57A908" w14:textId="77777777" w:rsidR="00625761" w:rsidRPr="00E25B24" w:rsidRDefault="00625761" w:rsidP="00625761">
      <w:r w:rsidRPr="00E25B24">
        <w:t xml:space="preserve">Norovirus (NoV) belongs to the Caliciviridae family </w:t>
      </w:r>
      <w:r>
        <w:t>of viruses. It is a small (27–</w:t>
      </w:r>
      <w:r w:rsidRPr="00E25B24">
        <w:t xml:space="preserve">40nm) non-enveloped icosahedral virus with a single stranded RNA viral genome. </w:t>
      </w:r>
      <w:r w:rsidRPr="00E25B24">
        <w:rPr>
          <w:rFonts w:cs="Arial"/>
        </w:rPr>
        <w:t xml:space="preserve">NoV cannot </w:t>
      </w:r>
      <w:r>
        <w:rPr>
          <w:rFonts w:cs="Arial"/>
        </w:rPr>
        <w:t>multiply outside the host or grow in food. H</w:t>
      </w:r>
      <w:r w:rsidRPr="00E25B24">
        <w:rPr>
          <w:rFonts w:cs="Arial"/>
        </w:rPr>
        <w:t>owever the virus can survive in food</w:t>
      </w:r>
      <w:r w:rsidRPr="00E25B24">
        <w:rPr>
          <w:rFonts w:cs="Arial"/>
          <w:lang w:val="en-US" w:eastAsia="en-AU"/>
        </w:rPr>
        <w:t xml:space="preserve"> and still be present at the point of consumption. The virus can also survive in the environment</w:t>
      </w:r>
      <w:r>
        <w:rPr>
          <w:rFonts w:cs="Arial"/>
          <w:lang w:val="en-US" w:eastAsia="en-AU"/>
        </w:rPr>
        <w:t xml:space="preserve">. </w:t>
      </w:r>
      <w:r w:rsidRPr="005B27D5">
        <w:rPr>
          <w:rFonts w:cs="Arial"/>
          <w:szCs w:val="22"/>
          <w:lang w:val="en-US"/>
        </w:rPr>
        <w:t>Infection with NoV generally leads to symptoms of gastroenteritis, although asymptomatic infection can also occur</w:t>
      </w:r>
      <w:r w:rsidRPr="00E25B24">
        <w:t>.</w:t>
      </w:r>
      <w:r w:rsidRPr="00E25B24">
        <w:rPr>
          <w:rFonts w:cs="Arial"/>
        </w:rPr>
        <w:t xml:space="preserve"> This viral hazard is characteris</w:t>
      </w:r>
      <w:r w:rsidRPr="00E25B24">
        <w:t xml:space="preserve">ed </w:t>
      </w:r>
      <w:r w:rsidRPr="00C2575F">
        <w:t>in Appendix 8.</w:t>
      </w:r>
    </w:p>
    <w:p w14:paraId="33FC96C3" w14:textId="77777777" w:rsidR="00625761" w:rsidRPr="00BA1E15" w:rsidRDefault="00625761" w:rsidP="00625761">
      <w:pPr>
        <w:rPr>
          <w:i/>
        </w:rPr>
      </w:pPr>
    </w:p>
    <w:p w14:paraId="7C307E3E" w14:textId="77777777" w:rsidR="00625761" w:rsidRPr="00D75273" w:rsidRDefault="00625761" w:rsidP="00625761">
      <w:pPr>
        <w:rPr>
          <w:b/>
          <w:i/>
        </w:rPr>
      </w:pPr>
      <w:r w:rsidRPr="00D75273">
        <w:rPr>
          <w:b/>
          <w:i/>
        </w:rPr>
        <w:t xml:space="preserve">Salmonella </w:t>
      </w:r>
      <w:r w:rsidRPr="00D75273">
        <w:rPr>
          <w:b/>
        </w:rPr>
        <w:t>spp.</w:t>
      </w:r>
    </w:p>
    <w:p w14:paraId="6B6814B2" w14:textId="77777777" w:rsidR="00625761" w:rsidRPr="00FF634D" w:rsidRDefault="00625761" w:rsidP="00625761">
      <w:pPr>
        <w:rPr>
          <w:i/>
        </w:rPr>
      </w:pPr>
      <w:r w:rsidRPr="00635B30">
        <w:rPr>
          <w:rFonts w:cs="Arial"/>
          <w:i/>
        </w:rPr>
        <w:t xml:space="preserve">Salmonella </w:t>
      </w:r>
      <w:r w:rsidRPr="00635B30">
        <w:rPr>
          <w:rFonts w:cs="Arial"/>
        </w:rPr>
        <w:t xml:space="preserve">spp. are Gram-negative, non-spore forming rod-shaped bacteria belonging to the Enterobacteriaceae family. </w:t>
      </w:r>
      <w:r w:rsidRPr="00E9555E">
        <w:rPr>
          <w:rFonts w:cs="Arial"/>
          <w:i/>
        </w:rPr>
        <w:t>Salmonella</w:t>
      </w:r>
      <w:r w:rsidRPr="00E9555E">
        <w:rPr>
          <w:rFonts w:cs="Arial"/>
        </w:rPr>
        <w:t xml:space="preserve"> spp. are carried by a range of domestic and wild animals and birds and have been widely</w:t>
      </w:r>
      <w:r>
        <w:rPr>
          <w:rFonts w:cs="Arial"/>
        </w:rPr>
        <w:t xml:space="preserve"> isolated from the environment. </w:t>
      </w:r>
      <w:r w:rsidRPr="00E9555E">
        <w:rPr>
          <w:rFonts w:cs="Arial"/>
          <w:i/>
          <w:szCs w:val="22"/>
        </w:rPr>
        <w:t>Salmonella</w:t>
      </w:r>
      <w:r w:rsidRPr="00E9555E">
        <w:rPr>
          <w:rFonts w:cs="Arial"/>
          <w:szCs w:val="22"/>
        </w:rPr>
        <w:t xml:space="preserve"> spp. are bacteria that cause salmonellosis, a common form of foodborne illness in humans. </w:t>
      </w:r>
      <w:r>
        <w:rPr>
          <w:rFonts w:cs="Arial"/>
          <w:szCs w:val="22"/>
        </w:rPr>
        <w:t xml:space="preserve">Outcomes from exposure to </w:t>
      </w:r>
      <w:r w:rsidRPr="00E9555E">
        <w:rPr>
          <w:rFonts w:cs="Arial"/>
          <w:i/>
          <w:szCs w:val="22"/>
        </w:rPr>
        <w:t>Salmonella</w:t>
      </w:r>
      <w:r w:rsidRPr="00E9555E">
        <w:rPr>
          <w:rFonts w:cs="Arial"/>
          <w:szCs w:val="22"/>
        </w:rPr>
        <w:t xml:space="preserve"> spp. </w:t>
      </w:r>
      <w:r>
        <w:rPr>
          <w:rFonts w:cs="Arial"/>
          <w:szCs w:val="22"/>
        </w:rPr>
        <w:t xml:space="preserve">can range from generally </w:t>
      </w:r>
      <w:r w:rsidRPr="00E9555E">
        <w:rPr>
          <w:rFonts w:cs="Arial"/>
          <w:szCs w:val="22"/>
        </w:rPr>
        <w:t>mild symptoms</w:t>
      </w:r>
      <w:r>
        <w:rPr>
          <w:rFonts w:cs="Arial"/>
          <w:szCs w:val="22"/>
        </w:rPr>
        <w:t xml:space="preserve"> to </w:t>
      </w:r>
      <w:r w:rsidRPr="00E9555E">
        <w:rPr>
          <w:rFonts w:cs="Arial"/>
          <w:szCs w:val="22"/>
        </w:rPr>
        <w:t>s</w:t>
      </w:r>
      <w:r>
        <w:rPr>
          <w:rFonts w:cs="Arial"/>
          <w:szCs w:val="22"/>
        </w:rPr>
        <w:t>evere disease and can be fatal</w:t>
      </w:r>
      <w:r w:rsidRPr="00635B30">
        <w:rPr>
          <w:rFonts w:cs="Arial"/>
        </w:rPr>
        <w:t>.</w:t>
      </w:r>
      <w:r w:rsidRPr="008267DB">
        <w:rPr>
          <w:rFonts w:asciiTheme="minorHAnsi" w:hAnsiTheme="minorHAnsi" w:cs="Arial"/>
          <w:sz w:val="20"/>
          <w:szCs w:val="20"/>
        </w:rPr>
        <w:t xml:space="preserve"> </w:t>
      </w:r>
      <w:r w:rsidRPr="00FF634D">
        <w:t xml:space="preserve">This bacterial hazard is </w:t>
      </w:r>
      <w:r w:rsidRPr="00C2575F">
        <w:t>characterised in Appendix 9.</w:t>
      </w:r>
    </w:p>
    <w:p w14:paraId="12EEDA64" w14:textId="77777777" w:rsidR="00625761" w:rsidRPr="00FF634D" w:rsidRDefault="00625761" w:rsidP="00625761">
      <w:pPr>
        <w:rPr>
          <w:b/>
          <w:i/>
        </w:rPr>
      </w:pPr>
    </w:p>
    <w:p w14:paraId="703CED31" w14:textId="77777777" w:rsidR="00625761" w:rsidRPr="00054FD8" w:rsidRDefault="00625761" w:rsidP="00625761">
      <w:pPr>
        <w:rPr>
          <w:b/>
        </w:rPr>
      </w:pPr>
      <w:r w:rsidRPr="00054FD8">
        <w:rPr>
          <w:b/>
        </w:rPr>
        <w:t xml:space="preserve">Shiga toxin-producing </w:t>
      </w:r>
      <w:r w:rsidRPr="00054FD8">
        <w:rPr>
          <w:b/>
          <w:i/>
        </w:rPr>
        <w:t>E. coli</w:t>
      </w:r>
    </w:p>
    <w:p w14:paraId="6C6459D9" w14:textId="48C20899" w:rsidR="00625761" w:rsidRDefault="00625761" w:rsidP="00625761">
      <w:r w:rsidRPr="00635B30">
        <w:rPr>
          <w:rFonts w:cs="Arial"/>
          <w:i/>
          <w:color w:val="000000" w:themeColor="text1"/>
        </w:rPr>
        <w:t>E. coli</w:t>
      </w:r>
      <w:r w:rsidRPr="00635B30">
        <w:rPr>
          <w:rFonts w:cs="Arial"/>
          <w:color w:val="000000" w:themeColor="text1"/>
        </w:rPr>
        <w:t xml:space="preserve"> are Gram-negative, rod-shaped bacteria</w:t>
      </w:r>
      <w:r>
        <w:rPr>
          <w:rFonts w:cs="Arial"/>
          <w:color w:val="000000" w:themeColor="text1"/>
        </w:rPr>
        <w:t xml:space="preserve"> </w:t>
      </w:r>
      <w:r w:rsidRPr="00635B30">
        <w:rPr>
          <w:rFonts w:cs="Arial"/>
        </w:rPr>
        <w:t>belonging to the Enterobacteriaceae family</w:t>
      </w:r>
      <w:r w:rsidRPr="00635B30">
        <w:rPr>
          <w:rFonts w:cs="Arial"/>
          <w:color w:val="000000" w:themeColor="text1"/>
        </w:rPr>
        <w:t xml:space="preserve">. </w:t>
      </w:r>
      <w:r w:rsidRPr="006A1C3B">
        <w:rPr>
          <w:rFonts w:cs="Arial"/>
          <w:i/>
          <w:iCs/>
        </w:rPr>
        <w:t>E</w:t>
      </w:r>
      <w:r>
        <w:rPr>
          <w:rFonts w:cs="Arial"/>
          <w:i/>
          <w:iCs/>
        </w:rPr>
        <w:t xml:space="preserve">. </w:t>
      </w:r>
      <w:r w:rsidRPr="006A1C3B">
        <w:rPr>
          <w:rFonts w:cs="Arial"/>
          <w:i/>
          <w:iCs/>
        </w:rPr>
        <w:t>coli</w:t>
      </w:r>
      <w:r w:rsidRPr="006A1C3B">
        <w:rPr>
          <w:rFonts w:cs="Arial"/>
          <w:iCs/>
        </w:rPr>
        <w:t xml:space="preserve"> form </w:t>
      </w:r>
      <w:r w:rsidRPr="006A1C3B">
        <w:rPr>
          <w:rFonts w:cs="Arial"/>
        </w:rPr>
        <w:t>part of the normal gut flora of humans a</w:t>
      </w:r>
      <w:r>
        <w:rPr>
          <w:rFonts w:cs="Arial"/>
        </w:rPr>
        <w:t xml:space="preserve">nd other warm-blooded animals. </w:t>
      </w:r>
      <w:r w:rsidRPr="006A1C3B">
        <w:rPr>
          <w:rFonts w:cs="Arial"/>
          <w:iCs/>
        </w:rPr>
        <w:t xml:space="preserve">Although most </w:t>
      </w:r>
      <w:r w:rsidRPr="006A1C3B">
        <w:rPr>
          <w:rFonts w:cs="Arial"/>
          <w:i/>
          <w:iCs/>
        </w:rPr>
        <w:t>E. coli</w:t>
      </w:r>
      <w:r w:rsidRPr="006A1C3B">
        <w:rPr>
          <w:rFonts w:cs="Arial"/>
          <w:iCs/>
        </w:rPr>
        <w:t xml:space="preserve"> are considered harmless, certain strains</w:t>
      </w:r>
      <w:r w:rsidRPr="006A1C3B">
        <w:rPr>
          <w:rFonts w:cs="Arial"/>
          <w:i/>
          <w:iCs/>
        </w:rPr>
        <w:t xml:space="preserve"> </w:t>
      </w:r>
      <w:r w:rsidRPr="006A1C3B">
        <w:rPr>
          <w:rFonts w:cs="Arial"/>
          <w:iCs/>
        </w:rPr>
        <w:t xml:space="preserve">can cause severe illness, particularly Shiga toxin-producing </w:t>
      </w:r>
      <w:r w:rsidRPr="006A1C3B">
        <w:rPr>
          <w:rFonts w:cs="Arial"/>
          <w:i/>
          <w:iCs/>
        </w:rPr>
        <w:t>E. coli</w:t>
      </w:r>
      <w:r w:rsidRPr="006A1C3B">
        <w:rPr>
          <w:rFonts w:cs="Arial"/>
          <w:iCs/>
        </w:rPr>
        <w:t xml:space="preserve"> (STEC).</w:t>
      </w:r>
      <w:r w:rsidRPr="006A1C3B">
        <w:rPr>
          <w:rFonts w:cs="Arial"/>
        </w:rPr>
        <w:t>The major animal res</w:t>
      </w:r>
      <w:r>
        <w:rPr>
          <w:rFonts w:cs="Arial"/>
        </w:rPr>
        <w:t xml:space="preserve">ervoir of STEC is ruminants, </w:t>
      </w:r>
      <w:r w:rsidRPr="006A1C3B">
        <w:rPr>
          <w:rFonts w:cs="Arial"/>
        </w:rPr>
        <w:t>particular</w:t>
      </w:r>
      <w:r>
        <w:rPr>
          <w:rFonts w:cs="Arial"/>
        </w:rPr>
        <w:t>ly</w:t>
      </w:r>
      <w:r w:rsidRPr="006A1C3B">
        <w:rPr>
          <w:rFonts w:cs="Arial"/>
        </w:rPr>
        <w:t xml:space="preserve"> cattle and sheep</w:t>
      </w:r>
      <w:r w:rsidRPr="00635B30">
        <w:rPr>
          <w:rFonts w:cs="Arial"/>
          <w:lang w:val="en-US" w:eastAsia="en-AU"/>
        </w:rPr>
        <w:t xml:space="preserve">. </w:t>
      </w:r>
      <w:r w:rsidRPr="00635B30">
        <w:rPr>
          <w:rFonts w:cs="Arial"/>
        </w:rPr>
        <w:t>This</w:t>
      </w:r>
      <w:r>
        <w:t xml:space="preserve"> bacterial </w:t>
      </w:r>
      <w:r w:rsidRPr="00927E0A">
        <w:t xml:space="preserve">hazard </w:t>
      </w:r>
      <w:r>
        <w:t xml:space="preserve">is </w:t>
      </w:r>
      <w:r w:rsidR="009C3E8C">
        <w:t>characterised in Appendix </w:t>
      </w:r>
      <w:r w:rsidRPr="00C2575F">
        <w:t>10.</w:t>
      </w:r>
    </w:p>
    <w:p w14:paraId="60D7CD25" w14:textId="77777777" w:rsidR="00625761" w:rsidRPr="00DC0A05" w:rsidRDefault="00625761" w:rsidP="00625761">
      <w:pPr>
        <w:rPr>
          <w:lang w:bidi="ar-SA"/>
        </w:rPr>
      </w:pPr>
    </w:p>
    <w:p w14:paraId="51E5F342" w14:textId="77777777" w:rsidR="00625761" w:rsidRDefault="00625761" w:rsidP="00625761">
      <w:pPr>
        <w:pStyle w:val="Heading1"/>
        <w:numPr>
          <w:ilvl w:val="0"/>
          <w:numId w:val="11"/>
        </w:numPr>
        <w:ind w:right="454"/>
      </w:pPr>
      <w:bookmarkStart w:id="152" w:name="_Toc56693423"/>
      <w:bookmarkStart w:id="153" w:name="_Toc58327776"/>
      <w:bookmarkStart w:id="154" w:name="_Toc58333956"/>
      <w:bookmarkStart w:id="155" w:name="_Toc64448763"/>
      <w:bookmarkStart w:id="156" w:name="_Toc87860024"/>
      <w:bookmarkEnd w:id="146"/>
      <w:r>
        <w:t>Commodity characteristics</w:t>
      </w:r>
      <w:bookmarkEnd w:id="152"/>
      <w:bookmarkEnd w:id="153"/>
      <w:bookmarkEnd w:id="154"/>
      <w:bookmarkEnd w:id="155"/>
      <w:bookmarkEnd w:id="156"/>
    </w:p>
    <w:p w14:paraId="7DB21D9D" w14:textId="77777777" w:rsidR="00625761" w:rsidRDefault="00625761" w:rsidP="00625761">
      <w:pPr>
        <w:rPr>
          <w:lang w:bidi="ar-SA"/>
        </w:rPr>
      </w:pPr>
      <w:r w:rsidRPr="006C3434">
        <w:rPr>
          <w:lang w:bidi="ar-SA"/>
        </w:rPr>
        <w:t xml:space="preserve">The survival and growth of pathogens and therefore, the risk associated with pathogens </w:t>
      </w:r>
      <w:r>
        <w:rPr>
          <w:lang w:bidi="ar-SA"/>
        </w:rPr>
        <w:t>and</w:t>
      </w:r>
      <w:r w:rsidRPr="006C3434">
        <w:rPr>
          <w:lang w:bidi="ar-SA"/>
        </w:rPr>
        <w:t xml:space="preserve"> fresh produce</w:t>
      </w:r>
      <w:r>
        <w:rPr>
          <w:lang w:bidi="ar-SA"/>
        </w:rPr>
        <w:t>,</w:t>
      </w:r>
      <w:r w:rsidRPr="006C3434">
        <w:rPr>
          <w:lang w:bidi="ar-SA"/>
        </w:rPr>
        <w:t xml:space="preserve"> is influenced not only by the external surrounding environment but also the intrinsic properties of the produce. These include the water activity, pH, and availability of nutrients in the flesh</w:t>
      </w:r>
      <w:r>
        <w:rPr>
          <w:lang w:bidi="ar-SA"/>
        </w:rPr>
        <w:t xml:space="preserve"> or tissues</w:t>
      </w:r>
      <w:r w:rsidRPr="006C3434">
        <w:rPr>
          <w:lang w:bidi="ar-SA"/>
        </w:rPr>
        <w:t xml:space="preserve"> and also properties of the external surface of the produce.</w:t>
      </w:r>
    </w:p>
    <w:p w14:paraId="35270CCB" w14:textId="77777777" w:rsidR="00625761" w:rsidRDefault="00625761" w:rsidP="00625761">
      <w:pPr>
        <w:rPr>
          <w:lang w:bidi="ar-SA"/>
        </w:rPr>
      </w:pPr>
    </w:p>
    <w:p w14:paraId="36228BDB" w14:textId="472FD62B" w:rsidR="00625761" w:rsidRDefault="00625761" w:rsidP="00625761">
      <w:pPr>
        <w:rPr>
          <w:lang w:bidi="ar-SA"/>
        </w:rPr>
      </w:pPr>
      <w:r w:rsidRPr="006C3434">
        <w:rPr>
          <w:lang w:bidi="ar-SA"/>
        </w:rPr>
        <w:t xml:space="preserve">In this section we limit discussion to a description of the general </w:t>
      </w:r>
      <w:r>
        <w:rPr>
          <w:lang w:bidi="ar-SA"/>
        </w:rPr>
        <w:t>structural characteristics of the in-</w:t>
      </w:r>
      <w:r w:rsidRPr="006C3434">
        <w:rPr>
          <w:lang w:bidi="ar-SA"/>
        </w:rPr>
        <w:t xml:space="preserve">scope commodities, structural characteristics that may influence </w:t>
      </w:r>
      <w:r>
        <w:rPr>
          <w:lang w:bidi="ar-SA"/>
        </w:rPr>
        <w:t xml:space="preserve">pathogen </w:t>
      </w:r>
      <w:r w:rsidRPr="006C3434">
        <w:rPr>
          <w:lang w:bidi="ar-SA"/>
        </w:rPr>
        <w:t>attachment to the surface of the edible portion of the plant</w:t>
      </w:r>
      <w:r>
        <w:rPr>
          <w:lang w:bidi="ar-SA"/>
        </w:rPr>
        <w:t xml:space="preserve"> or rind for melons</w:t>
      </w:r>
      <w:r w:rsidRPr="006C3434">
        <w:rPr>
          <w:lang w:bidi="ar-SA"/>
        </w:rPr>
        <w:t xml:space="preserve">, and the potential for growth of bacterial pathogens (persistence for viral pathogens) on the surface and internal parts of </w:t>
      </w:r>
      <w:r w:rsidRPr="00315A16">
        <w:rPr>
          <w:lang w:bidi="ar-SA"/>
        </w:rPr>
        <w:t>the produce under controlled storage conditions where temperature is the main variable. Sections 9</w:t>
      </w:r>
      <w:r>
        <w:rPr>
          <w:lang w:bidi="ar-SA"/>
        </w:rPr>
        <w:t>-</w:t>
      </w:r>
      <w:r w:rsidRPr="00315A16">
        <w:rPr>
          <w:lang w:bidi="ar-SA"/>
        </w:rPr>
        <w:t>12 include discussion of environmental and other risk factors that may influence the growth and internalisation</w:t>
      </w:r>
      <w:r>
        <w:rPr>
          <w:lang w:bidi="ar-SA"/>
        </w:rPr>
        <w:t xml:space="preserve"> of pathogens regarding the specific commodities during primary production.</w:t>
      </w:r>
    </w:p>
    <w:p w14:paraId="11381860" w14:textId="77777777" w:rsidR="00E44DB7" w:rsidRPr="006C3434" w:rsidRDefault="00E44DB7" w:rsidP="00625761">
      <w:pPr>
        <w:rPr>
          <w:lang w:bidi="ar-SA"/>
        </w:rPr>
      </w:pPr>
    </w:p>
    <w:p w14:paraId="665C2EAB" w14:textId="77777777" w:rsidR="00625761" w:rsidRPr="00E4782F" w:rsidRDefault="00625761" w:rsidP="00625761">
      <w:pPr>
        <w:pStyle w:val="Heading2"/>
        <w:numPr>
          <w:ilvl w:val="1"/>
          <w:numId w:val="11"/>
        </w:numPr>
      </w:pPr>
      <w:bookmarkStart w:id="157" w:name="_Toc56693424"/>
      <w:bookmarkStart w:id="158" w:name="_Toc58327777"/>
      <w:bookmarkStart w:id="159" w:name="_Toc58333957"/>
      <w:bookmarkStart w:id="160" w:name="_Toc64448764"/>
      <w:bookmarkStart w:id="161" w:name="_Toc87860025"/>
      <w:r>
        <w:t>Leafy vegetables</w:t>
      </w:r>
      <w:bookmarkEnd w:id="157"/>
      <w:bookmarkEnd w:id="158"/>
      <w:bookmarkEnd w:id="159"/>
      <w:bookmarkEnd w:id="160"/>
      <w:bookmarkEnd w:id="161"/>
    </w:p>
    <w:p w14:paraId="7977355A" w14:textId="006DDD94" w:rsidR="00625761" w:rsidRDefault="00625761" w:rsidP="00625761">
      <w:pPr>
        <w:rPr>
          <w:lang w:bidi="ar-SA"/>
        </w:rPr>
      </w:pPr>
      <w:r w:rsidRPr="000A01F3">
        <w:rPr>
          <w:color w:val="000000" w:themeColor="text1"/>
        </w:rPr>
        <w:t xml:space="preserve">Lettuce, parsley and spinach leaves </w:t>
      </w:r>
      <w:r>
        <w:rPr>
          <w:color w:val="000000" w:themeColor="text1"/>
        </w:rPr>
        <w:t xml:space="preserve">generally </w:t>
      </w:r>
      <w:r w:rsidRPr="000A01F3">
        <w:rPr>
          <w:color w:val="000000" w:themeColor="text1"/>
        </w:rPr>
        <w:t>have a sligh</w:t>
      </w:r>
      <w:r>
        <w:rPr>
          <w:color w:val="000000" w:themeColor="text1"/>
        </w:rPr>
        <w:t>tly acidic pH (in the range 5.4-</w:t>
      </w:r>
      <w:r w:rsidRPr="000A01F3">
        <w:rPr>
          <w:color w:val="000000" w:themeColor="text1"/>
        </w:rPr>
        <w:t xml:space="preserve">6.8) </w:t>
      </w:r>
      <w:r w:rsidR="00657FDB">
        <w:rPr>
          <w:color w:val="000000" w:themeColor="text1"/>
        </w:rPr>
        <w:t>(US FDA/CFSAN 2003)</w:t>
      </w:r>
      <w:r w:rsidRPr="000A01F3">
        <w:rPr>
          <w:color w:val="000000" w:themeColor="text1"/>
        </w:rPr>
        <w:t xml:space="preserve">, high water activity and typically contain up to 2% sugars, including fructose and glucose (and sucrose in parsley) </w:t>
      </w:r>
      <w:r w:rsidR="00657FDB" w:rsidRPr="00657FDB">
        <w:t>(FSANZ 2019)</w:t>
      </w:r>
      <w:r w:rsidRPr="000A01F3">
        <w:rPr>
          <w:color w:val="000000" w:themeColor="text1"/>
        </w:rPr>
        <w:t xml:space="preserve">. </w:t>
      </w:r>
      <w:r w:rsidRPr="00FB6CAB">
        <w:rPr>
          <w:szCs w:val="22"/>
          <w:lang w:bidi="ar-SA"/>
        </w:rPr>
        <w:t xml:space="preserve">Lettuce </w:t>
      </w:r>
      <w:r w:rsidRPr="00FB6CAB">
        <w:rPr>
          <w:rFonts w:cs="Arial"/>
          <w:color w:val="202122"/>
          <w:szCs w:val="22"/>
          <w:shd w:val="clear" w:color="auto" w:fill="FFFFFF"/>
        </w:rPr>
        <w:t>(</w:t>
      </w:r>
      <w:r w:rsidRPr="00FB6CAB">
        <w:rPr>
          <w:rFonts w:cs="Arial"/>
          <w:i/>
          <w:iCs/>
          <w:color w:val="202122"/>
          <w:szCs w:val="22"/>
          <w:shd w:val="clear" w:color="auto" w:fill="FFFFFF"/>
        </w:rPr>
        <w:t>Lactuca sativa</w:t>
      </w:r>
      <w:r w:rsidRPr="00FB6CAB">
        <w:rPr>
          <w:rFonts w:cs="Arial"/>
          <w:color w:val="202122"/>
          <w:szCs w:val="22"/>
          <w:shd w:val="clear" w:color="auto" w:fill="FFFFFF"/>
        </w:rPr>
        <w:t>) </w:t>
      </w:r>
      <w:r w:rsidRPr="00FB6CAB">
        <w:rPr>
          <w:szCs w:val="22"/>
          <w:lang w:bidi="ar-SA"/>
        </w:rPr>
        <w:t>are</w:t>
      </w:r>
      <w:r w:rsidRPr="000A01F3">
        <w:rPr>
          <w:lang w:bidi="ar-SA"/>
        </w:rPr>
        <w:t xml:space="preserve"> annual or biennial plants grown for consumption of the leaves. There is great diversity in the size, shape, and leaf type. However, lettuce leaves are formed on short stems close to the ground, and the leaves form a dense head or loose rosette.</w:t>
      </w:r>
      <w:r>
        <w:rPr>
          <w:lang w:bidi="ar-SA"/>
        </w:rPr>
        <w:t xml:space="preserve"> The structure can also be described as a vase.</w:t>
      </w:r>
      <w:r w:rsidRPr="000A01F3">
        <w:rPr>
          <w:lang w:bidi="ar-SA"/>
        </w:rPr>
        <w:t xml:space="preserve"> The height of </w:t>
      </w:r>
      <w:r>
        <w:rPr>
          <w:lang w:bidi="ar-SA"/>
        </w:rPr>
        <w:t>plants is generally less than 8</w:t>
      </w:r>
      <w:r w:rsidRPr="000A01F3">
        <w:rPr>
          <w:lang w:bidi="ar-SA"/>
        </w:rPr>
        <w:t>0cm. The leaves of lettuce plants can be curly or smooth. Spinach (</w:t>
      </w:r>
      <w:r w:rsidRPr="000A01F3">
        <w:rPr>
          <w:i/>
          <w:lang w:bidi="ar-SA"/>
        </w:rPr>
        <w:t>Spinacia oleracea</w:t>
      </w:r>
      <w:r w:rsidRPr="000A01F3">
        <w:rPr>
          <w:lang w:bidi="ar-SA"/>
        </w:rPr>
        <w:t>) are annual plants that produce edible lea</w:t>
      </w:r>
      <w:r>
        <w:rPr>
          <w:lang w:bidi="ar-SA"/>
        </w:rPr>
        <w:t>ve</w:t>
      </w:r>
      <w:r w:rsidRPr="000A01F3">
        <w:rPr>
          <w:lang w:bidi="ar-SA"/>
        </w:rPr>
        <w:t>s. The leaves are produced on a stem that can be 30cm tall, with smaller leaves at the top and larger leaves at the bottom of the stem. Parsley (</w:t>
      </w:r>
      <w:r w:rsidRPr="000A01F3">
        <w:rPr>
          <w:i/>
          <w:lang w:bidi="ar-SA"/>
        </w:rPr>
        <w:t>Petroselinum crispum</w:t>
      </w:r>
      <w:r w:rsidRPr="000A01F3">
        <w:rPr>
          <w:lang w:bidi="ar-SA"/>
        </w:rPr>
        <w:t>) are annual or biennial herbaceous plants that produce a clusters of compound leaves in the first season that are generally consumed fresh or dried. Leaves can be flat or curly depending on the cultivar and the plant generally grows to heights less than 80cm.</w:t>
      </w:r>
    </w:p>
    <w:p w14:paraId="6D46B8BA" w14:textId="77777777" w:rsidR="00625761" w:rsidRDefault="00625761" w:rsidP="00625761">
      <w:pPr>
        <w:rPr>
          <w:lang w:bidi="ar-SA"/>
        </w:rPr>
      </w:pPr>
    </w:p>
    <w:p w14:paraId="4D299B4D" w14:textId="6FBCF84E" w:rsidR="00625761" w:rsidRPr="00BA45B7" w:rsidRDefault="00625761" w:rsidP="00625761">
      <w:pPr>
        <w:rPr>
          <w:lang w:bidi="ar-SA"/>
        </w:rPr>
      </w:pPr>
      <w:r>
        <w:rPr>
          <w:lang w:bidi="ar-SA"/>
        </w:rPr>
        <w:t xml:space="preserve">The attachment of pathogens to leafy vegetables is reliant on a complex combination of physical, chemical, and biological factors that may differ by commodity and cultivar. Surface characteristics such as topography, the presence of stomata, </w:t>
      </w:r>
      <w:r w:rsidRPr="00613EC8">
        <w:rPr>
          <w:lang w:bidi="ar-SA"/>
        </w:rPr>
        <w:t>cuticular waxes</w:t>
      </w:r>
      <w:r>
        <w:rPr>
          <w:lang w:bidi="ar-SA"/>
        </w:rPr>
        <w:t>, age of leaves, and surface roughness can influence bacterial attachment. Confocal microscopy</w:t>
      </w:r>
      <w:r w:rsidRPr="00651D71">
        <w:rPr>
          <w:lang w:bidi="ar-SA"/>
        </w:rPr>
        <w:t xml:space="preserve"> </w:t>
      </w:r>
      <w:r>
        <w:rPr>
          <w:lang w:bidi="ar-SA"/>
        </w:rPr>
        <w:t xml:space="preserve">shows that the surface </w:t>
      </w:r>
      <w:r w:rsidRPr="0042236B">
        <w:rPr>
          <w:lang w:bidi="ar-SA"/>
        </w:rPr>
        <w:t xml:space="preserve">of lettuce, spinach and rockmelon </w:t>
      </w:r>
      <w:r>
        <w:rPr>
          <w:lang w:bidi="ar-SA"/>
        </w:rPr>
        <w:t>have</w:t>
      </w:r>
      <w:r w:rsidRPr="0042236B">
        <w:rPr>
          <w:lang w:bidi="ar-SA"/>
        </w:rPr>
        <w:t xml:space="preserve"> the highest surface roughness compared to apples, tomatoes, and oranges</w:t>
      </w:r>
      <w:r>
        <w:rPr>
          <w:lang w:bidi="ar-SA"/>
        </w:rPr>
        <w:t>,</w:t>
      </w:r>
      <w:r w:rsidRPr="0042236B">
        <w:rPr>
          <w:lang w:bidi="ar-SA"/>
        </w:rPr>
        <w:t xml:space="preserve"> </w:t>
      </w:r>
      <w:r>
        <w:rPr>
          <w:lang w:bidi="ar-SA"/>
        </w:rPr>
        <w:t>which</w:t>
      </w:r>
      <w:r w:rsidRPr="0042236B">
        <w:rPr>
          <w:lang w:bidi="ar-SA"/>
        </w:rPr>
        <w:t xml:space="preserve"> had the </w:t>
      </w:r>
      <w:r>
        <w:rPr>
          <w:lang w:bidi="ar-SA"/>
        </w:rPr>
        <w:t>lea</w:t>
      </w:r>
      <w:r w:rsidRPr="0042236B">
        <w:rPr>
          <w:lang w:bidi="ar-SA"/>
        </w:rPr>
        <w:t xml:space="preserve">st surface roughness </w:t>
      </w:r>
      <w:r w:rsidR="00657FDB">
        <w:rPr>
          <w:lang w:bidi="ar-SA"/>
        </w:rPr>
        <w:t>(Lazouskaya et al. 2016)</w:t>
      </w:r>
      <w:r w:rsidRPr="0042236B">
        <w:rPr>
          <w:lang w:bidi="ar-SA"/>
        </w:rPr>
        <w:t>.</w:t>
      </w:r>
      <w:r>
        <w:rPr>
          <w:lang w:bidi="ar-SA"/>
        </w:rPr>
        <w:t xml:space="preserve"> The antimicrobial activity associated with leaf tissue constituents—such as essential oils, phenols, alkaloids, unsaturated long chain aldehydes, and peptides—may also influence the attachment or growth of pathogens, particularly to damaged or cut leafy vegetables. The phenolic content extracted from leaves of lettuce, spinach, and parsley was reported to be 16.3, 20.6, and 98.7 gallic acid equivalents/g, respectively </w:t>
      </w:r>
      <w:r w:rsidR="00657FDB">
        <w:t>(Khalil and Frank 2010)</w:t>
      </w:r>
      <w:r>
        <w:t xml:space="preserve">. Antimicrobial activity has also been attributed to peptides in spinach and to high ferrous sequestering activity in extracts of parsley </w:t>
      </w:r>
      <w:r w:rsidR="00657FDB">
        <w:t>(Posada-Izquierdo et al. 2016)</w:t>
      </w:r>
      <w:r>
        <w:t>.</w:t>
      </w:r>
    </w:p>
    <w:p w14:paraId="5037A9D2" w14:textId="77777777" w:rsidR="00625761" w:rsidRDefault="00625761" w:rsidP="00625761">
      <w:pPr>
        <w:rPr>
          <w:lang w:bidi="ar-SA"/>
        </w:rPr>
      </w:pPr>
    </w:p>
    <w:p w14:paraId="5C553518" w14:textId="77777777" w:rsidR="00702CD0" w:rsidRDefault="00702CD0">
      <w:pPr>
        <w:widowControl/>
        <w:rPr>
          <w:lang w:bidi="ar-SA"/>
        </w:rPr>
      </w:pPr>
      <w:r>
        <w:rPr>
          <w:lang w:bidi="ar-SA"/>
        </w:rPr>
        <w:br w:type="page"/>
      </w:r>
    </w:p>
    <w:p w14:paraId="027AB6C2" w14:textId="2C7D41E2" w:rsidR="00625761" w:rsidRDefault="00625761" w:rsidP="00625761">
      <w:pPr>
        <w:rPr>
          <w:lang w:bidi="ar-SA"/>
        </w:rPr>
      </w:pPr>
      <w:r>
        <w:rPr>
          <w:lang w:bidi="ar-SA"/>
        </w:rPr>
        <w:t xml:space="preserve">Factors influencing the attachment of </w:t>
      </w:r>
      <w:r w:rsidRPr="008B125E">
        <w:rPr>
          <w:i/>
          <w:lang w:bidi="ar-SA"/>
        </w:rPr>
        <w:t>Salmonella</w:t>
      </w:r>
      <w:r>
        <w:rPr>
          <w:lang w:bidi="ar-SA"/>
        </w:rPr>
        <w:t>,</w:t>
      </w:r>
      <w:r w:rsidRPr="008B125E">
        <w:rPr>
          <w:i/>
          <w:lang w:bidi="ar-SA"/>
        </w:rPr>
        <w:t xml:space="preserve"> L. monocytogenes</w:t>
      </w:r>
      <w:r>
        <w:rPr>
          <w:lang w:bidi="ar-SA"/>
        </w:rPr>
        <w:t xml:space="preserve"> and </w:t>
      </w:r>
      <w:r w:rsidRPr="008B125E">
        <w:rPr>
          <w:i/>
          <w:lang w:bidi="ar-SA"/>
        </w:rPr>
        <w:t>E. coli</w:t>
      </w:r>
      <w:r>
        <w:rPr>
          <w:lang w:bidi="ar-SA"/>
        </w:rPr>
        <w:t xml:space="preserve"> have been described for lettuce. </w:t>
      </w:r>
      <w:r w:rsidRPr="00613EC8">
        <w:rPr>
          <w:i/>
          <w:lang w:bidi="ar-SA"/>
        </w:rPr>
        <w:t>L. monocytogenes</w:t>
      </w:r>
      <w:r>
        <w:rPr>
          <w:lang w:bidi="ar-SA"/>
        </w:rPr>
        <w:t xml:space="preserve"> and </w:t>
      </w:r>
      <w:r w:rsidRPr="00613EC8">
        <w:rPr>
          <w:i/>
          <w:lang w:bidi="ar-SA"/>
        </w:rPr>
        <w:t>E. coli</w:t>
      </w:r>
      <w:r>
        <w:rPr>
          <w:lang w:bidi="ar-SA"/>
        </w:rPr>
        <w:t xml:space="preserve"> have been shown to preferentially attach to cut edges rather than to intact surfaces of lettuce </w:t>
      </w:r>
      <w:r w:rsidR="00657FDB">
        <w:rPr>
          <w:lang w:bidi="ar-SA"/>
        </w:rPr>
        <w:t>(Boyer et al. 2011; Takeuchi et al. 2000)</w:t>
      </w:r>
      <w:r>
        <w:rPr>
          <w:lang w:bidi="ar-SA"/>
        </w:rPr>
        <w:t xml:space="preserve">. In one study, </w:t>
      </w:r>
      <w:r w:rsidRPr="00613EC8">
        <w:rPr>
          <w:i/>
          <w:lang w:bidi="ar-SA"/>
        </w:rPr>
        <w:t xml:space="preserve">Salmonella </w:t>
      </w:r>
      <w:r>
        <w:rPr>
          <w:lang w:bidi="ar-SA"/>
        </w:rPr>
        <w:t xml:space="preserve">Typhimurium attached equally to cut edges and intact surfaces, and the difference in attachment for </w:t>
      </w:r>
      <w:r w:rsidRPr="00157E42">
        <w:rPr>
          <w:i/>
          <w:lang w:bidi="ar-SA"/>
        </w:rPr>
        <w:t>E. coli</w:t>
      </w:r>
      <w:r>
        <w:rPr>
          <w:lang w:bidi="ar-SA"/>
        </w:rPr>
        <w:t xml:space="preserve"> and </w:t>
      </w:r>
      <w:r w:rsidRPr="00157E42">
        <w:rPr>
          <w:i/>
          <w:lang w:bidi="ar-SA"/>
        </w:rPr>
        <w:t>L. mono</w:t>
      </w:r>
      <w:r>
        <w:rPr>
          <w:i/>
          <w:lang w:bidi="ar-SA"/>
        </w:rPr>
        <w:t>cytogenes</w:t>
      </w:r>
      <w:r>
        <w:rPr>
          <w:lang w:bidi="ar-SA"/>
        </w:rPr>
        <w:t xml:space="preserve"> was only small (0.2–0.6 Log), with approximately 5 Log CFU/g attachment reported for all three pathogens </w:t>
      </w:r>
      <w:r w:rsidR="00657FDB">
        <w:rPr>
          <w:lang w:bidi="ar-SA"/>
        </w:rPr>
        <w:t>(Takeuchi et al. 2000)</w:t>
      </w:r>
      <w:r>
        <w:rPr>
          <w:lang w:bidi="ar-SA"/>
        </w:rPr>
        <w:t xml:space="preserve">. Furthermore, </w:t>
      </w:r>
      <w:r w:rsidRPr="004F61FA">
        <w:rPr>
          <w:i/>
          <w:lang w:bidi="ar-SA"/>
        </w:rPr>
        <w:t xml:space="preserve">L. monocytogenes </w:t>
      </w:r>
      <w:r>
        <w:rPr>
          <w:lang w:bidi="ar-SA"/>
        </w:rPr>
        <w:t xml:space="preserve">has been demonstrated to attach to lettuce following 1 second of exposure to a 5 Log CFU/mL </w:t>
      </w:r>
      <w:r w:rsidR="00531D32">
        <w:rPr>
          <w:lang w:bidi="ar-SA"/>
        </w:rPr>
        <w:t>inoculum</w:t>
      </w:r>
      <w:r>
        <w:rPr>
          <w:lang w:bidi="ar-SA"/>
        </w:rPr>
        <w:t xml:space="preserve"> </w:t>
      </w:r>
      <w:r w:rsidR="00657FDB">
        <w:t>(Kyere et al. 2019)</w:t>
      </w:r>
      <w:r>
        <w:t xml:space="preserve">, and similar results are reported for </w:t>
      </w:r>
      <w:r w:rsidRPr="00157E42">
        <w:rPr>
          <w:i/>
        </w:rPr>
        <w:t>Salmonella</w:t>
      </w:r>
      <w:r>
        <w:rPr>
          <w:i/>
        </w:rPr>
        <w:t xml:space="preserve"> </w:t>
      </w:r>
      <w:r>
        <w:t xml:space="preserve">spp. </w:t>
      </w:r>
      <w:r w:rsidR="00657FDB">
        <w:t>(Patel and Sharma 2010)</w:t>
      </w:r>
      <w:r>
        <w:rPr>
          <w:lang w:bidi="ar-SA"/>
        </w:rPr>
        <w:t xml:space="preserve">. Differences in attachment have been reported to depend on the serovar of </w:t>
      </w:r>
      <w:r w:rsidRPr="00B371E9">
        <w:rPr>
          <w:i/>
          <w:lang w:bidi="ar-SA"/>
        </w:rPr>
        <w:t xml:space="preserve">Salmonella </w:t>
      </w:r>
      <w:r>
        <w:rPr>
          <w:lang w:bidi="ar-SA"/>
        </w:rPr>
        <w:t xml:space="preserve">and the cultivar of lettuce (e.g. romaine vs iceberg) </w:t>
      </w:r>
      <w:r w:rsidR="00657FDB">
        <w:rPr>
          <w:lang w:bidi="ar-SA"/>
        </w:rPr>
        <w:t>(Patel and Sharma 2010)</w:t>
      </w:r>
      <w:r>
        <w:rPr>
          <w:lang w:bidi="ar-SA"/>
        </w:rPr>
        <w:t xml:space="preserve">. The level of attachment of pathogens to lettuce leaves has also been shown to be affected by the presence of stomata, </w:t>
      </w:r>
      <w:r w:rsidRPr="00613EC8">
        <w:rPr>
          <w:lang w:bidi="ar-SA"/>
        </w:rPr>
        <w:t>cuticular waxes</w:t>
      </w:r>
      <w:r>
        <w:rPr>
          <w:lang w:bidi="ar-SA"/>
        </w:rPr>
        <w:t xml:space="preserve">, age of leaves, and surface roughness </w:t>
      </w:r>
      <w:r w:rsidR="00657FDB">
        <w:rPr>
          <w:lang w:bidi="ar-SA"/>
        </w:rPr>
        <w:t>(Brandl and Amundson 2008; Ku et al. 2020; Lima et al. 2013)</w:t>
      </w:r>
      <w:r>
        <w:rPr>
          <w:lang w:bidi="ar-SA"/>
        </w:rPr>
        <w:t>.</w:t>
      </w:r>
    </w:p>
    <w:p w14:paraId="38C1DF4F" w14:textId="77777777" w:rsidR="00625761" w:rsidRDefault="00625761" w:rsidP="00625761">
      <w:pPr>
        <w:rPr>
          <w:b/>
          <w:lang w:bidi="ar-SA"/>
        </w:rPr>
      </w:pPr>
    </w:p>
    <w:p w14:paraId="00A0A156" w14:textId="3BCA364B" w:rsidR="00625761" w:rsidRPr="000A01F3" w:rsidRDefault="00625761" w:rsidP="00625761">
      <w:pPr>
        <w:rPr>
          <w:lang w:bidi="ar-SA"/>
        </w:rPr>
      </w:pPr>
      <w:r w:rsidRPr="008B125E">
        <w:rPr>
          <w:i/>
          <w:lang w:bidi="ar-SA"/>
        </w:rPr>
        <w:t>Salmonella</w:t>
      </w:r>
      <w:r>
        <w:rPr>
          <w:i/>
          <w:lang w:bidi="ar-SA"/>
        </w:rPr>
        <w:t xml:space="preserve"> </w:t>
      </w:r>
      <w:r w:rsidRPr="00AA5717">
        <w:rPr>
          <w:lang w:bidi="ar-SA"/>
        </w:rPr>
        <w:t>s</w:t>
      </w:r>
      <w:r>
        <w:rPr>
          <w:lang w:bidi="ar-SA"/>
        </w:rPr>
        <w:t>p</w:t>
      </w:r>
      <w:r w:rsidRPr="00AA5717">
        <w:rPr>
          <w:lang w:bidi="ar-SA"/>
        </w:rPr>
        <w:t>p</w:t>
      </w:r>
      <w:r>
        <w:rPr>
          <w:i/>
          <w:lang w:bidi="ar-SA"/>
        </w:rPr>
        <w:t>.</w:t>
      </w:r>
      <w:r>
        <w:rPr>
          <w:lang w:bidi="ar-SA"/>
        </w:rPr>
        <w:t>,</w:t>
      </w:r>
      <w:r w:rsidRPr="008B125E">
        <w:rPr>
          <w:i/>
          <w:lang w:bidi="ar-SA"/>
        </w:rPr>
        <w:t xml:space="preserve"> L. monocytogenes</w:t>
      </w:r>
      <w:r>
        <w:rPr>
          <w:lang w:bidi="ar-SA"/>
        </w:rPr>
        <w:t xml:space="preserve"> and </w:t>
      </w:r>
      <w:r w:rsidRPr="008B125E">
        <w:rPr>
          <w:i/>
          <w:lang w:bidi="ar-SA"/>
        </w:rPr>
        <w:t>E. coli</w:t>
      </w:r>
      <w:r>
        <w:rPr>
          <w:lang w:bidi="ar-SA"/>
        </w:rPr>
        <w:t xml:space="preserve"> </w:t>
      </w:r>
      <w:r w:rsidRPr="000A01F3">
        <w:rPr>
          <w:lang w:bidi="ar-SA"/>
        </w:rPr>
        <w:t xml:space="preserve">have been demonstrated to attach to both cut and whole spinach leaves </w:t>
      </w:r>
      <w:r w:rsidR="00657FDB">
        <w:rPr>
          <w:lang w:bidi="ar-SA"/>
        </w:rPr>
        <w:t>(Engels et al. 2012; Ijabadeniyi et al. 2011)</w:t>
      </w:r>
      <w:r w:rsidRPr="000A01F3">
        <w:rPr>
          <w:lang w:bidi="ar-SA"/>
        </w:rPr>
        <w:t xml:space="preserve">. </w:t>
      </w:r>
      <w:r w:rsidRPr="000A01F3">
        <w:rPr>
          <w:i/>
          <w:lang w:bidi="ar-SA"/>
        </w:rPr>
        <w:t xml:space="preserve">Salmonella </w:t>
      </w:r>
      <w:r w:rsidRPr="00AA5717">
        <w:rPr>
          <w:lang w:bidi="ar-SA"/>
        </w:rPr>
        <w:t>sp</w:t>
      </w:r>
      <w:r>
        <w:rPr>
          <w:lang w:bidi="ar-SA"/>
        </w:rPr>
        <w:t>p</w:t>
      </w:r>
      <w:r w:rsidRPr="00AA5717">
        <w:rPr>
          <w:lang w:bidi="ar-SA"/>
        </w:rPr>
        <w:t>.</w:t>
      </w:r>
      <w:r>
        <w:rPr>
          <w:i/>
          <w:lang w:bidi="ar-SA"/>
        </w:rPr>
        <w:t xml:space="preserve"> </w:t>
      </w:r>
      <w:r w:rsidRPr="000A01F3">
        <w:rPr>
          <w:lang w:bidi="ar-SA"/>
        </w:rPr>
        <w:t xml:space="preserve">and </w:t>
      </w:r>
      <w:r w:rsidRPr="000A01F3">
        <w:rPr>
          <w:i/>
          <w:lang w:bidi="ar-SA"/>
        </w:rPr>
        <w:t>E. coli</w:t>
      </w:r>
      <w:r w:rsidRPr="000A01F3">
        <w:rPr>
          <w:b/>
          <w:lang w:bidi="ar-SA"/>
        </w:rPr>
        <w:t xml:space="preserve"> </w:t>
      </w:r>
      <w:r w:rsidRPr="000A01F3">
        <w:rPr>
          <w:lang w:bidi="ar-SA"/>
        </w:rPr>
        <w:t>were observed to attach on the surface of spinach, and preferentially attached to stomatal openings and cuticle cracks on the leaves</w:t>
      </w:r>
      <w:r>
        <w:rPr>
          <w:lang w:bidi="ar-SA"/>
        </w:rPr>
        <w:t xml:space="preserve"> </w:t>
      </w:r>
      <w:r w:rsidR="00657FDB">
        <w:rPr>
          <w:lang w:bidi="ar-SA"/>
        </w:rPr>
        <w:t>(Neal et al. 2012)</w:t>
      </w:r>
      <w:r w:rsidRPr="000A01F3">
        <w:rPr>
          <w:lang w:bidi="ar-SA"/>
        </w:rPr>
        <w:t>. Furthermore, both pathogens were observed in the tissue of spinach</w:t>
      </w:r>
      <w:r>
        <w:rPr>
          <w:lang w:bidi="ar-SA"/>
        </w:rPr>
        <w:t>,</w:t>
      </w:r>
      <w:r w:rsidRPr="000A01F3">
        <w:rPr>
          <w:lang w:bidi="ar-SA"/>
        </w:rPr>
        <w:t xml:space="preserve"> indicating that internalisation had occurred</w:t>
      </w:r>
      <w:r>
        <w:rPr>
          <w:lang w:bidi="ar-SA"/>
        </w:rPr>
        <w:t xml:space="preserve"> </w:t>
      </w:r>
      <w:r w:rsidR="00657FDB">
        <w:rPr>
          <w:lang w:bidi="ar-SA"/>
        </w:rPr>
        <w:t>(Neal et al. 2012)</w:t>
      </w:r>
      <w:r>
        <w:rPr>
          <w:lang w:bidi="ar-SA"/>
        </w:rPr>
        <w:t>.</w:t>
      </w:r>
      <w:r w:rsidRPr="000A01F3">
        <w:rPr>
          <w:lang w:bidi="ar-SA"/>
        </w:rPr>
        <w:t xml:space="preserve"> </w:t>
      </w:r>
      <w:r>
        <w:rPr>
          <w:lang w:bidi="ar-SA"/>
        </w:rPr>
        <w:t xml:space="preserve">Studies have identified that vein density and leaf age correlate with reduced recovery of </w:t>
      </w:r>
      <w:r w:rsidRPr="004B5040">
        <w:rPr>
          <w:i/>
          <w:lang w:bidi="ar-SA"/>
        </w:rPr>
        <w:t xml:space="preserve">E. coli </w:t>
      </w:r>
      <w:r>
        <w:rPr>
          <w:lang w:bidi="ar-SA"/>
        </w:rPr>
        <w:t xml:space="preserve">from the surface of spinach leaves </w:t>
      </w:r>
      <w:r w:rsidR="00657FDB">
        <w:rPr>
          <w:lang w:bidi="ar-SA"/>
        </w:rPr>
        <w:t>(Doan et al. 2020)</w:t>
      </w:r>
      <w:r>
        <w:rPr>
          <w:lang w:bidi="ar-SA"/>
        </w:rPr>
        <w:t>, implying surface roughness leads to increased attachment.</w:t>
      </w:r>
    </w:p>
    <w:p w14:paraId="2D5A1D3C" w14:textId="77777777" w:rsidR="00625761" w:rsidRPr="004B5040" w:rsidRDefault="00625761" w:rsidP="00625761">
      <w:pPr>
        <w:rPr>
          <w:lang w:bidi="ar-SA"/>
        </w:rPr>
      </w:pPr>
    </w:p>
    <w:p w14:paraId="75205B17" w14:textId="4F91D6B6" w:rsidR="00625761" w:rsidRDefault="00625761" w:rsidP="00625761">
      <w:pPr>
        <w:rPr>
          <w:lang w:bidi="ar-SA"/>
        </w:rPr>
      </w:pPr>
      <w:r w:rsidRPr="004B5040">
        <w:rPr>
          <w:lang w:bidi="ar-SA"/>
        </w:rPr>
        <w:t xml:space="preserve">Limited data is available regarding the attachment of </w:t>
      </w:r>
      <w:r w:rsidRPr="004B5040">
        <w:rPr>
          <w:i/>
          <w:lang w:bidi="ar-SA"/>
        </w:rPr>
        <w:t>L. monocytogenes</w:t>
      </w:r>
      <w:r w:rsidRPr="004B5040">
        <w:rPr>
          <w:lang w:bidi="ar-SA"/>
        </w:rPr>
        <w:t xml:space="preserve">, </w:t>
      </w:r>
      <w:r w:rsidRPr="004B5040">
        <w:rPr>
          <w:i/>
          <w:lang w:bidi="ar-SA"/>
        </w:rPr>
        <w:t xml:space="preserve">E. coli </w:t>
      </w:r>
      <w:r w:rsidRPr="004B5040">
        <w:rPr>
          <w:lang w:bidi="ar-SA"/>
        </w:rPr>
        <w:t xml:space="preserve">or </w:t>
      </w:r>
      <w:r w:rsidRPr="004B5040">
        <w:rPr>
          <w:i/>
          <w:lang w:bidi="ar-SA"/>
        </w:rPr>
        <w:t>Salmonella</w:t>
      </w:r>
      <w:r>
        <w:rPr>
          <w:i/>
          <w:lang w:bidi="ar-SA"/>
        </w:rPr>
        <w:t xml:space="preserve"> </w:t>
      </w:r>
      <w:r w:rsidRPr="00AA5717">
        <w:rPr>
          <w:lang w:bidi="ar-SA"/>
        </w:rPr>
        <w:t>s</w:t>
      </w:r>
      <w:r>
        <w:rPr>
          <w:lang w:bidi="ar-SA"/>
        </w:rPr>
        <w:t>p</w:t>
      </w:r>
      <w:r w:rsidRPr="00AA5717">
        <w:rPr>
          <w:lang w:bidi="ar-SA"/>
        </w:rPr>
        <w:t>p</w:t>
      </w:r>
      <w:r>
        <w:rPr>
          <w:i/>
          <w:lang w:bidi="ar-SA"/>
        </w:rPr>
        <w:t>.</w:t>
      </w:r>
      <w:r w:rsidRPr="004B5040">
        <w:rPr>
          <w:i/>
          <w:lang w:bidi="ar-SA"/>
        </w:rPr>
        <w:t xml:space="preserve"> </w:t>
      </w:r>
      <w:r w:rsidRPr="004B5040">
        <w:rPr>
          <w:lang w:bidi="ar-SA"/>
        </w:rPr>
        <w:t xml:space="preserve">to parsley. However, all pathogens have been demonstrated to attach to both cut and whole parsley leaves </w:t>
      </w:r>
      <w:r w:rsidR="00657FDB">
        <w:rPr>
          <w:lang w:bidi="ar-SA"/>
        </w:rPr>
        <w:t>(Duffy et al. 2005b; Khalil and Frank 2010; Lang et al. 2004)</w:t>
      </w:r>
      <w:r w:rsidRPr="004B5040">
        <w:rPr>
          <w:lang w:bidi="ar-SA"/>
        </w:rPr>
        <w:t>.</w:t>
      </w:r>
    </w:p>
    <w:p w14:paraId="755373F5" w14:textId="77777777" w:rsidR="00625761" w:rsidRDefault="00625761" w:rsidP="00625761">
      <w:pPr>
        <w:rPr>
          <w:lang w:bidi="ar-SA"/>
        </w:rPr>
      </w:pPr>
    </w:p>
    <w:p w14:paraId="1D946422" w14:textId="77777777" w:rsidR="00625761" w:rsidRDefault="00625761" w:rsidP="00625761">
      <w:pPr>
        <w:rPr>
          <w:lang w:bidi="ar-SA"/>
        </w:rPr>
      </w:pPr>
      <w:r>
        <w:rPr>
          <w:lang w:bidi="ar-SA"/>
        </w:rPr>
        <w:t>The growth potential of bacterial pathogens on the edible portion of leafy greens can differ between intact surfaces, damaged surfaces, and extracts. While damaged leaves can provide access to moisture and nutrients for growth, leaves can also contain antimicrobial substances that can reduce or prevent growth. Moreover, each commodity has a carrying capacity for microorganisms that varies due to factors such as background microbiota and surface characteristics.</w:t>
      </w:r>
    </w:p>
    <w:p w14:paraId="60D23601" w14:textId="77777777" w:rsidR="00625761" w:rsidRDefault="00625761" w:rsidP="00625761">
      <w:pPr>
        <w:rPr>
          <w:lang w:bidi="ar-SA"/>
        </w:rPr>
      </w:pPr>
    </w:p>
    <w:p w14:paraId="7B6EB367" w14:textId="536B8FC4" w:rsidR="00625761" w:rsidRDefault="00625761" w:rsidP="00625761">
      <w:pPr>
        <w:rPr>
          <w:lang w:bidi="ar-SA"/>
        </w:rPr>
      </w:pPr>
      <w:r>
        <w:rPr>
          <w:lang w:bidi="ar-SA"/>
        </w:rPr>
        <w:t xml:space="preserve">The growth potential of pathogens on damaged leaves and in extracts of lettuce, spinach and parsley has been reported in several studies. </w:t>
      </w:r>
      <w:r w:rsidRPr="00062774">
        <w:rPr>
          <w:i/>
          <w:lang w:bidi="ar-SA"/>
        </w:rPr>
        <w:t xml:space="preserve">E. coli </w:t>
      </w:r>
      <w:r>
        <w:rPr>
          <w:lang w:bidi="ar-SA"/>
        </w:rPr>
        <w:t>O157:H7 was unable to grow on damaged parsley or baby romaine lettuce during storage at 8</w:t>
      </w:r>
      <w:r>
        <w:rPr>
          <w:rFonts w:cs="Arial"/>
          <w:lang w:bidi="ar-SA"/>
        </w:rPr>
        <w:t>°</w:t>
      </w:r>
      <w:r>
        <w:rPr>
          <w:lang w:bidi="ar-SA"/>
        </w:rPr>
        <w:t xml:space="preserve">C for 3 days, but was able to grow by 1.2 Log CFU/leaf on damaged spinach under the same conditions </w:t>
      </w:r>
      <w:r w:rsidR="00657FDB">
        <w:rPr>
          <w:lang w:bidi="ar-SA"/>
        </w:rPr>
        <w:t>(Khalil and Frank 2010)</w:t>
      </w:r>
      <w:r>
        <w:rPr>
          <w:lang w:bidi="ar-SA"/>
        </w:rPr>
        <w:t>. In that study, growth was observed on damaged parsley and spinach (</w:t>
      </w:r>
      <w:r>
        <w:rPr>
          <w:rFonts w:cs="Arial"/>
          <w:lang w:bidi="ar-SA"/>
        </w:rPr>
        <w:t>~</w:t>
      </w:r>
      <w:r>
        <w:rPr>
          <w:lang w:bidi="ar-SA"/>
        </w:rPr>
        <w:t>2 Log/leaf) held at 12</w:t>
      </w:r>
      <w:r>
        <w:rPr>
          <w:rFonts w:cs="Arial"/>
          <w:lang w:bidi="ar-SA"/>
        </w:rPr>
        <w:t>°</w:t>
      </w:r>
      <w:r>
        <w:rPr>
          <w:lang w:bidi="ar-SA"/>
        </w:rPr>
        <w:t xml:space="preserve">C for 3 days but, again, not on damaged lettuce. However, extracts of the same commodities all supported the growth of </w:t>
      </w:r>
      <w:r w:rsidRPr="00062774">
        <w:rPr>
          <w:i/>
          <w:lang w:bidi="ar-SA"/>
        </w:rPr>
        <w:t xml:space="preserve">E. coli </w:t>
      </w:r>
      <w:r>
        <w:rPr>
          <w:lang w:bidi="ar-SA"/>
        </w:rPr>
        <w:t>O157:H7 at 12</w:t>
      </w:r>
      <w:r>
        <w:rPr>
          <w:rFonts w:cs="Arial"/>
          <w:lang w:bidi="ar-SA"/>
        </w:rPr>
        <w:t>°</w:t>
      </w:r>
      <w:r>
        <w:rPr>
          <w:lang w:bidi="ar-SA"/>
        </w:rPr>
        <w:t xml:space="preserve">C for 12h. The authors concluded that leaf extracts are a poor model to simulate growth on damaged tissues. They speculated that the higher growth on damaged spinach leaves—compared to romaine lettuce leaves—may be due to the </w:t>
      </w:r>
      <w:r w:rsidRPr="00CC60B6">
        <w:rPr>
          <w:lang w:bidi="ar-SA"/>
        </w:rPr>
        <w:t>higher</w:t>
      </w:r>
      <w:r>
        <w:rPr>
          <w:lang w:bidi="ar-SA"/>
        </w:rPr>
        <w:t xml:space="preserve"> antioxidant activity in spinach reducing </w:t>
      </w:r>
      <w:r w:rsidRPr="00CC60B6">
        <w:rPr>
          <w:lang w:bidi="ar-SA"/>
        </w:rPr>
        <w:t>tissue oxidation</w:t>
      </w:r>
      <w:r>
        <w:rPr>
          <w:lang w:bidi="ar-SA"/>
        </w:rPr>
        <w:t xml:space="preserve"> and stimulating growth </w:t>
      </w:r>
      <w:r w:rsidR="00657FDB">
        <w:rPr>
          <w:lang w:bidi="ar-SA"/>
        </w:rPr>
        <w:t>(Khalil and Frank 2010)</w:t>
      </w:r>
      <w:r>
        <w:rPr>
          <w:lang w:bidi="ar-SA"/>
        </w:rPr>
        <w:t xml:space="preserve">. In another study, </w:t>
      </w:r>
      <w:r w:rsidRPr="00E323D5">
        <w:rPr>
          <w:i/>
          <w:lang w:bidi="ar-SA"/>
        </w:rPr>
        <w:t>Salmonella</w:t>
      </w:r>
      <w:r>
        <w:rPr>
          <w:lang w:bidi="ar-SA"/>
        </w:rPr>
        <w:t xml:space="preserve"> spp. and </w:t>
      </w:r>
      <w:r w:rsidRPr="00E323D5">
        <w:rPr>
          <w:i/>
          <w:lang w:bidi="ar-SA"/>
        </w:rPr>
        <w:t>E.</w:t>
      </w:r>
      <w:r>
        <w:rPr>
          <w:i/>
          <w:lang w:bidi="ar-SA"/>
        </w:rPr>
        <w:t> </w:t>
      </w:r>
      <w:r w:rsidRPr="00E323D5">
        <w:rPr>
          <w:i/>
          <w:lang w:bidi="ar-SA"/>
        </w:rPr>
        <w:t>coli</w:t>
      </w:r>
      <w:r>
        <w:rPr>
          <w:lang w:bidi="ar-SA"/>
        </w:rPr>
        <w:t xml:space="preserve"> were inoculated into extracts of spinach, parsley and iceberg lettuce and held at 8, 10, 16 and 20</w:t>
      </w:r>
      <w:r>
        <w:rPr>
          <w:rFonts w:cs="Arial"/>
          <w:lang w:bidi="ar-SA"/>
        </w:rPr>
        <w:t>°</w:t>
      </w:r>
      <w:r>
        <w:rPr>
          <w:lang w:bidi="ar-SA"/>
        </w:rPr>
        <w:t xml:space="preserve">C. </w:t>
      </w:r>
      <w:r w:rsidRPr="001A78BE">
        <w:rPr>
          <w:i/>
          <w:lang w:bidi="ar-SA"/>
        </w:rPr>
        <w:t>Salmonella</w:t>
      </w:r>
      <w:r>
        <w:rPr>
          <w:lang w:bidi="ar-SA"/>
        </w:rPr>
        <w:t xml:space="preserve"> and </w:t>
      </w:r>
      <w:r w:rsidRPr="004D4571">
        <w:rPr>
          <w:i/>
          <w:lang w:bidi="ar-SA"/>
        </w:rPr>
        <w:t>E. coli</w:t>
      </w:r>
      <w:r>
        <w:rPr>
          <w:lang w:bidi="ar-SA"/>
        </w:rPr>
        <w:t xml:space="preserve"> were able to grow in all extracts. However, growth was dependent on the temperature, pathogen, and type of produce </w:t>
      </w:r>
      <w:r w:rsidR="00657FDB">
        <w:rPr>
          <w:lang w:bidi="ar-SA"/>
        </w:rPr>
        <w:t>(Posada-Izquierdo et al. 2016)</w:t>
      </w:r>
      <w:r>
        <w:rPr>
          <w:lang w:bidi="ar-SA"/>
        </w:rPr>
        <w:t xml:space="preserve">. The authors identified that spinach was more conducive to bacterial growth than parsley and lettuce, and speculated the difference was due to the different composition of the leaf tissues and the presence of natural antimicrobials. The potential for growth of </w:t>
      </w:r>
      <w:r w:rsidRPr="00B55469">
        <w:rPr>
          <w:i/>
          <w:lang w:bidi="ar-SA"/>
        </w:rPr>
        <w:t>L.</w:t>
      </w:r>
      <w:r>
        <w:rPr>
          <w:i/>
          <w:lang w:bidi="ar-SA"/>
        </w:rPr>
        <w:t> </w:t>
      </w:r>
      <w:r w:rsidRPr="00B55469">
        <w:rPr>
          <w:i/>
          <w:lang w:bidi="ar-SA"/>
        </w:rPr>
        <w:t>monocytogenes</w:t>
      </w:r>
      <w:r>
        <w:rPr>
          <w:lang w:bidi="ar-SA"/>
        </w:rPr>
        <w:t xml:space="preserve"> on damaged leaves or extracts of the in-scope commodities is poorly documented in the literature.</w:t>
      </w:r>
    </w:p>
    <w:p w14:paraId="5F1E36D5" w14:textId="4F07A9B2" w:rsidR="00625761" w:rsidRDefault="00625761" w:rsidP="00625761">
      <w:pPr>
        <w:rPr>
          <w:lang w:bidi="ar-SA"/>
        </w:rPr>
      </w:pPr>
      <w:r>
        <w:rPr>
          <w:lang w:bidi="ar-SA"/>
        </w:rPr>
        <w:t xml:space="preserve">The potential for growth on intact surfaces of fresh produce was recently reviewed for </w:t>
      </w:r>
      <w:r w:rsidRPr="004D4571">
        <w:rPr>
          <w:i/>
          <w:lang w:bidi="ar-SA"/>
        </w:rPr>
        <w:t>L.</w:t>
      </w:r>
      <w:r>
        <w:rPr>
          <w:i/>
          <w:lang w:bidi="ar-SA"/>
        </w:rPr>
        <w:t> </w:t>
      </w:r>
      <w:r w:rsidRPr="004D4571">
        <w:rPr>
          <w:i/>
          <w:lang w:bidi="ar-SA"/>
        </w:rPr>
        <w:t>monocytogenes</w:t>
      </w:r>
      <w:r>
        <w:rPr>
          <w:lang w:bidi="ar-SA"/>
        </w:rPr>
        <w:t xml:space="preserve"> </w:t>
      </w:r>
      <w:r w:rsidR="00657FDB">
        <w:rPr>
          <w:lang w:bidi="ar-SA"/>
        </w:rPr>
        <w:t>(Marik et al. 2019)</w:t>
      </w:r>
      <w:r>
        <w:rPr>
          <w:lang w:bidi="ar-SA"/>
        </w:rPr>
        <w:t>. Whilst growth was reported on the surface of intact spinach at temperatures of 4-20</w:t>
      </w:r>
      <w:r>
        <w:rPr>
          <w:rFonts w:cs="Arial"/>
          <w:lang w:bidi="ar-SA"/>
        </w:rPr>
        <w:t>°</w:t>
      </w:r>
      <w:r>
        <w:rPr>
          <w:lang w:bidi="ar-SA"/>
        </w:rPr>
        <w:t xml:space="preserve">C in two studies </w:t>
      </w:r>
      <w:r w:rsidR="00657FDB">
        <w:rPr>
          <w:lang w:bidi="ar-SA"/>
        </w:rPr>
        <w:t>(Omac et al. 2015; Omac et al. 2018)</w:t>
      </w:r>
      <w:r>
        <w:rPr>
          <w:lang w:bidi="ar-SA"/>
        </w:rPr>
        <w:t xml:space="preserve">, Likotrafiti et al. </w:t>
      </w:r>
      <w:r w:rsidR="00657FDB">
        <w:rPr>
          <w:lang w:bidi="ar-SA"/>
        </w:rPr>
        <w:t>(2013)</w:t>
      </w:r>
      <w:r>
        <w:rPr>
          <w:lang w:bidi="ar-SA"/>
        </w:rPr>
        <w:t xml:space="preserve"> reported no growth on intact lettuce at 10, 20, or 30</w:t>
      </w:r>
      <w:r>
        <w:rPr>
          <w:rFonts w:cs="Arial"/>
          <w:lang w:bidi="ar-SA"/>
        </w:rPr>
        <w:t>°</w:t>
      </w:r>
      <w:r>
        <w:rPr>
          <w:lang w:bidi="ar-SA"/>
        </w:rPr>
        <w:t>C), which contrasts with the reported growth on shredded or cut lettuce at these temperatures reported below</w:t>
      </w:r>
      <w:r w:rsidRPr="008B7EC0">
        <w:rPr>
          <w:lang w:bidi="ar-SA"/>
        </w:rPr>
        <w:t>.</w:t>
      </w:r>
      <w:r>
        <w:rPr>
          <w:lang w:bidi="ar-SA"/>
        </w:rPr>
        <w:t xml:space="preserve"> However, growth of </w:t>
      </w:r>
      <w:r w:rsidRPr="00734CFE">
        <w:rPr>
          <w:i/>
          <w:lang w:bidi="ar-SA"/>
        </w:rPr>
        <w:t xml:space="preserve">Salmonella </w:t>
      </w:r>
      <w:r>
        <w:rPr>
          <w:lang w:bidi="ar-SA"/>
        </w:rPr>
        <w:t xml:space="preserve">spp. and </w:t>
      </w:r>
      <w:r w:rsidRPr="00734CFE">
        <w:rPr>
          <w:i/>
          <w:lang w:bidi="ar-SA"/>
        </w:rPr>
        <w:t xml:space="preserve">E. coli </w:t>
      </w:r>
      <w:r>
        <w:rPr>
          <w:lang w:bidi="ar-SA"/>
        </w:rPr>
        <w:t xml:space="preserve">has been reported on intact lettuce leaves when exposed to warmer temperatures and available water on the surface of leaves </w:t>
      </w:r>
      <w:r w:rsidR="00657FDB">
        <w:rPr>
          <w:lang w:bidi="ar-SA"/>
        </w:rPr>
        <w:t>(Brandl and Amundson 2008)</w:t>
      </w:r>
      <w:r>
        <w:rPr>
          <w:lang w:bidi="ar-SA"/>
        </w:rPr>
        <w:t xml:space="preserve">. </w:t>
      </w:r>
      <w:r w:rsidRPr="00C61E2D">
        <w:rPr>
          <w:i/>
          <w:lang w:bidi="ar-SA"/>
        </w:rPr>
        <w:t>L. monocytogenes</w:t>
      </w:r>
      <w:r>
        <w:rPr>
          <w:lang w:bidi="ar-SA"/>
        </w:rPr>
        <w:t xml:space="preserve"> was not observed to grow on intact parsley at 10, 20, or 30</w:t>
      </w:r>
      <w:r>
        <w:rPr>
          <w:rFonts w:cs="Arial"/>
          <w:lang w:bidi="ar-SA"/>
        </w:rPr>
        <w:t>°</w:t>
      </w:r>
      <w:r>
        <w:rPr>
          <w:lang w:bidi="ar-SA"/>
        </w:rPr>
        <w:t xml:space="preserve">C over 5 days </w:t>
      </w:r>
      <w:r w:rsidR="00657FDB">
        <w:rPr>
          <w:lang w:bidi="ar-SA"/>
        </w:rPr>
        <w:t>(Likotrafiti et al. 2013)</w:t>
      </w:r>
      <w:r>
        <w:rPr>
          <w:lang w:bidi="ar-SA"/>
        </w:rPr>
        <w:t xml:space="preserve">. However, the initial concentration on the parsley was approximately 5.5 Log CFU/g, and this may have exceeded the carrying capacity of the leaves because the high level of </w:t>
      </w:r>
      <w:r w:rsidRPr="00015F5D">
        <w:rPr>
          <w:i/>
          <w:lang w:bidi="ar-SA"/>
        </w:rPr>
        <w:t>L. monocytogenes</w:t>
      </w:r>
      <w:r>
        <w:rPr>
          <w:lang w:bidi="ar-SA"/>
        </w:rPr>
        <w:t xml:space="preserve"> and the presence of other microorganisms may have limited the available nutrients </w:t>
      </w:r>
      <w:r w:rsidRPr="00015F5D">
        <w:rPr>
          <w:i/>
          <w:lang w:bidi="ar-SA"/>
        </w:rPr>
        <w:t>L. monocytogenes</w:t>
      </w:r>
      <w:r>
        <w:rPr>
          <w:lang w:bidi="ar-SA"/>
        </w:rPr>
        <w:t xml:space="preserve"> required for growth </w:t>
      </w:r>
      <w:r w:rsidR="00657FDB">
        <w:rPr>
          <w:lang w:bidi="ar-SA"/>
        </w:rPr>
        <w:t>(Likotrafiti et al. 2013)</w:t>
      </w:r>
      <w:r>
        <w:rPr>
          <w:lang w:bidi="ar-SA"/>
        </w:rPr>
        <w:t>.</w:t>
      </w:r>
    </w:p>
    <w:p w14:paraId="252A7BDF" w14:textId="77777777" w:rsidR="00625761" w:rsidRDefault="00625761" w:rsidP="00625761">
      <w:pPr>
        <w:rPr>
          <w:lang w:bidi="ar-SA"/>
        </w:rPr>
      </w:pPr>
    </w:p>
    <w:p w14:paraId="69DEE277" w14:textId="279542BE" w:rsidR="00625761" w:rsidRDefault="00625761" w:rsidP="00625761">
      <w:pPr>
        <w:rPr>
          <w:lang w:bidi="ar-SA"/>
        </w:rPr>
      </w:pPr>
      <w:r>
        <w:rPr>
          <w:lang w:bidi="ar-SA"/>
        </w:rPr>
        <w:t xml:space="preserve">The growth of </w:t>
      </w:r>
      <w:r w:rsidRPr="00935666">
        <w:rPr>
          <w:i/>
          <w:lang w:bidi="ar-SA"/>
        </w:rPr>
        <w:t>Salmonella</w:t>
      </w:r>
      <w:r>
        <w:rPr>
          <w:i/>
          <w:lang w:bidi="ar-SA"/>
        </w:rPr>
        <w:t xml:space="preserve"> </w:t>
      </w:r>
      <w:r>
        <w:rPr>
          <w:lang w:bidi="ar-SA"/>
        </w:rPr>
        <w:t xml:space="preserve">spp., </w:t>
      </w:r>
      <w:r w:rsidRPr="00497500">
        <w:rPr>
          <w:i/>
          <w:lang w:bidi="ar-SA"/>
        </w:rPr>
        <w:t>E. coli</w:t>
      </w:r>
      <w:r>
        <w:rPr>
          <w:lang w:bidi="ar-SA"/>
        </w:rPr>
        <w:t xml:space="preserve">, and </w:t>
      </w:r>
      <w:r w:rsidRPr="00497500">
        <w:rPr>
          <w:i/>
          <w:lang w:bidi="ar-SA"/>
        </w:rPr>
        <w:t>L. monocytogenes</w:t>
      </w:r>
      <w:r>
        <w:rPr>
          <w:lang w:bidi="ar-SA"/>
        </w:rPr>
        <w:t xml:space="preserve"> has been described for cut lettuce </w:t>
      </w:r>
      <w:r w:rsidR="00657FDB">
        <w:rPr>
          <w:lang w:bidi="ar-SA"/>
        </w:rPr>
        <w:t>(Koseki and Isobe 2005a, 2005b; Oliveira Elias et al. 2018)</w:t>
      </w:r>
      <w:r>
        <w:rPr>
          <w:lang w:bidi="ar-SA"/>
        </w:rPr>
        <w:t xml:space="preserve">, and for whole baby spinach leaves </w:t>
      </w:r>
      <w:r w:rsidR="00657FDB">
        <w:rPr>
          <w:lang w:bidi="ar-SA"/>
        </w:rPr>
        <w:t>(Omac et al. 2015; Omac et al. 2018; Puerta-Gomez et al. 2013)</w:t>
      </w:r>
      <w:r>
        <w:rPr>
          <w:lang w:bidi="ar-SA"/>
        </w:rPr>
        <w:t xml:space="preserve">. Furthermore, isothermal and non-isothermal growth models have been developed for the three pathogens on leafy vegetables, incorporating data for a variety of leafy greens </w:t>
      </w:r>
      <w:r w:rsidR="00657FDB">
        <w:rPr>
          <w:lang w:bidi="ar-SA"/>
        </w:rPr>
        <w:t>(McKellar and Delaquis 2011; Mishra et al. 2017b)</w:t>
      </w:r>
      <w:r>
        <w:rPr>
          <w:lang w:bidi="ar-SA"/>
        </w:rPr>
        <w:t>. However, comparing models is difficult due to differences in the types of produce, pathogen strains, treatment of produce (e.g. cut or uncut), level of background microflora, and methods of inoculation.</w:t>
      </w:r>
    </w:p>
    <w:p w14:paraId="26A2E1DF" w14:textId="77777777" w:rsidR="00625761" w:rsidRDefault="00625761" w:rsidP="00625761">
      <w:pPr>
        <w:rPr>
          <w:lang w:bidi="ar-SA"/>
        </w:rPr>
      </w:pPr>
    </w:p>
    <w:p w14:paraId="51BFFE67" w14:textId="5748B46F" w:rsidR="00625761" w:rsidRDefault="00625761" w:rsidP="00625761">
      <w:pPr>
        <w:rPr>
          <w:lang w:bidi="ar-SA"/>
        </w:rPr>
      </w:pPr>
      <w:r>
        <w:rPr>
          <w:lang w:bidi="ar-SA"/>
        </w:rPr>
        <w:t xml:space="preserve">While the growth of </w:t>
      </w:r>
      <w:r w:rsidRPr="005526FB">
        <w:rPr>
          <w:i/>
          <w:lang w:bidi="ar-SA"/>
        </w:rPr>
        <w:t>Salmonella</w:t>
      </w:r>
      <w:r>
        <w:rPr>
          <w:lang w:bidi="ar-SA"/>
        </w:rPr>
        <w:t xml:space="preserve"> spp. and </w:t>
      </w:r>
      <w:r w:rsidRPr="005526FB">
        <w:rPr>
          <w:i/>
          <w:lang w:bidi="ar-SA"/>
        </w:rPr>
        <w:t>E. coli</w:t>
      </w:r>
      <w:r>
        <w:rPr>
          <w:lang w:bidi="ar-SA"/>
        </w:rPr>
        <w:t xml:space="preserve"> are controlled at &lt; 5</w:t>
      </w:r>
      <w:r>
        <w:rPr>
          <w:rFonts w:cs="Arial"/>
          <w:lang w:bidi="ar-SA"/>
        </w:rPr>
        <w:t>°</w:t>
      </w:r>
      <w:r>
        <w:rPr>
          <w:lang w:bidi="ar-SA"/>
        </w:rPr>
        <w:t xml:space="preserve">C, </w:t>
      </w:r>
      <w:r w:rsidRPr="005526FB">
        <w:rPr>
          <w:i/>
          <w:lang w:bidi="ar-SA"/>
        </w:rPr>
        <w:t xml:space="preserve">L. monocytogenes </w:t>
      </w:r>
      <w:r>
        <w:rPr>
          <w:lang w:bidi="ar-SA"/>
        </w:rPr>
        <w:t>is able to grow at refrigeration temperatures. A growth rate of 0.021 Log CFU/h and a lag time of 60.1 hours has been estimated in cut lettuce at 5</w:t>
      </w:r>
      <w:r>
        <w:rPr>
          <w:rFonts w:cs="Arial"/>
          <w:lang w:bidi="ar-SA"/>
        </w:rPr>
        <w:t>°</w:t>
      </w:r>
      <w:r>
        <w:rPr>
          <w:lang w:bidi="ar-SA"/>
        </w:rPr>
        <w:t xml:space="preserve">C </w:t>
      </w:r>
      <w:r w:rsidR="00657FDB">
        <w:rPr>
          <w:lang w:bidi="ar-SA"/>
        </w:rPr>
        <w:t>(Koseki and Isobe 2005a)</w:t>
      </w:r>
      <w:r>
        <w:rPr>
          <w:lang w:bidi="ar-SA"/>
        </w:rPr>
        <w:t xml:space="preserve">. However, at this temperature, reduced maximum population densities have been reported compared to growth at higher temperatures </w:t>
      </w:r>
      <w:r w:rsidR="00657FDB">
        <w:rPr>
          <w:lang w:bidi="ar-SA"/>
        </w:rPr>
        <w:t>(Koseki and Isobe 2005a)</w:t>
      </w:r>
      <w:r>
        <w:rPr>
          <w:lang w:bidi="ar-SA"/>
        </w:rPr>
        <w:t>. At 10</w:t>
      </w:r>
      <w:r>
        <w:rPr>
          <w:rFonts w:cs="Arial"/>
          <w:lang w:bidi="ar-SA"/>
        </w:rPr>
        <w:t>°</w:t>
      </w:r>
      <w:r>
        <w:rPr>
          <w:lang w:bidi="ar-SA"/>
        </w:rPr>
        <w:t xml:space="preserve">C, growth rates and lag times have been estimated in cut lettuce for </w:t>
      </w:r>
      <w:r w:rsidRPr="00187ABB">
        <w:rPr>
          <w:i/>
          <w:lang w:bidi="ar-SA"/>
        </w:rPr>
        <w:t>L. monocytogenes</w:t>
      </w:r>
      <w:r>
        <w:rPr>
          <w:i/>
          <w:lang w:bidi="ar-SA"/>
        </w:rPr>
        <w:t xml:space="preserve"> </w:t>
      </w:r>
      <w:r>
        <w:rPr>
          <w:lang w:bidi="ar-SA"/>
        </w:rPr>
        <w:t xml:space="preserve">(0.05 Log CFU/h, 45.6h) </w:t>
      </w:r>
      <w:r w:rsidR="00657FDB">
        <w:rPr>
          <w:lang w:bidi="ar-SA"/>
        </w:rPr>
        <w:t>(Koseki and Isobe 2005a)</w:t>
      </w:r>
      <w:r>
        <w:rPr>
          <w:lang w:bidi="ar-SA"/>
        </w:rPr>
        <w:t xml:space="preserve">, </w:t>
      </w:r>
      <w:r w:rsidRPr="00641953">
        <w:rPr>
          <w:i/>
          <w:lang w:bidi="ar-SA"/>
        </w:rPr>
        <w:t>Salmonella</w:t>
      </w:r>
      <w:r>
        <w:rPr>
          <w:lang w:bidi="ar-SA"/>
        </w:rPr>
        <w:t xml:space="preserve"> (0.05 Log CFU/h, 24.6h) and </w:t>
      </w:r>
      <w:r w:rsidRPr="00641953">
        <w:rPr>
          <w:i/>
          <w:lang w:bidi="ar-SA"/>
        </w:rPr>
        <w:t>E. coli</w:t>
      </w:r>
      <w:r>
        <w:rPr>
          <w:lang w:bidi="ar-SA"/>
        </w:rPr>
        <w:t xml:space="preserve"> (0.02 Log CFU/h, 2.1h) </w:t>
      </w:r>
      <w:r w:rsidR="00657FDB">
        <w:rPr>
          <w:lang w:bidi="ar-SA"/>
        </w:rPr>
        <w:t>(Oliveira Elias et al. 2018)</w:t>
      </w:r>
      <w:r>
        <w:rPr>
          <w:lang w:bidi="ar-SA"/>
        </w:rPr>
        <w:t>. At 25</w:t>
      </w:r>
      <w:r>
        <w:rPr>
          <w:rFonts w:cs="Arial"/>
          <w:lang w:bidi="ar-SA"/>
        </w:rPr>
        <w:t>°</w:t>
      </w:r>
      <w:r>
        <w:rPr>
          <w:lang w:bidi="ar-SA"/>
        </w:rPr>
        <w:t>C, the predicted time for a 3 Log increase on cut lettuce was less than 20h for all pathogens.</w:t>
      </w:r>
    </w:p>
    <w:p w14:paraId="4D8F9FD1" w14:textId="77777777" w:rsidR="00625761" w:rsidRDefault="00625761" w:rsidP="00625761">
      <w:pPr>
        <w:rPr>
          <w:lang w:bidi="ar-SA"/>
        </w:rPr>
      </w:pPr>
    </w:p>
    <w:p w14:paraId="19F2EC12" w14:textId="4CC3835A" w:rsidR="00625761" w:rsidRDefault="00625761" w:rsidP="00625761">
      <w:pPr>
        <w:rPr>
          <w:lang w:bidi="ar-SA"/>
        </w:rPr>
      </w:pPr>
      <w:r>
        <w:rPr>
          <w:lang w:bidi="ar-SA"/>
        </w:rPr>
        <w:t>Growth rates and lag times have been estimated at 10</w:t>
      </w:r>
      <w:r>
        <w:rPr>
          <w:rFonts w:cs="Arial"/>
          <w:lang w:bidi="ar-SA"/>
        </w:rPr>
        <w:t>°</w:t>
      </w:r>
      <w:r>
        <w:rPr>
          <w:lang w:bidi="ar-SA"/>
        </w:rPr>
        <w:t xml:space="preserve">C on spinach for </w:t>
      </w:r>
      <w:r w:rsidRPr="00187ABB">
        <w:rPr>
          <w:i/>
          <w:lang w:bidi="ar-SA"/>
        </w:rPr>
        <w:t>L. monocytogenes</w:t>
      </w:r>
      <w:r>
        <w:rPr>
          <w:i/>
          <w:lang w:bidi="ar-SA"/>
        </w:rPr>
        <w:t xml:space="preserve"> </w:t>
      </w:r>
      <w:r>
        <w:rPr>
          <w:lang w:bidi="ar-SA"/>
        </w:rPr>
        <w:t xml:space="preserve">(0.05 Log CFU/h, 45h; </w:t>
      </w:r>
      <w:r w:rsidR="00657FDB">
        <w:rPr>
          <w:lang w:bidi="ar-SA"/>
        </w:rPr>
        <w:t>(Omac et al. 2015)</w:t>
      </w:r>
      <w:r>
        <w:rPr>
          <w:lang w:bidi="ar-SA"/>
        </w:rPr>
        <w:t xml:space="preserve">, which is similar to its growth on lettuce. However, in another study, no lag time was reported for </w:t>
      </w:r>
      <w:r w:rsidRPr="008C3F84">
        <w:rPr>
          <w:i/>
          <w:lang w:bidi="ar-SA"/>
        </w:rPr>
        <w:t>Salmonella</w:t>
      </w:r>
      <w:r>
        <w:rPr>
          <w:lang w:bidi="ar-SA"/>
        </w:rPr>
        <w:t xml:space="preserve"> and</w:t>
      </w:r>
      <w:r w:rsidRPr="008C3F84">
        <w:rPr>
          <w:i/>
          <w:lang w:bidi="ar-SA"/>
        </w:rPr>
        <w:t xml:space="preserve"> E. coli</w:t>
      </w:r>
      <w:r>
        <w:rPr>
          <w:lang w:bidi="ar-SA"/>
        </w:rPr>
        <w:t>, which both grew at 0.01 Log CFU/h in spinach stored at 10</w:t>
      </w:r>
      <w:r>
        <w:rPr>
          <w:rFonts w:cs="Arial"/>
          <w:lang w:bidi="ar-SA"/>
        </w:rPr>
        <w:t>°</w:t>
      </w:r>
      <w:r>
        <w:rPr>
          <w:lang w:bidi="ar-SA"/>
        </w:rPr>
        <w:t xml:space="preserve">C </w:t>
      </w:r>
      <w:r w:rsidR="00657FDB">
        <w:rPr>
          <w:lang w:bidi="ar-SA"/>
        </w:rPr>
        <w:t>(Puerta-Gomez et al. 2013)</w:t>
      </w:r>
      <w:r>
        <w:rPr>
          <w:lang w:bidi="ar-SA"/>
        </w:rPr>
        <w:t>. At 30</w:t>
      </w:r>
      <w:r>
        <w:rPr>
          <w:rFonts w:cs="Arial"/>
          <w:lang w:bidi="ar-SA"/>
        </w:rPr>
        <w:t>°</w:t>
      </w:r>
      <w:r>
        <w:rPr>
          <w:lang w:bidi="ar-SA"/>
        </w:rPr>
        <w:t>C, the predicted time for a 3 Log increase on spinach was less than 7h for all pathogens.</w:t>
      </w:r>
    </w:p>
    <w:p w14:paraId="17572B89" w14:textId="77777777" w:rsidR="00625761" w:rsidRDefault="00625761" w:rsidP="00625761">
      <w:pPr>
        <w:rPr>
          <w:lang w:bidi="ar-SA"/>
        </w:rPr>
      </w:pPr>
    </w:p>
    <w:p w14:paraId="062DD4B4" w14:textId="63A70010" w:rsidR="00625761" w:rsidRDefault="00625761" w:rsidP="00625761">
      <w:pPr>
        <w:rPr>
          <w:lang w:bidi="ar-SA"/>
        </w:rPr>
      </w:pPr>
      <w:r w:rsidRPr="001230D5">
        <w:rPr>
          <w:i/>
          <w:lang w:bidi="ar-SA"/>
        </w:rPr>
        <w:t>Salmonella</w:t>
      </w:r>
      <w:r>
        <w:rPr>
          <w:lang w:bidi="ar-SA"/>
        </w:rPr>
        <w:t xml:space="preserve"> spp. have been demonstrated to increase by 2-3 Log within 7 days of storage at 25</w:t>
      </w:r>
      <w:r>
        <w:rPr>
          <w:rFonts w:cs="Arial"/>
          <w:lang w:bidi="ar-SA"/>
        </w:rPr>
        <w:t>°</w:t>
      </w:r>
      <w:r>
        <w:rPr>
          <w:lang w:bidi="ar-SA"/>
        </w:rPr>
        <w:t>C, and decrease when stored at 5</w:t>
      </w:r>
      <w:r>
        <w:rPr>
          <w:rFonts w:cs="Arial"/>
          <w:lang w:bidi="ar-SA"/>
        </w:rPr>
        <w:t>°</w:t>
      </w:r>
      <w:r>
        <w:rPr>
          <w:lang w:bidi="ar-SA"/>
        </w:rPr>
        <w:t xml:space="preserve">C on dip-inoculated parsley bunches </w:t>
      </w:r>
      <w:r w:rsidR="00657FDB">
        <w:rPr>
          <w:lang w:bidi="ar-SA"/>
        </w:rPr>
        <w:t>(Duffy et al. 2005b)</w:t>
      </w:r>
      <w:r>
        <w:rPr>
          <w:lang w:bidi="ar-SA"/>
        </w:rPr>
        <w:t>. However, growth rates were not reported in the study. Limited declines (</w:t>
      </w:r>
      <w:r>
        <w:rPr>
          <w:rFonts w:cs="Arial"/>
          <w:lang w:bidi="ar-SA"/>
        </w:rPr>
        <w:t>~</w:t>
      </w:r>
      <w:r>
        <w:rPr>
          <w:lang w:bidi="ar-SA"/>
        </w:rPr>
        <w:t xml:space="preserve">1 Log) and persistence of </w:t>
      </w:r>
      <w:r w:rsidRPr="001230D5">
        <w:rPr>
          <w:i/>
          <w:lang w:bidi="ar-SA"/>
        </w:rPr>
        <w:t>Salmonella</w:t>
      </w:r>
      <w:r>
        <w:rPr>
          <w:i/>
          <w:lang w:bidi="ar-SA"/>
        </w:rPr>
        <w:t xml:space="preserve"> </w:t>
      </w:r>
      <w:r>
        <w:rPr>
          <w:lang w:bidi="ar-SA"/>
        </w:rPr>
        <w:t xml:space="preserve">and </w:t>
      </w:r>
      <w:r w:rsidRPr="001230D5">
        <w:rPr>
          <w:i/>
          <w:lang w:bidi="ar-SA"/>
        </w:rPr>
        <w:t>E. coli</w:t>
      </w:r>
      <w:r>
        <w:rPr>
          <w:i/>
          <w:lang w:bidi="ar-SA"/>
        </w:rPr>
        <w:t xml:space="preserve"> </w:t>
      </w:r>
      <w:r>
        <w:rPr>
          <w:lang w:bidi="ar-SA"/>
        </w:rPr>
        <w:t>on parsley stored at 4</w:t>
      </w:r>
      <w:r>
        <w:rPr>
          <w:rFonts w:cs="Arial"/>
          <w:lang w:bidi="ar-SA"/>
        </w:rPr>
        <w:t>°</w:t>
      </w:r>
      <w:r>
        <w:rPr>
          <w:lang w:bidi="ar-SA"/>
        </w:rPr>
        <w:t xml:space="preserve">C for 24 days has been reported </w:t>
      </w:r>
      <w:r w:rsidR="00657FDB">
        <w:rPr>
          <w:lang w:bidi="ar-SA"/>
        </w:rPr>
        <w:t>(Hsu et al. 2006)</w:t>
      </w:r>
      <w:r>
        <w:rPr>
          <w:lang w:bidi="ar-SA"/>
        </w:rPr>
        <w:t>. However, no other reports of growth potential were identified for parsley.</w:t>
      </w:r>
    </w:p>
    <w:p w14:paraId="2745BE21" w14:textId="77777777" w:rsidR="00625761" w:rsidRDefault="00625761" w:rsidP="00625761">
      <w:pPr>
        <w:rPr>
          <w:lang w:bidi="ar-SA"/>
        </w:rPr>
      </w:pPr>
    </w:p>
    <w:p w14:paraId="399BCF6E" w14:textId="77777777" w:rsidR="00625761" w:rsidRDefault="00625761" w:rsidP="00625761">
      <w:pPr>
        <w:rPr>
          <w:lang w:bidi="ar-SA"/>
        </w:rPr>
      </w:pPr>
      <w:r>
        <w:rPr>
          <w:lang w:bidi="ar-SA"/>
        </w:rPr>
        <w:t xml:space="preserve">The ability of </w:t>
      </w:r>
      <w:r w:rsidRPr="00251986">
        <w:rPr>
          <w:lang w:bidi="ar-SA"/>
        </w:rPr>
        <w:t>pathogens to internalise in edible</w:t>
      </w:r>
      <w:r>
        <w:rPr>
          <w:lang w:bidi="ar-SA"/>
        </w:rPr>
        <w:t xml:space="preserve"> portions of leafy vegetables appears to be highly variable. Significant gaps exist in the evidence base, with studies principally focussed on lettuce (for all three pathogens) and </w:t>
      </w:r>
      <w:r w:rsidRPr="00C545C4">
        <w:rPr>
          <w:i/>
          <w:lang w:bidi="ar-SA"/>
        </w:rPr>
        <w:t>E. coli</w:t>
      </w:r>
      <w:r>
        <w:rPr>
          <w:lang w:bidi="ar-SA"/>
        </w:rPr>
        <w:t xml:space="preserve"> O157:H7 (for all three crops). No studies report evidence of growth/multiplication of pathogens in intra- or inter-cellular spaces in the edible parts of leafy vegetables. Specific risk factors for pathogen internalisation are </w:t>
      </w:r>
      <w:r w:rsidRPr="00687BCF">
        <w:rPr>
          <w:lang w:bidi="ar-SA"/>
        </w:rPr>
        <w:t>discussed in Section 9, and a brief</w:t>
      </w:r>
      <w:r>
        <w:rPr>
          <w:lang w:bidi="ar-SA"/>
        </w:rPr>
        <w:t xml:space="preserve"> summary is provided below.</w:t>
      </w:r>
    </w:p>
    <w:p w14:paraId="297187D4" w14:textId="77777777" w:rsidR="00625761" w:rsidRDefault="00625761" w:rsidP="00625761">
      <w:pPr>
        <w:rPr>
          <w:lang w:bidi="ar-SA"/>
        </w:rPr>
      </w:pPr>
    </w:p>
    <w:p w14:paraId="48E612F7" w14:textId="77777777" w:rsidR="00702CD0" w:rsidRDefault="00702CD0">
      <w:pPr>
        <w:widowControl/>
        <w:rPr>
          <w:i/>
          <w:lang w:bidi="ar-SA"/>
        </w:rPr>
      </w:pPr>
      <w:r>
        <w:rPr>
          <w:i/>
          <w:lang w:bidi="ar-SA"/>
        </w:rPr>
        <w:br w:type="page"/>
      </w:r>
    </w:p>
    <w:p w14:paraId="037493D4" w14:textId="19CC2CF9" w:rsidR="00625761" w:rsidRDefault="00625761" w:rsidP="00625761">
      <w:pPr>
        <w:rPr>
          <w:lang w:bidi="ar-SA"/>
        </w:rPr>
      </w:pPr>
      <w:r w:rsidRPr="00971659">
        <w:rPr>
          <w:i/>
          <w:lang w:bidi="ar-SA"/>
        </w:rPr>
        <w:t>Salmonella</w:t>
      </w:r>
      <w:r>
        <w:rPr>
          <w:lang w:bidi="ar-SA"/>
        </w:rPr>
        <w:t xml:space="preserve"> spp. have been demonstrated to readily internalise in roots and leaves of lettuce varieties at levels up to 2.5 Log/CFU/g, and to remain viable in internal spaces for prolonged periods </w:t>
      </w:r>
      <w:r w:rsidR="00657FDB">
        <w:rPr>
          <w:lang w:bidi="ar-SA"/>
        </w:rPr>
        <w:t>(Ge et al. 2012; Standing et al. 2013; Zhang et al. 2016)</w:t>
      </w:r>
      <w:r>
        <w:rPr>
          <w:lang w:bidi="ar-SA"/>
        </w:rPr>
        <w:t>. However, there is an absence of data on internalisation of salmonellae in parsley or spinach.</w:t>
      </w:r>
    </w:p>
    <w:p w14:paraId="2A57EE41" w14:textId="77777777" w:rsidR="00625761" w:rsidRDefault="00625761" w:rsidP="00625761">
      <w:pPr>
        <w:rPr>
          <w:lang w:bidi="ar-SA"/>
        </w:rPr>
      </w:pPr>
    </w:p>
    <w:p w14:paraId="0A5BFCF9" w14:textId="4B748AC7" w:rsidR="00625761" w:rsidRDefault="00625761" w:rsidP="00625761">
      <w:pPr>
        <w:rPr>
          <w:lang w:bidi="ar-SA"/>
        </w:rPr>
      </w:pPr>
      <w:r w:rsidRPr="00971659">
        <w:rPr>
          <w:i/>
          <w:lang w:bidi="ar-SA"/>
        </w:rPr>
        <w:t>E. coli</w:t>
      </w:r>
      <w:r>
        <w:rPr>
          <w:lang w:bidi="ar-SA"/>
        </w:rPr>
        <w:t xml:space="preserve"> O157:H7 strains have been shown to readily internalise into the roots of leafy vegetables, but appear to only rarely/sporadically translocate to the leaves </w:t>
      </w:r>
      <w:r w:rsidR="00657FDB">
        <w:rPr>
          <w:lang w:bidi="ar-SA"/>
        </w:rPr>
        <w:t>(Erickson et al. 2014b; Sharma et al. 2009; Standing et al. 2013)</w:t>
      </w:r>
      <w:r>
        <w:rPr>
          <w:lang w:bidi="ar-SA"/>
        </w:rPr>
        <w:t xml:space="preserve">. In lettuce, internalised </w:t>
      </w:r>
      <w:r w:rsidRPr="00971659">
        <w:rPr>
          <w:i/>
          <w:lang w:bidi="ar-SA"/>
        </w:rPr>
        <w:t>E. coli</w:t>
      </w:r>
      <w:r w:rsidRPr="00971659">
        <w:rPr>
          <w:lang w:bidi="ar-SA"/>
        </w:rPr>
        <w:t xml:space="preserve"> O157:H7</w:t>
      </w:r>
      <w:r>
        <w:rPr>
          <w:lang w:bidi="ar-SA"/>
        </w:rPr>
        <w:t xml:space="preserve"> can remain viable for prolonged periods </w:t>
      </w:r>
      <w:r w:rsidR="00657FDB">
        <w:rPr>
          <w:lang w:bidi="ar-SA"/>
        </w:rPr>
        <w:t>(Standing et al. 2013)</w:t>
      </w:r>
      <w:r>
        <w:rPr>
          <w:lang w:bidi="ar-SA"/>
        </w:rPr>
        <w:t>.</w:t>
      </w:r>
    </w:p>
    <w:p w14:paraId="06048945" w14:textId="77777777" w:rsidR="00625761" w:rsidRDefault="00625761" w:rsidP="00625761">
      <w:pPr>
        <w:rPr>
          <w:lang w:bidi="ar-SA"/>
        </w:rPr>
      </w:pPr>
    </w:p>
    <w:p w14:paraId="7712C101" w14:textId="5F9AA1D9" w:rsidR="00625761" w:rsidRDefault="00625761" w:rsidP="00625761">
      <w:pPr>
        <w:rPr>
          <w:lang w:bidi="ar-SA"/>
        </w:rPr>
      </w:pPr>
      <w:r>
        <w:rPr>
          <w:i/>
          <w:lang w:bidi="ar-SA"/>
        </w:rPr>
        <w:t>L.</w:t>
      </w:r>
      <w:r w:rsidRPr="009A38EE">
        <w:rPr>
          <w:i/>
          <w:lang w:bidi="ar-SA"/>
        </w:rPr>
        <w:t xml:space="preserve"> monocytogenes</w:t>
      </w:r>
      <w:r>
        <w:rPr>
          <w:lang w:bidi="ar-SA"/>
        </w:rPr>
        <w:t xml:space="preserve"> inoculated onto seeds of lettuce was found to internally colonise the germinated seedlings and persist until harvest </w:t>
      </w:r>
      <w:r w:rsidR="00657FDB">
        <w:rPr>
          <w:lang w:bidi="ar-SA"/>
        </w:rPr>
        <w:t>(Shenoy et al. 2017)</w:t>
      </w:r>
      <w:r>
        <w:rPr>
          <w:lang w:bidi="ar-SA"/>
        </w:rPr>
        <w:t xml:space="preserve">. When applied to lettuce seedlings in contaminated irrigation water, </w:t>
      </w:r>
      <w:r w:rsidRPr="00C05050">
        <w:rPr>
          <w:i/>
          <w:lang w:bidi="ar-SA"/>
        </w:rPr>
        <w:t>L. monocytogenes</w:t>
      </w:r>
      <w:r>
        <w:rPr>
          <w:lang w:bidi="ar-SA"/>
        </w:rPr>
        <w:t xml:space="preserve"> was found to </w:t>
      </w:r>
      <w:r w:rsidRPr="009A38EE">
        <w:rPr>
          <w:lang w:bidi="ar-SA"/>
        </w:rPr>
        <w:t xml:space="preserve">internalise in leaves of lettuce at levels up to </w:t>
      </w:r>
      <w:r>
        <w:rPr>
          <w:lang w:bidi="ar-SA"/>
        </w:rPr>
        <w:t>3</w:t>
      </w:r>
      <w:r w:rsidRPr="009A38EE">
        <w:rPr>
          <w:lang w:bidi="ar-SA"/>
        </w:rPr>
        <w:t>.5 Log/CFU/g</w:t>
      </w:r>
      <w:r>
        <w:rPr>
          <w:lang w:bidi="ar-SA"/>
        </w:rPr>
        <w:t xml:space="preserve"> </w:t>
      </w:r>
      <w:r w:rsidR="00657FDB">
        <w:rPr>
          <w:lang w:bidi="ar-SA"/>
        </w:rPr>
        <w:t>(Standing et al. 2013)</w:t>
      </w:r>
      <w:r w:rsidRPr="009A38EE">
        <w:rPr>
          <w:lang w:bidi="ar-SA"/>
        </w:rPr>
        <w:t>, and</w:t>
      </w:r>
      <w:r>
        <w:rPr>
          <w:lang w:bidi="ar-SA"/>
        </w:rPr>
        <w:t xml:space="preserve"> could be detected for up to 14 days post inoculation. </w:t>
      </w:r>
      <w:r w:rsidRPr="006F08C1">
        <w:rPr>
          <w:lang w:bidi="ar-SA"/>
        </w:rPr>
        <w:t xml:space="preserve">However, there is an absence of data on internalisation of </w:t>
      </w:r>
      <w:r w:rsidRPr="006F08C1">
        <w:rPr>
          <w:i/>
          <w:lang w:bidi="ar-SA"/>
        </w:rPr>
        <w:t>Listeria</w:t>
      </w:r>
      <w:r w:rsidRPr="006F08C1">
        <w:rPr>
          <w:lang w:bidi="ar-SA"/>
        </w:rPr>
        <w:t xml:space="preserve"> in parsley or spinach.</w:t>
      </w:r>
    </w:p>
    <w:p w14:paraId="25833242" w14:textId="77777777" w:rsidR="00625761" w:rsidRDefault="00625761" w:rsidP="00625761">
      <w:pPr>
        <w:rPr>
          <w:lang w:bidi="ar-SA"/>
        </w:rPr>
      </w:pPr>
    </w:p>
    <w:p w14:paraId="352BE139" w14:textId="77777777" w:rsidR="00625761" w:rsidRDefault="00625761" w:rsidP="00625761">
      <w:pPr>
        <w:pStyle w:val="Heading2"/>
        <w:numPr>
          <w:ilvl w:val="1"/>
          <w:numId w:val="11"/>
        </w:numPr>
      </w:pPr>
      <w:bookmarkStart w:id="162" w:name="_Toc56693425"/>
      <w:bookmarkStart w:id="163" w:name="_Toc58327778"/>
      <w:bookmarkStart w:id="164" w:name="_Toc58333958"/>
      <w:bookmarkStart w:id="165" w:name="_Toc64448765"/>
      <w:bookmarkStart w:id="166" w:name="_Toc87860026"/>
      <w:r>
        <w:t>Berries</w:t>
      </w:r>
      <w:bookmarkEnd w:id="162"/>
      <w:bookmarkEnd w:id="163"/>
      <w:bookmarkEnd w:id="164"/>
      <w:bookmarkEnd w:id="165"/>
      <w:bookmarkEnd w:id="166"/>
    </w:p>
    <w:p w14:paraId="6F6C19FA" w14:textId="3F031C86" w:rsidR="00625761" w:rsidRPr="003A54DA" w:rsidRDefault="00625761" w:rsidP="00625761">
      <w:pPr>
        <w:autoSpaceDE w:val="0"/>
        <w:autoSpaceDN w:val="0"/>
        <w:adjustRightInd w:val="0"/>
        <w:rPr>
          <w:lang w:eastAsia="en-GB"/>
        </w:rPr>
      </w:pPr>
      <w:r>
        <w:rPr>
          <w:lang w:eastAsia="en-GB"/>
        </w:rPr>
        <w:t xml:space="preserve">Berries are pulpy fruit with a high water content (85-92% depending on species), high sugar content and a soft skin. They are particularly susceptible to physical damage, and this provides conditions that can lead to increased microbial contamination </w:t>
      </w:r>
      <w:r w:rsidR="00657FDB">
        <w:rPr>
          <w:rFonts w:cs="Arial"/>
          <w:lang w:eastAsia="en-GB"/>
        </w:rPr>
        <w:t>(EFSA Panel on Biological Hazards 2014b)</w:t>
      </w:r>
      <w:r>
        <w:rPr>
          <w:lang w:eastAsia="en-GB"/>
        </w:rPr>
        <w:t xml:space="preserve">. The pH of fresh berries ranges from 3.12-3.33 for blueberries, to 3.22-3.95 for raspberries and 3.0-4.1 for strawberries </w:t>
      </w:r>
      <w:r w:rsidR="00657FDB">
        <w:rPr>
          <w:lang w:eastAsia="en-GB"/>
        </w:rPr>
        <w:t>(Knudsen et al. 2001; US FDA/CFSAN 2003)</w:t>
      </w:r>
      <w:r>
        <w:rPr>
          <w:lang w:eastAsia="en-GB"/>
        </w:rPr>
        <w:t xml:space="preserve">. Due to the low pH of berries they generally do not support the growth of bacterial pathogens, such as STEC. However if bacteria and viruses are present they can potentially persist on the surface of berries. Viral internalisation into strawberry fruit has also been </w:t>
      </w:r>
      <w:r w:rsidRPr="003A54DA">
        <w:rPr>
          <w:lang w:eastAsia="en-GB"/>
        </w:rPr>
        <w:t xml:space="preserve">reported. </w:t>
      </w:r>
    </w:p>
    <w:p w14:paraId="212D7698" w14:textId="77777777" w:rsidR="00625761" w:rsidRPr="003A54DA" w:rsidRDefault="00625761" w:rsidP="00625761">
      <w:pPr>
        <w:autoSpaceDE w:val="0"/>
        <w:autoSpaceDN w:val="0"/>
        <w:adjustRightInd w:val="0"/>
        <w:rPr>
          <w:lang w:eastAsia="en-GB"/>
        </w:rPr>
      </w:pPr>
    </w:p>
    <w:p w14:paraId="66CA7EB9" w14:textId="7831B2C2" w:rsidR="00625761" w:rsidRPr="003A54DA" w:rsidRDefault="00625761" w:rsidP="00625761">
      <w:pPr>
        <w:autoSpaceDE w:val="0"/>
        <w:autoSpaceDN w:val="0"/>
        <w:adjustRightInd w:val="0"/>
        <w:rPr>
          <w:lang w:eastAsia="en-GB"/>
        </w:rPr>
      </w:pPr>
      <w:r w:rsidRPr="003A54DA">
        <w:rPr>
          <w:lang w:eastAsia="en-GB"/>
        </w:rPr>
        <w:t>Different varieties of berries grow on different styles of plant</w:t>
      </w:r>
      <w:r w:rsidR="00531D32" w:rsidRPr="003A54DA">
        <w:rPr>
          <w:lang w:eastAsia="en-GB"/>
        </w:rPr>
        <w:t xml:space="preserve">s. Strawberry plants are grown </w:t>
      </w:r>
      <w:r w:rsidRPr="003A54DA">
        <w:rPr>
          <w:lang w:eastAsia="en-GB"/>
        </w:rPr>
        <w:t>close to the ground, while blueberries grow on a bush, and raspberries grow on canes so the fruit are elevated from the ground.</w:t>
      </w:r>
    </w:p>
    <w:p w14:paraId="016C779F" w14:textId="77777777" w:rsidR="00625761" w:rsidRPr="003A54DA" w:rsidRDefault="00625761" w:rsidP="00625761">
      <w:pPr>
        <w:rPr>
          <w:b/>
        </w:rPr>
      </w:pPr>
    </w:p>
    <w:p w14:paraId="3935BE44" w14:textId="4711CA5E" w:rsidR="00625761" w:rsidRPr="003A54DA" w:rsidRDefault="00625761" w:rsidP="00625761">
      <w:pPr>
        <w:rPr>
          <w:rFonts w:cs="Arial"/>
        </w:rPr>
      </w:pPr>
      <w:r w:rsidRPr="003A54DA">
        <w:t xml:space="preserve">The surface characteristics vary between berry types. Blueberries have a smooth surface while raspberries and strawberries are aggregate fruit and have an irregular surface. Rougher or more irregular surfaces, and the presence of stigma on aggregate fruits, provide </w:t>
      </w:r>
      <w:r w:rsidRPr="003A54DA">
        <w:rPr>
          <w:rFonts w:cs="Arial"/>
        </w:rPr>
        <w:t xml:space="preserve">more sites for microbial harbourage and also enable better attachment </w:t>
      </w:r>
      <w:r w:rsidR="00657FDB" w:rsidRPr="003A54DA">
        <w:rPr>
          <w:rFonts w:cs="Arial"/>
        </w:rPr>
        <w:t>(Bozkurt et al. 2020)</w:t>
      </w:r>
      <w:r w:rsidRPr="003A54DA">
        <w:rPr>
          <w:rFonts w:cs="Arial"/>
        </w:rPr>
        <w:t xml:space="preserve">. An experimental study examined the adhesion of HAV and NoV onto the surface of strawberries and raspberries. After artificial inoculation of the berries with HAV or NoV GI it was estimated that up to 1% of viral particles adhered to the surface of raspberries and 0.1% to the surface of strawberries. Adhesion of NoV GII was much lower for both berries </w:t>
      </w:r>
      <w:r w:rsidR="00657FDB" w:rsidRPr="003A54DA">
        <w:rPr>
          <w:rFonts w:cs="Arial"/>
        </w:rPr>
        <w:t>(Deboosere et al. 2012)</w:t>
      </w:r>
      <w:r w:rsidRPr="003A54DA">
        <w:rPr>
          <w:rFonts w:cs="Arial"/>
        </w:rPr>
        <w:t xml:space="preserve">. In a study of 13 bacterial pathogens, including </w:t>
      </w:r>
      <w:r w:rsidRPr="003A54DA">
        <w:rPr>
          <w:rFonts w:cs="Arial"/>
          <w:i/>
        </w:rPr>
        <w:t xml:space="preserve">E. coli </w:t>
      </w:r>
      <w:r w:rsidRPr="003A54DA">
        <w:rPr>
          <w:rFonts w:cs="Arial"/>
        </w:rPr>
        <w:t xml:space="preserve">O157:H7, artificial inoculation of strawberries with ~5 Log CFU/g of each of pathogen, led to ~4 Log CFU/g attachment of </w:t>
      </w:r>
      <w:r w:rsidRPr="003A54DA">
        <w:rPr>
          <w:rFonts w:cs="Arial"/>
          <w:i/>
        </w:rPr>
        <w:t xml:space="preserve">E. coli </w:t>
      </w:r>
      <w:r w:rsidRPr="003A54DA">
        <w:rPr>
          <w:rFonts w:cs="Arial"/>
        </w:rPr>
        <w:t xml:space="preserve">O157:H7, and the other bacterial pathogens, to the strawberry surface </w:t>
      </w:r>
      <w:r w:rsidR="00657FDB" w:rsidRPr="003A54DA">
        <w:rPr>
          <w:rFonts w:cs="Arial"/>
        </w:rPr>
        <w:t>(Gómez</w:t>
      </w:r>
      <w:r w:rsidR="00657FDB" w:rsidRPr="003A54DA">
        <w:rPr>
          <w:rFonts w:ascii="Cambria Math" w:hAnsi="Cambria Math" w:cs="Cambria Math"/>
        </w:rPr>
        <w:t>‐</w:t>
      </w:r>
      <w:r w:rsidR="00657FDB" w:rsidRPr="003A54DA">
        <w:rPr>
          <w:rFonts w:cs="Arial"/>
        </w:rPr>
        <w:t>Aldapa et al. 2018)</w:t>
      </w:r>
      <w:r w:rsidRPr="003A54DA">
        <w:rPr>
          <w:rFonts w:cs="Arial"/>
        </w:rPr>
        <w:t xml:space="preserve">. Also, raspberries have a higher respiration rate than strawberries at room temperature, leading to a higher humidity in the microclimate of the raspberry surface. As such, viruses prone to desiccation may be more protected on raspberries compared to strawberries </w:t>
      </w:r>
      <w:r w:rsidR="00657FDB" w:rsidRPr="003A54DA">
        <w:rPr>
          <w:rFonts w:cs="Arial"/>
        </w:rPr>
        <w:t>(Verhaelen et al. 2012)</w:t>
      </w:r>
      <w:r w:rsidRPr="003A54DA">
        <w:rPr>
          <w:rFonts w:cs="Arial"/>
        </w:rPr>
        <w:t>.</w:t>
      </w:r>
    </w:p>
    <w:p w14:paraId="5DD116B0" w14:textId="77777777" w:rsidR="00625761" w:rsidRPr="003A54DA" w:rsidRDefault="00625761" w:rsidP="00625761">
      <w:pPr>
        <w:rPr>
          <w:rFonts w:cs="Arial"/>
        </w:rPr>
      </w:pPr>
    </w:p>
    <w:p w14:paraId="39603707" w14:textId="361E58E2" w:rsidR="00625761" w:rsidRPr="003A54DA" w:rsidRDefault="00625761" w:rsidP="00625761">
      <w:pPr>
        <w:rPr>
          <w:rFonts w:cs="Arial"/>
          <w:lang w:eastAsia="en-GB"/>
        </w:rPr>
      </w:pPr>
      <w:r w:rsidRPr="003A54DA">
        <w:t xml:space="preserve">There is evidence that berries do not support the growth of STEC. </w:t>
      </w:r>
      <w:r w:rsidRPr="003A54DA">
        <w:rPr>
          <w:rFonts w:cs="Arial"/>
          <w:lang w:eastAsia="en-GB"/>
        </w:rPr>
        <w:t xml:space="preserve">An experimental study by Gómez-Aldapa et al. </w:t>
      </w:r>
      <w:r w:rsidR="00657FDB" w:rsidRPr="003A54DA">
        <w:rPr>
          <w:rFonts w:cs="Arial"/>
          <w:lang w:eastAsia="en-GB"/>
        </w:rPr>
        <w:t>(2018)</w:t>
      </w:r>
      <w:r w:rsidRPr="003A54DA">
        <w:rPr>
          <w:rFonts w:cs="Arial"/>
          <w:lang w:eastAsia="en-GB"/>
        </w:rPr>
        <w:t xml:space="preserve"> showed that </w:t>
      </w:r>
      <w:r w:rsidRPr="003A54DA">
        <w:t xml:space="preserve">the level of </w:t>
      </w:r>
      <w:r w:rsidRPr="003A54DA">
        <w:rPr>
          <w:rFonts w:cs="Arial"/>
          <w:i/>
          <w:lang w:eastAsia="en-GB"/>
        </w:rPr>
        <w:t xml:space="preserve">E. coli </w:t>
      </w:r>
      <w:r w:rsidRPr="003A54DA">
        <w:rPr>
          <w:rFonts w:cs="Arial"/>
          <w:lang w:eastAsia="en-GB"/>
        </w:rPr>
        <w:t xml:space="preserve">O157:H7 on artificially inoculated strawberries decreased over time. On strawberries with </w:t>
      </w:r>
      <w:r w:rsidRPr="003A54DA">
        <w:rPr>
          <w:rFonts w:cs="Arial"/>
        </w:rPr>
        <w:t xml:space="preserve">~4 Log CFU/g of attached </w:t>
      </w:r>
      <w:r w:rsidRPr="003A54DA">
        <w:rPr>
          <w:rFonts w:cs="Arial"/>
          <w:i/>
        </w:rPr>
        <w:t>E. coli </w:t>
      </w:r>
      <w:r w:rsidRPr="003A54DA">
        <w:rPr>
          <w:rFonts w:cs="Arial"/>
        </w:rPr>
        <w:t>O157:H7</w:t>
      </w:r>
      <w:r w:rsidRPr="003A54DA">
        <w:rPr>
          <w:rFonts w:cs="Arial"/>
          <w:lang w:eastAsia="en-GB"/>
        </w:rPr>
        <w:t xml:space="preserve"> there was a 3 Log reduction in </w:t>
      </w:r>
      <w:r w:rsidRPr="003A54DA">
        <w:rPr>
          <w:rFonts w:cs="Arial"/>
          <w:i/>
        </w:rPr>
        <w:t xml:space="preserve">E. coli </w:t>
      </w:r>
      <w:r w:rsidRPr="003A54DA">
        <w:rPr>
          <w:rFonts w:cs="Arial"/>
        </w:rPr>
        <w:t>O157:H7</w:t>
      </w:r>
      <w:r w:rsidRPr="003A54DA">
        <w:rPr>
          <w:rFonts w:cs="Arial"/>
          <w:lang w:eastAsia="en-GB"/>
        </w:rPr>
        <w:t xml:space="preserve"> levels over 15 days storage </w:t>
      </w:r>
      <w:r w:rsidRPr="003A54DA">
        <w:rPr>
          <w:lang w:eastAsia="en-AU"/>
        </w:rPr>
        <w:t>22</w:t>
      </w:r>
      <w:r w:rsidRPr="003A54DA">
        <w:rPr>
          <w:rFonts w:cs="Arial"/>
          <w:lang w:eastAsia="en-AU"/>
        </w:rPr>
        <w:t>°</w:t>
      </w:r>
      <w:r w:rsidRPr="003A54DA">
        <w:rPr>
          <w:lang w:eastAsia="en-AU"/>
        </w:rPr>
        <w:t>C and a ~2.3 Log reduction over 15 days storage</w:t>
      </w:r>
      <w:r w:rsidRPr="003A54DA">
        <w:rPr>
          <w:rFonts w:cs="Arial"/>
          <w:lang w:eastAsia="en-GB"/>
        </w:rPr>
        <w:t xml:space="preserve"> at 3</w:t>
      </w:r>
      <w:r w:rsidRPr="003A54DA">
        <w:rPr>
          <w:rFonts w:cs="Arial"/>
          <w:lang w:eastAsia="en-AU"/>
        </w:rPr>
        <w:t>°</w:t>
      </w:r>
      <w:r w:rsidRPr="003A54DA">
        <w:rPr>
          <w:lang w:eastAsia="en-AU"/>
        </w:rPr>
        <w:t xml:space="preserve">C. </w:t>
      </w:r>
    </w:p>
    <w:p w14:paraId="1D472037" w14:textId="64110489" w:rsidR="00625761" w:rsidRPr="003A54DA" w:rsidRDefault="00625761" w:rsidP="00625761">
      <w:pPr>
        <w:rPr>
          <w:lang w:eastAsia="en-AU"/>
        </w:rPr>
      </w:pPr>
      <w:r w:rsidRPr="003A54DA">
        <w:t xml:space="preserve">Berries are easily damaged due to their </w:t>
      </w:r>
      <w:r w:rsidRPr="003A54DA">
        <w:rPr>
          <w:rFonts w:cs="Arial"/>
          <w:lang w:eastAsia="en-GB"/>
        </w:rPr>
        <w:t>high moisture content and soft skin</w:t>
      </w:r>
      <w:r w:rsidRPr="003A54DA">
        <w:t xml:space="preserve">. An experimental study by Nguyen et al. </w:t>
      </w:r>
      <w:r w:rsidR="00657FDB" w:rsidRPr="003A54DA">
        <w:t>(2014)</w:t>
      </w:r>
      <w:r w:rsidRPr="003A54DA">
        <w:t xml:space="preserve"> compared </w:t>
      </w:r>
      <w:r w:rsidRPr="003A54DA">
        <w:rPr>
          <w:i/>
          <w:lang w:eastAsia="en-AU"/>
        </w:rPr>
        <w:t xml:space="preserve">E. coli </w:t>
      </w:r>
      <w:r w:rsidRPr="003A54DA">
        <w:rPr>
          <w:lang w:eastAsia="en-AU"/>
        </w:rPr>
        <w:t>O157:H7 levels on artificially inoculated bruised and intact fresh whole strawberries and blueberries. During 7 days storage at 15.5</w:t>
      </w:r>
      <w:r w:rsidRPr="003A54DA">
        <w:rPr>
          <w:rFonts w:cs="Arial"/>
          <w:lang w:eastAsia="en-AU"/>
        </w:rPr>
        <w:t>°</w:t>
      </w:r>
      <w:r w:rsidRPr="003A54DA">
        <w:rPr>
          <w:lang w:eastAsia="en-AU"/>
        </w:rPr>
        <w:t xml:space="preserve">C, </w:t>
      </w:r>
      <w:r w:rsidRPr="003A54DA">
        <w:rPr>
          <w:i/>
          <w:lang w:eastAsia="en-AU"/>
        </w:rPr>
        <w:t xml:space="preserve">E. coli </w:t>
      </w:r>
      <w:r w:rsidRPr="003A54DA">
        <w:rPr>
          <w:lang w:eastAsia="en-AU"/>
        </w:rPr>
        <w:t xml:space="preserve">O157:H7 levels declined by an average of 1.5-1.8 Log and 1.5-1.6 Log for bruised and intact strawberries, respectively, and 0.7-1.6 Log and 1.6-1.9 Log for bruised and intact blueberries, respectively. There was no significant difference in the </w:t>
      </w:r>
      <w:r w:rsidRPr="003A54DA">
        <w:rPr>
          <w:i/>
          <w:lang w:eastAsia="en-AU"/>
        </w:rPr>
        <w:t>E. coli </w:t>
      </w:r>
      <w:r w:rsidRPr="003A54DA">
        <w:rPr>
          <w:lang w:eastAsia="en-AU"/>
        </w:rPr>
        <w:t>O157:H7 levels between bruised and intact fruit over the storage period.</w:t>
      </w:r>
    </w:p>
    <w:p w14:paraId="4CABA875" w14:textId="77777777" w:rsidR="00625761" w:rsidRPr="003A54DA" w:rsidRDefault="00625761" w:rsidP="00625761">
      <w:pPr>
        <w:rPr>
          <w:b/>
        </w:rPr>
      </w:pPr>
    </w:p>
    <w:p w14:paraId="706A7F78" w14:textId="4EF38443" w:rsidR="00625761" w:rsidRDefault="00625761" w:rsidP="00625761">
      <w:pPr>
        <w:rPr>
          <w:lang w:eastAsia="en-AU"/>
        </w:rPr>
      </w:pPr>
      <w:r w:rsidRPr="003A54DA">
        <w:t xml:space="preserve">However, bacterial pathogens can persist in the internal parts of berries, i.e. on the cut </w:t>
      </w:r>
      <w:r>
        <w:t xml:space="preserve">internal surface or internally within a whole berry. In an experimental study by Knudsen et al. </w:t>
      </w:r>
      <w:r w:rsidR="00657FDB">
        <w:t>(2001)</w:t>
      </w:r>
      <w:r>
        <w:t xml:space="preserve"> cut or whole fresh strawberries were artificially inoculated with a five strain cocktail of </w:t>
      </w:r>
      <w:r>
        <w:rPr>
          <w:i/>
        </w:rPr>
        <w:t>E. coli</w:t>
      </w:r>
      <w:r>
        <w:t xml:space="preserve"> </w:t>
      </w:r>
      <w:r>
        <w:rPr>
          <w:lang w:eastAsia="en-AU"/>
        </w:rPr>
        <w:t>O157:H7 (Log 7 CFU/sample) and stored at 5 or 24</w:t>
      </w:r>
      <w:r>
        <w:rPr>
          <w:rFonts w:cs="Arial"/>
          <w:lang w:eastAsia="en-AU"/>
        </w:rPr>
        <w:t>°</w:t>
      </w:r>
      <w:r>
        <w:rPr>
          <w:lang w:eastAsia="en-AU"/>
        </w:rPr>
        <w:t xml:space="preserve">C. The </w:t>
      </w:r>
      <w:r>
        <w:rPr>
          <w:i/>
        </w:rPr>
        <w:t>E. coli</w:t>
      </w:r>
      <w:r>
        <w:t xml:space="preserve"> </w:t>
      </w:r>
      <w:r>
        <w:rPr>
          <w:lang w:eastAsia="en-AU"/>
        </w:rPr>
        <w:t>O157:H7 population remained relatively constant on the cut surface of strawberries when stored for 7 days at 5</w:t>
      </w:r>
      <w:r>
        <w:rPr>
          <w:rFonts w:cs="Arial"/>
          <w:lang w:eastAsia="en-AU"/>
        </w:rPr>
        <w:t>°</w:t>
      </w:r>
      <w:r>
        <w:rPr>
          <w:lang w:eastAsia="en-AU"/>
        </w:rPr>
        <w:t>C or for 2 days at 24</w:t>
      </w:r>
      <w:r>
        <w:rPr>
          <w:rFonts w:cs="Arial"/>
          <w:lang w:eastAsia="en-AU"/>
        </w:rPr>
        <w:t>°</w:t>
      </w:r>
      <w:r>
        <w:rPr>
          <w:lang w:eastAsia="en-AU"/>
        </w:rPr>
        <w:t xml:space="preserve">C. In comparison the </w:t>
      </w:r>
      <w:r>
        <w:rPr>
          <w:i/>
        </w:rPr>
        <w:t>E. coli</w:t>
      </w:r>
      <w:r>
        <w:t xml:space="preserve"> </w:t>
      </w:r>
      <w:r>
        <w:rPr>
          <w:lang w:eastAsia="en-AU"/>
        </w:rPr>
        <w:t>O157:H7 levels declined on whole strawberries by 2 Log or ~0.5 Log when stored at 5</w:t>
      </w:r>
      <w:r>
        <w:rPr>
          <w:rFonts w:cs="Arial"/>
          <w:lang w:eastAsia="en-AU"/>
        </w:rPr>
        <w:t>°</w:t>
      </w:r>
      <w:r>
        <w:rPr>
          <w:lang w:eastAsia="en-AU"/>
        </w:rPr>
        <w:t>C (7 days) or 24</w:t>
      </w:r>
      <w:r>
        <w:rPr>
          <w:rFonts w:cs="Arial"/>
          <w:lang w:eastAsia="en-AU"/>
        </w:rPr>
        <w:t>°</w:t>
      </w:r>
      <w:r>
        <w:rPr>
          <w:lang w:eastAsia="en-AU"/>
        </w:rPr>
        <w:t xml:space="preserve">C (2 days), respectively. A study by Yu et al. </w:t>
      </w:r>
      <w:r w:rsidR="00657FDB">
        <w:rPr>
          <w:lang w:eastAsia="en-AU"/>
        </w:rPr>
        <w:t>(2001)</w:t>
      </w:r>
      <w:r>
        <w:rPr>
          <w:lang w:eastAsia="en-AU"/>
        </w:rPr>
        <w:t xml:space="preserve"> artificially inoculated strawberries with different </w:t>
      </w:r>
      <w:r>
        <w:rPr>
          <w:i/>
          <w:lang w:eastAsia="en-AU"/>
        </w:rPr>
        <w:t xml:space="preserve">E. coli </w:t>
      </w:r>
      <w:r>
        <w:rPr>
          <w:lang w:eastAsia="en-AU"/>
        </w:rPr>
        <w:t>O157:H7 strains either internally (via syringe) or on the external surface (mean inoculation level of 4.36 Log</w:t>
      </w:r>
      <w:r w:rsidDel="00917DBF">
        <w:rPr>
          <w:lang w:eastAsia="en-AU"/>
        </w:rPr>
        <w:t xml:space="preserve"> </w:t>
      </w:r>
      <w:r>
        <w:rPr>
          <w:lang w:eastAsia="en-AU"/>
        </w:rPr>
        <w:t>CFU/g for both methods). After three days of storage at 5</w:t>
      </w:r>
      <w:r>
        <w:rPr>
          <w:rFonts w:cs="Arial"/>
          <w:lang w:eastAsia="en-AU"/>
        </w:rPr>
        <w:t>°</w:t>
      </w:r>
      <w:r>
        <w:rPr>
          <w:lang w:eastAsia="en-AU"/>
        </w:rPr>
        <w:t xml:space="preserve">C there was only a 0.52-0.69 Log reduction of </w:t>
      </w:r>
      <w:r>
        <w:rPr>
          <w:i/>
        </w:rPr>
        <w:t>E. coli</w:t>
      </w:r>
      <w:r>
        <w:t xml:space="preserve"> </w:t>
      </w:r>
      <w:r>
        <w:rPr>
          <w:lang w:eastAsia="en-AU"/>
        </w:rPr>
        <w:t>O157:H7 populations internally within the berry compared with a 1.3-1.77 Log reduction on the surface of the berry. After 24 hour storage at 23</w:t>
      </w:r>
      <w:r>
        <w:rPr>
          <w:rFonts w:cs="Arial"/>
          <w:lang w:eastAsia="en-AU"/>
        </w:rPr>
        <w:t>°</w:t>
      </w:r>
      <w:r>
        <w:rPr>
          <w:lang w:eastAsia="en-AU"/>
        </w:rPr>
        <w:t xml:space="preserve">C there was a similar level of survival of </w:t>
      </w:r>
      <w:r>
        <w:rPr>
          <w:i/>
        </w:rPr>
        <w:t>E. coli</w:t>
      </w:r>
      <w:r>
        <w:t xml:space="preserve"> </w:t>
      </w:r>
      <w:r>
        <w:rPr>
          <w:lang w:eastAsia="en-AU"/>
        </w:rPr>
        <w:t xml:space="preserve">O157:H7 between the surface and internally inoculated berries. Interestingly, one </w:t>
      </w:r>
      <w:r>
        <w:rPr>
          <w:i/>
        </w:rPr>
        <w:t>E. coli</w:t>
      </w:r>
      <w:r>
        <w:t xml:space="preserve"> </w:t>
      </w:r>
      <w:r>
        <w:rPr>
          <w:lang w:eastAsia="en-AU"/>
        </w:rPr>
        <w:t>O157:H7 strain demonstrated</w:t>
      </w:r>
      <w:r w:rsidDel="00917DBF">
        <w:rPr>
          <w:lang w:eastAsia="en-AU"/>
        </w:rPr>
        <w:t xml:space="preserve"> </w:t>
      </w:r>
      <w:r>
        <w:rPr>
          <w:lang w:eastAsia="en-AU"/>
        </w:rPr>
        <w:t xml:space="preserve">a population increase of 0.24 Log and 0.52 Log on the surface and internally inoculated berries, respectively (it was not reported if these population increases were significant). This may be attributed to an increased acid tolerance of this strain, however, it was only a very short storage time. For the other </w:t>
      </w:r>
      <w:r>
        <w:rPr>
          <w:i/>
        </w:rPr>
        <w:t>E. coli</w:t>
      </w:r>
      <w:r>
        <w:t xml:space="preserve"> </w:t>
      </w:r>
      <w:r>
        <w:rPr>
          <w:lang w:eastAsia="en-AU"/>
        </w:rPr>
        <w:t>O157:H7 strain there was a 0.66 Log and 0.51 Log reduction on the surface and internally inoculated berries, respectively.</w:t>
      </w:r>
    </w:p>
    <w:p w14:paraId="40A91F2C" w14:textId="77777777" w:rsidR="00625761" w:rsidRDefault="00625761" w:rsidP="00625761">
      <w:pPr>
        <w:rPr>
          <w:lang w:eastAsia="en-AU"/>
        </w:rPr>
      </w:pPr>
    </w:p>
    <w:p w14:paraId="331DA923" w14:textId="43A00E14" w:rsidR="00625761" w:rsidRDefault="00625761" w:rsidP="00625761">
      <w:r>
        <w:t xml:space="preserve">There is evidence that viruses can persist on the surface of berries. In an experimental study by Leblance et al. </w:t>
      </w:r>
      <w:r w:rsidR="00657FDB">
        <w:t>(2019)</w:t>
      </w:r>
      <w:r>
        <w:t>, blueberries were artificially inoculated with HAV (10</w:t>
      </w:r>
      <w:r>
        <w:rPr>
          <w:vertAlign w:val="superscript"/>
        </w:rPr>
        <w:t>7.1</w:t>
      </w:r>
      <w:r>
        <w:t>PFU/ml) and stored at 4 or 21</w:t>
      </w:r>
      <w:r>
        <w:rPr>
          <w:rFonts w:cs="Arial"/>
          <w:lang w:eastAsia="en-AU"/>
        </w:rPr>
        <w:t>°</w:t>
      </w:r>
      <w:r>
        <w:rPr>
          <w:lang w:eastAsia="en-AU"/>
        </w:rPr>
        <w:t>C. There was no significant loss of infectivity of HAV on the fresh blueberries after 21 days storage at 4</w:t>
      </w:r>
      <w:r>
        <w:rPr>
          <w:rFonts w:cs="Arial"/>
          <w:lang w:eastAsia="en-AU"/>
        </w:rPr>
        <w:t>°</w:t>
      </w:r>
      <w:r>
        <w:rPr>
          <w:lang w:eastAsia="en-AU"/>
        </w:rPr>
        <w:t xml:space="preserve">C or 7 days storage at </w:t>
      </w:r>
      <w:r>
        <w:t>21</w:t>
      </w:r>
      <w:r>
        <w:rPr>
          <w:rFonts w:cs="Arial"/>
          <w:lang w:eastAsia="en-AU"/>
        </w:rPr>
        <w:t>°</w:t>
      </w:r>
      <w:r>
        <w:rPr>
          <w:lang w:eastAsia="en-AU"/>
        </w:rPr>
        <w:t xml:space="preserve">C. Verhaelen et al </w:t>
      </w:r>
      <w:r w:rsidR="00657FDB">
        <w:rPr>
          <w:lang w:eastAsia="en-AU"/>
        </w:rPr>
        <w:t>(2012)</w:t>
      </w:r>
      <w:r>
        <w:rPr>
          <w:lang w:eastAsia="en-AU"/>
        </w:rPr>
        <w:t xml:space="preserve"> had similar findings in raspberries and strawberries artificially inoculated with human NoV GII.4 (2 x 10</w:t>
      </w:r>
      <w:r>
        <w:rPr>
          <w:vertAlign w:val="superscript"/>
          <w:lang w:eastAsia="en-AU"/>
        </w:rPr>
        <w:t>6</w:t>
      </w:r>
      <w:r>
        <w:rPr>
          <w:lang w:eastAsia="en-AU"/>
        </w:rPr>
        <w:t xml:space="preserve"> genomic copies) or human NoV GI.4 (8 x 10</w:t>
      </w:r>
      <w:r>
        <w:rPr>
          <w:vertAlign w:val="superscript"/>
          <w:lang w:eastAsia="en-AU"/>
        </w:rPr>
        <w:t>6</w:t>
      </w:r>
      <w:r>
        <w:rPr>
          <w:lang w:eastAsia="en-AU"/>
        </w:rPr>
        <w:t xml:space="preserve"> genomic copies), with no loss in viral infectivity for either fruit when stored at 4</w:t>
      </w:r>
      <w:r>
        <w:rPr>
          <w:rFonts w:cs="Arial"/>
          <w:lang w:eastAsia="en-AU"/>
        </w:rPr>
        <w:t>°</w:t>
      </w:r>
      <w:r>
        <w:rPr>
          <w:lang w:eastAsia="en-AU"/>
        </w:rPr>
        <w:t>C for 7 days. However, when stored at 21</w:t>
      </w:r>
      <w:r>
        <w:rPr>
          <w:rFonts w:cs="Arial"/>
          <w:lang w:eastAsia="en-AU"/>
        </w:rPr>
        <w:t>°</w:t>
      </w:r>
      <w:r>
        <w:rPr>
          <w:lang w:eastAsia="en-AU"/>
        </w:rPr>
        <w:t>C for 3 days there was a 0.2 Log and 0.3 Log loss of infectivity of hNoV GII and hNoV GI, respectively on raspberries, and 0.5 Log and 1.2 Log loss of infectivity for hNoV GII and hNoV GI, respectively on strawberries. This suggests that NoVs are more persistent on raspberries compared to strawberries, which may be due to factors of the fruit matrix, such as the higher respiration rate of raspberries (described above). As berries destined for the fresh market do not undergo a washing and sanitising step, any viruses present on the berries will remain as there is no pathogen reduction step.</w:t>
      </w:r>
    </w:p>
    <w:p w14:paraId="13EE6881" w14:textId="77777777" w:rsidR="00625761" w:rsidRDefault="00625761" w:rsidP="00625761"/>
    <w:p w14:paraId="3C2BC699" w14:textId="7AECCC7F" w:rsidR="00625761" w:rsidRDefault="00625761" w:rsidP="00625761">
      <w:r>
        <w:t xml:space="preserve">There </w:t>
      </w:r>
      <w:r w:rsidRPr="00D71CBB">
        <w:t xml:space="preserve">is also evidence that viruses can internalise into berry fruit. An experimental study by DiCaprio et al. </w:t>
      </w:r>
      <w:r w:rsidR="00657FDB">
        <w:t>(2015)</w:t>
      </w:r>
      <w:r w:rsidRPr="00D71CBB">
        <w:t xml:space="preserve"> showed that NoV surrogates—murine NoV and Tulane virus—were</w:t>
      </w:r>
      <w:r>
        <w:t xml:space="preserve"> able to internalise from the soil into strawberry plants and the strawberry fruit (</w:t>
      </w:r>
      <w:r w:rsidRPr="00687BCF">
        <w:t>see Section 9.5.1.2)</w:t>
      </w:r>
      <w:r>
        <w:t>.</w:t>
      </w:r>
    </w:p>
    <w:p w14:paraId="766EBC16" w14:textId="460379A1" w:rsidR="00E44DB7" w:rsidRDefault="00E44DB7">
      <w:pPr>
        <w:widowControl/>
        <w:rPr>
          <w:lang w:bidi="ar-SA"/>
        </w:rPr>
      </w:pPr>
      <w:r>
        <w:rPr>
          <w:lang w:bidi="ar-SA"/>
        </w:rPr>
        <w:br w:type="page"/>
      </w:r>
    </w:p>
    <w:p w14:paraId="11329666" w14:textId="77777777" w:rsidR="00625761" w:rsidRPr="00E767C0" w:rsidRDefault="00625761" w:rsidP="00625761">
      <w:pPr>
        <w:pStyle w:val="Heading2"/>
        <w:numPr>
          <w:ilvl w:val="1"/>
          <w:numId w:val="11"/>
        </w:numPr>
      </w:pPr>
      <w:bookmarkStart w:id="167" w:name="_Toc56693426"/>
      <w:bookmarkStart w:id="168" w:name="_Toc58327779"/>
      <w:bookmarkStart w:id="169" w:name="_Toc58333959"/>
      <w:bookmarkStart w:id="170" w:name="_Toc64448766"/>
      <w:bookmarkStart w:id="171" w:name="_Toc87860027"/>
      <w:r w:rsidRPr="00E767C0">
        <w:t>Melons</w:t>
      </w:r>
      <w:bookmarkEnd w:id="167"/>
      <w:bookmarkEnd w:id="168"/>
      <w:bookmarkEnd w:id="169"/>
      <w:bookmarkEnd w:id="170"/>
      <w:bookmarkEnd w:id="171"/>
    </w:p>
    <w:p w14:paraId="5CC08B03" w14:textId="481CE6FB" w:rsidR="00625761" w:rsidRPr="00E767C0" w:rsidRDefault="00625761" w:rsidP="00625761">
      <w:pPr>
        <w:rPr>
          <w:i/>
          <w:lang w:bidi="ar-SA"/>
        </w:rPr>
      </w:pPr>
      <w:r w:rsidRPr="00E767C0">
        <w:rPr>
          <w:lang w:bidi="ar-SA"/>
        </w:rPr>
        <w:t>The internal flesh of</w:t>
      </w:r>
      <w:r>
        <w:rPr>
          <w:lang w:bidi="ar-SA"/>
        </w:rPr>
        <w:t xml:space="preserve"> rockmelons have a pH of 6.13-</w:t>
      </w:r>
      <w:r w:rsidRPr="00E767C0">
        <w:rPr>
          <w:lang w:bidi="ar-SA"/>
        </w:rPr>
        <w:t>6.70, water activity of 0.97</w:t>
      </w:r>
      <w:r>
        <w:rPr>
          <w:lang w:bidi="ar-SA"/>
        </w:rPr>
        <w:t>-</w:t>
      </w:r>
      <w:r w:rsidRPr="00E767C0">
        <w:rPr>
          <w:lang w:bidi="ar-SA"/>
        </w:rPr>
        <w:t>0.99, and contain sugars including fructose, glucose, and sucrose. The total soluble content of rockmelons has</w:t>
      </w:r>
      <w:r>
        <w:rPr>
          <w:lang w:bidi="ar-SA"/>
        </w:rPr>
        <w:t xml:space="preserve"> been report to range from 10-</w:t>
      </w:r>
      <w:r w:rsidRPr="00E767C0">
        <w:rPr>
          <w:lang w:bidi="ar-SA"/>
        </w:rPr>
        <w:t xml:space="preserve">15 ° Brix </w:t>
      </w:r>
      <w:r w:rsidR="00657FDB">
        <w:rPr>
          <w:lang w:bidi="ar-SA"/>
        </w:rPr>
        <w:t>(EFSA Panel on Biological Hazards 2014c)</w:t>
      </w:r>
      <w:r w:rsidRPr="00E767C0">
        <w:rPr>
          <w:lang w:bidi="ar-SA"/>
        </w:rPr>
        <w:t>. Watermelon flesh is reported to have a</w:t>
      </w:r>
      <w:r>
        <w:rPr>
          <w:lang w:bidi="ar-SA"/>
        </w:rPr>
        <w:t xml:space="preserve"> lower flesh pH range of 5.18-5.60, total soluble solid content </w:t>
      </w:r>
      <w:r w:rsidRPr="00E767C0">
        <w:rPr>
          <w:lang w:bidi="ar-SA"/>
        </w:rPr>
        <w:t>betwee</w:t>
      </w:r>
      <w:r>
        <w:rPr>
          <w:lang w:bidi="ar-SA"/>
        </w:rPr>
        <w:t>n 7-</w:t>
      </w:r>
      <w:r w:rsidRPr="00E767C0">
        <w:rPr>
          <w:lang w:bidi="ar-SA"/>
        </w:rPr>
        <w:t xml:space="preserve">9 ° Brix, but a similar water activity to rockmelons </w:t>
      </w:r>
      <w:r w:rsidR="00657FDB">
        <w:rPr>
          <w:lang w:bidi="ar-SA"/>
        </w:rPr>
        <w:t>(EFSA Panel on Biological Hazards 2014c)</w:t>
      </w:r>
      <w:r w:rsidRPr="00E767C0">
        <w:rPr>
          <w:lang w:bidi="ar-SA"/>
        </w:rPr>
        <w:t xml:space="preserve">. The flesh of both rockmelons and watermelons provides </w:t>
      </w:r>
      <w:r w:rsidRPr="008122EB">
        <w:rPr>
          <w:szCs w:val="22"/>
          <w:lang w:bidi="ar-SA"/>
        </w:rPr>
        <w:t xml:space="preserve">a favourable environment for the growth of </w:t>
      </w:r>
      <w:r w:rsidRPr="008122EB">
        <w:rPr>
          <w:i/>
          <w:szCs w:val="22"/>
          <w:lang w:bidi="ar-SA"/>
        </w:rPr>
        <w:t>L. monocytogenes</w:t>
      </w:r>
      <w:r w:rsidRPr="008122EB">
        <w:rPr>
          <w:szCs w:val="22"/>
          <w:lang w:bidi="ar-SA"/>
        </w:rPr>
        <w:t xml:space="preserve"> and </w:t>
      </w:r>
      <w:r w:rsidRPr="008122EB">
        <w:rPr>
          <w:i/>
          <w:szCs w:val="22"/>
          <w:lang w:bidi="ar-SA"/>
        </w:rPr>
        <w:t xml:space="preserve">Salmonella </w:t>
      </w:r>
      <w:r w:rsidRPr="008122EB">
        <w:rPr>
          <w:szCs w:val="22"/>
          <w:lang w:bidi="ar-SA"/>
        </w:rPr>
        <w:t>spp</w:t>
      </w:r>
      <w:r w:rsidRPr="008122EB">
        <w:rPr>
          <w:i/>
          <w:szCs w:val="22"/>
          <w:lang w:bidi="ar-SA"/>
        </w:rPr>
        <w:t xml:space="preserve">. </w:t>
      </w:r>
      <w:r w:rsidRPr="008122EB">
        <w:rPr>
          <w:szCs w:val="22"/>
          <w:lang w:bidi="ar-SA"/>
        </w:rPr>
        <w:t xml:space="preserve">Rockmelon and watermelon are the fruit produced respectively from </w:t>
      </w:r>
      <w:r w:rsidRPr="008122EB">
        <w:rPr>
          <w:i/>
          <w:szCs w:val="22"/>
          <w:lang w:bidi="ar-SA"/>
        </w:rPr>
        <w:t>Cucumis melo</w:t>
      </w:r>
      <w:r w:rsidRPr="008122EB">
        <w:rPr>
          <w:szCs w:val="22"/>
          <w:lang w:bidi="ar-SA"/>
        </w:rPr>
        <w:t xml:space="preserve"> and </w:t>
      </w:r>
      <w:r w:rsidRPr="008122EB">
        <w:rPr>
          <w:rFonts w:cs="Arial"/>
          <w:i/>
          <w:color w:val="202124"/>
          <w:szCs w:val="22"/>
          <w:shd w:val="clear" w:color="auto" w:fill="FFFFFF"/>
        </w:rPr>
        <w:t>Citrullus lanatus</w:t>
      </w:r>
      <w:r w:rsidRPr="008122EB">
        <w:rPr>
          <w:szCs w:val="22"/>
          <w:lang w:bidi="ar-SA"/>
        </w:rPr>
        <w:t xml:space="preserve"> that are species of annual plants that grow with weak stems that can be up to 3m long and trail along the ground. </w:t>
      </w:r>
      <w:r w:rsidRPr="008122EB">
        <w:rPr>
          <w:i/>
          <w:szCs w:val="22"/>
          <w:lang w:bidi="ar-SA"/>
        </w:rPr>
        <w:t xml:space="preserve">Cucumis melo </w:t>
      </w:r>
      <w:r w:rsidRPr="008122EB">
        <w:rPr>
          <w:szCs w:val="22"/>
          <w:lang w:bidi="ar-SA"/>
        </w:rPr>
        <w:t>includes a number of varieties of melons including both smooth and netted melons</w:t>
      </w:r>
      <w:r>
        <w:rPr>
          <w:lang w:bidi="ar-SA"/>
        </w:rPr>
        <w:t xml:space="preserve">. </w:t>
      </w:r>
    </w:p>
    <w:p w14:paraId="61A1E8A0" w14:textId="77777777" w:rsidR="00625761" w:rsidRPr="00E767C0" w:rsidRDefault="00625761" w:rsidP="00625761">
      <w:pPr>
        <w:rPr>
          <w:lang w:bidi="ar-SA"/>
        </w:rPr>
      </w:pPr>
    </w:p>
    <w:p w14:paraId="1B66299B" w14:textId="00921063" w:rsidR="00625761" w:rsidRDefault="00625761" w:rsidP="00705359">
      <w:pPr>
        <w:pStyle w:val="CitaviBibliography"/>
        <w:spacing w:after="0" w:line="240" w:lineRule="auto"/>
      </w:pPr>
      <w:r>
        <w:t>R</w:t>
      </w:r>
      <w:r w:rsidRPr="00E767C0">
        <w:t>ockmelon have a raised netted rind that make the surface rougher than un-netted varieties and may provide attachment sites and protection for microbial pathogens from sanitisers and other mitigation measures. The netting develops from the b</w:t>
      </w:r>
      <w:r>
        <w:t>lossom end when melons are</w:t>
      </w:r>
      <w:r>
        <w:br/>
        <w:t>10-</w:t>
      </w:r>
      <w:r w:rsidRPr="00E767C0">
        <w:t xml:space="preserve">12 days old and is formed by natural cracking on the rind that covers the entire fruit by the end of the fruit expansion stage. These cracks are then sealed by the formation of a thick raised cuticle </w:t>
      </w:r>
      <w:r w:rsidR="00657FDB">
        <w:t>(Keren-Keiserman et al. 2004)</w:t>
      </w:r>
      <w:r w:rsidRPr="00E767C0">
        <w:t>. In contrast,</w:t>
      </w:r>
      <w:r>
        <w:t xml:space="preserve"> watermelons have a comparatively smoother surface, and</w:t>
      </w:r>
      <w:r w:rsidRPr="00E767C0">
        <w:t xml:space="preserve"> experimental quantification of surface roughness by scanning interferometry demonstrated the significantly smoother surface of watermelons compared to rockmelons </w:t>
      </w:r>
      <w:r w:rsidR="00657FDB">
        <w:t>(Kwon et al. 2018)</w:t>
      </w:r>
      <w:r w:rsidRPr="00E767C0">
        <w:t>.</w:t>
      </w:r>
      <w:r>
        <w:t xml:space="preserve"> Furthermore, the surface </w:t>
      </w:r>
      <w:r w:rsidRPr="0042236B">
        <w:t>of lett</w:t>
      </w:r>
      <w:r>
        <w:t>uce, spinach and rockmelon had a similar</w:t>
      </w:r>
      <w:r w:rsidRPr="0042236B">
        <w:t xml:space="preserve"> highest surface roughness compared to apples, tomatoes, and oranges that had the smallest surface roughness</w:t>
      </w:r>
      <w:r>
        <w:t xml:space="preserve"> when examined using confocal microscopy</w:t>
      </w:r>
      <w:r w:rsidRPr="0042236B">
        <w:t xml:space="preserve"> </w:t>
      </w:r>
      <w:r w:rsidR="00657FDB">
        <w:t>(Lazouskaya et al. 2016)</w:t>
      </w:r>
      <w:r w:rsidRPr="0042236B">
        <w:t>.</w:t>
      </w:r>
      <w:r>
        <w:t xml:space="preserve"> </w:t>
      </w:r>
      <w:r w:rsidRPr="00E767C0">
        <w:t xml:space="preserve">While there is some evidence that suggest the surface roughness of rockmelons may reduce the efficacy of sanitisers directly compared to the smoother surface of watermelons </w:t>
      </w:r>
      <w:r w:rsidR="00657FDB">
        <w:t>(Kwon et al. 2018)</w:t>
      </w:r>
      <w:r w:rsidRPr="00E767C0">
        <w:t>, the potential for pathogens to initially attach with a higher probability to rockmelons compared to watermelons is poorly documented in the literature.</w:t>
      </w:r>
    </w:p>
    <w:p w14:paraId="7E8B6234" w14:textId="77777777" w:rsidR="008E5E67" w:rsidRPr="00E767C0" w:rsidRDefault="008E5E67" w:rsidP="00705359">
      <w:pPr>
        <w:pStyle w:val="CitaviBibliography"/>
        <w:spacing w:after="0" w:line="240" w:lineRule="auto"/>
      </w:pPr>
    </w:p>
    <w:p w14:paraId="3956CCDE" w14:textId="6F1FB975" w:rsidR="00625761" w:rsidRPr="00E767C0" w:rsidRDefault="00625761" w:rsidP="00705359">
      <w:pPr>
        <w:rPr>
          <w:lang w:bidi="ar-SA"/>
        </w:rPr>
      </w:pPr>
      <w:r>
        <w:t>However, s</w:t>
      </w:r>
      <w:r w:rsidRPr="00E767C0">
        <w:t xml:space="preserve">tudies have attributed significantly higher populations of </w:t>
      </w:r>
      <w:r w:rsidRPr="00E767C0">
        <w:rPr>
          <w:rFonts w:cs="Arial"/>
          <w:shd w:val="clear" w:color="auto" w:fill="FFFFFF"/>
        </w:rPr>
        <w:t xml:space="preserve">bacteria, yeast, </w:t>
      </w:r>
      <w:r w:rsidRPr="00E767C0">
        <w:rPr>
          <w:shd w:val="clear" w:color="auto" w:fill="FFFFFF"/>
        </w:rPr>
        <w:t xml:space="preserve">and </w:t>
      </w:r>
      <w:r w:rsidRPr="00E767C0">
        <w:rPr>
          <w:rFonts w:cs="Arial"/>
          <w:shd w:val="clear" w:color="auto" w:fill="FFFFFF"/>
        </w:rPr>
        <w:t>mould</w:t>
      </w:r>
      <w:r w:rsidRPr="00E767C0">
        <w:t xml:space="preserve"> observed on rockmelons compared to smoother surfaced melons to surface characteristics </w:t>
      </w:r>
      <w:r w:rsidR="00657FDB">
        <w:t>(Ukuku et al. 2019; Ukuku and Sapers 2007)</w:t>
      </w:r>
      <w:r w:rsidRPr="00E767C0">
        <w:t xml:space="preserve">, </w:t>
      </w:r>
      <w:r>
        <w:t>and</w:t>
      </w:r>
      <w:r w:rsidRPr="00E767C0">
        <w:t xml:space="preserve"> the differences in attached </w:t>
      </w:r>
      <w:r w:rsidRPr="00E767C0">
        <w:rPr>
          <w:i/>
        </w:rPr>
        <w:t>Salmonella</w:t>
      </w:r>
      <w:r w:rsidRPr="00E767C0">
        <w:t xml:space="preserve"> </w:t>
      </w:r>
      <w:r>
        <w:t xml:space="preserve">spp. </w:t>
      </w:r>
      <w:r w:rsidRPr="00E767C0">
        <w:t xml:space="preserve">or </w:t>
      </w:r>
      <w:r w:rsidRPr="00E767C0">
        <w:rPr>
          <w:i/>
        </w:rPr>
        <w:t xml:space="preserve">L. </w:t>
      </w:r>
      <w:r w:rsidRPr="00E767C0">
        <w:t xml:space="preserve">monocytogenes inoculated on to the surface of rockmelons compared to watermelons or honeydew differed </w:t>
      </w:r>
      <w:r>
        <w:t>from 0-</w:t>
      </w:r>
      <w:r w:rsidRPr="00E767C0">
        <w:t xml:space="preserve">0.6 Log </w:t>
      </w:r>
      <w:r w:rsidR="00657FDB">
        <w:t>(Kwon et al. 2018; Ukuku et al. 2019; Ukuku and Sapers 2007)</w:t>
      </w:r>
      <w:r w:rsidRPr="00E767C0">
        <w:t xml:space="preserve">. </w:t>
      </w:r>
      <w:r w:rsidRPr="00E767C0">
        <w:rPr>
          <w:lang w:bidi="ar-SA"/>
        </w:rPr>
        <w:t xml:space="preserve">The surface characteristics of netted rockmelon may provide further protection slowing inactivation in the field environment, however, comparative studies of pathogen survival between watermelon and rockmelon were not identified. </w:t>
      </w:r>
    </w:p>
    <w:p w14:paraId="51FE24E8" w14:textId="77777777" w:rsidR="00625761" w:rsidRPr="00E767C0" w:rsidRDefault="00625761" w:rsidP="00625761">
      <w:pPr>
        <w:rPr>
          <w:i/>
          <w:lang w:bidi="ar-SA"/>
        </w:rPr>
      </w:pPr>
    </w:p>
    <w:p w14:paraId="1DDAC455" w14:textId="623D7C13" w:rsidR="00625761" w:rsidRPr="00E767C0" w:rsidRDefault="00625761" w:rsidP="00625761">
      <w:pPr>
        <w:rPr>
          <w:lang w:bidi="ar-SA"/>
        </w:rPr>
      </w:pPr>
      <w:r w:rsidRPr="00E767C0">
        <w:rPr>
          <w:lang w:bidi="ar-SA"/>
        </w:rPr>
        <w:t xml:space="preserve">There is evidence that </w:t>
      </w:r>
      <w:r w:rsidRPr="00E767C0">
        <w:rPr>
          <w:i/>
          <w:lang w:bidi="ar-SA"/>
        </w:rPr>
        <w:t>L. monocytogenes</w:t>
      </w:r>
      <w:r w:rsidRPr="00E767C0">
        <w:rPr>
          <w:lang w:bidi="ar-SA"/>
        </w:rPr>
        <w:t xml:space="preserve"> and </w:t>
      </w:r>
      <w:r w:rsidRPr="00E767C0">
        <w:rPr>
          <w:i/>
          <w:lang w:bidi="ar-SA"/>
        </w:rPr>
        <w:t>Salmonella</w:t>
      </w:r>
      <w:r w:rsidRPr="00E767C0">
        <w:rPr>
          <w:lang w:bidi="ar-SA"/>
        </w:rPr>
        <w:t xml:space="preserve"> </w:t>
      </w:r>
      <w:r>
        <w:rPr>
          <w:lang w:bidi="ar-SA"/>
        </w:rPr>
        <w:t xml:space="preserve">spp. </w:t>
      </w:r>
      <w:r w:rsidRPr="00E767C0">
        <w:rPr>
          <w:lang w:bidi="ar-SA"/>
        </w:rPr>
        <w:t xml:space="preserve">can grow both in the flesh and on the rind of rockmelons. A number of studies have investigated the growth rate of </w:t>
      </w:r>
      <w:r>
        <w:rPr>
          <w:i/>
          <w:lang w:bidi="ar-SA"/>
        </w:rPr>
        <w:t>L. </w:t>
      </w:r>
      <w:r w:rsidRPr="00E767C0">
        <w:rPr>
          <w:i/>
          <w:lang w:bidi="ar-SA"/>
        </w:rPr>
        <w:t xml:space="preserve">monocytogenes </w:t>
      </w:r>
      <w:r w:rsidRPr="00E767C0">
        <w:rPr>
          <w:lang w:bidi="ar-SA"/>
        </w:rPr>
        <w:t xml:space="preserve">and </w:t>
      </w:r>
      <w:r w:rsidRPr="00E767C0">
        <w:rPr>
          <w:i/>
          <w:lang w:bidi="ar-SA"/>
        </w:rPr>
        <w:t>Salmonella</w:t>
      </w:r>
      <w:r w:rsidRPr="00E767C0">
        <w:rPr>
          <w:lang w:bidi="ar-SA"/>
        </w:rPr>
        <w:t xml:space="preserve"> </w:t>
      </w:r>
      <w:r>
        <w:rPr>
          <w:lang w:bidi="ar-SA"/>
        </w:rPr>
        <w:t xml:space="preserve">spp. </w:t>
      </w:r>
      <w:r w:rsidRPr="00E767C0">
        <w:rPr>
          <w:lang w:bidi="ar-SA"/>
        </w:rPr>
        <w:t xml:space="preserve">at different temperatures on the flesh of melons and include a number of predictive models. Notably, the growth rates of </w:t>
      </w:r>
      <w:r w:rsidRPr="00E767C0">
        <w:rPr>
          <w:i/>
          <w:lang w:bidi="ar-SA"/>
        </w:rPr>
        <w:t>L. monocytogenes</w:t>
      </w:r>
      <w:r w:rsidRPr="00E767C0">
        <w:rPr>
          <w:lang w:bidi="ar-SA"/>
        </w:rPr>
        <w:t xml:space="preserve"> </w:t>
      </w:r>
      <w:r w:rsidR="00657FDB">
        <w:rPr>
          <w:lang w:bidi="ar-SA"/>
        </w:rPr>
        <w:t>(Danyluk et al. 2014; Penteado and Leitão 2004a)</w:t>
      </w:r>
      <w:r w:rsidRPr="00E767C0">
        <w:rPr>
          <w:lang w:bidi="ar-SA"/>
        </w:rPr>
        <w:t xml:space="preserve"> and </w:t>
      </w:r>
      <w:r w:rsidRPr="00E767C0">
        <w:rPr>
          <w:i/>
          <w:lang w:bidi="ar-SA"/>
        </w:rPr>
        <w:t xml:space="preserve">Salmonella </w:t>
      </w:r>
      <w:r>
        <w:rPr>
          <w:lang w:bidi="ar-SA"/>
        </w:rPr>
        <w:t>spp.</w:t>
      </w:r>
      <w:r w:rsidRPr="00E767C0">
        <w:rPr>
          <w:i/>
          <w:lang w:bidi="ar-SA"/>
        </w:rPr>
        <w:t xml:space="preserve"> </w:t>
      </w:r>
      <w:r w:rsidR="00657FDB">
        <w:rPr>
          <w:lang w:bidi="ar-SA"/>
        </w:rPr>
        <w:t>(Golden et al. 1993; Li et al. 2013; Penteado and Leitão 2004b)</w:t>
      </w:r>
      <w:r w:rsidRPr="00E767C0">
        <w:rPr>
          <w:i/>
          <w:lang w:bidi="ar-SA"/>
        </w:rPr>
        <w:t xml:space="preserve"> </w:t>
      </w:r>
      <w:r w:rsidRPr="00E767C0">
        <w:rPr>
          <w:lang w:bidi="ar-SA"/>
        </w:rPr>
        <w:t>have been shown to be similar for watermelon and rockmelon</w:t>
      </w:r>
      <w:r>
        <w:rPr>
          <w:lang w:bidi="ar-SA"/>
        </w:rPr>
        <w:t xml:space="preserve"> flesh</w:t>
      </w:r>
      <w:r w:rsidRPr="00E767C0">
        <w:rPr>
          <w:lang w:bidi="ar-SA"/>
        </w:rPr>
        <w:t xml:space="preserve"> despite the slight difference in pH. The comparison of a</w:t>
      </w:r>
      <w:r>
        <w:rPr>
          <w:i/>
          <w:lang w:bidi="ar-SA"/>
        </w:rPr>
        <w:t xml:space="preserve"> L. </w:t>
      </w:r>
      <w:r w:rsidRPr="00E767C0">
        <w:rPr>
          <w:i/>
          <w:lang w:bidi="ar-SA"/>
        </w:rPr>
        <w:t xml:space="preserve">monocytogenes </w:t>
      </w:r>
      <w:r w:rsidRPr="00E767C0">
        <w:rPr>
          <w:lang w:bidi="ar-SA"/>
        </w:rPr>
        <w:t xml:space="preserve">model for growth in cut melons </w:t>
      </w:r>
      <w:r w:rsidR="00657FDB">
        <w:rPr>
          <w:lang w:bidi="ar-SA"/>
        </w:rPr>
        <w:t>(Danyluk et al. 2014)</w:t>
      </w:r>
      <w:r w:rsidRPr="00E767C0">
        <w:rPr>
          <w:lang w:bidi="ar-SA"/>
        </w:rPr>
        <w:t xml:space="preserve"> compared to that of </w:t>
      </w:r>
      <w:r w:rsidRPr="00E767C0">
        <w:rPr>
          <w:i/>
          <w:lang w:bidi="ar-SA"/>
        </w:rPr>
        <w:t>Salmonella</w:t>
      </w:r>
      <w:r>
        <w:rPr>
          <w:i/>
          <w:lang w:bidi="ar-SA"/>
        </w:rPr>
        <w:t xml:space="preserve"> </w:t>
      </w:r>
      <w:r>
        <w:rPr>
          <w:lang w:bidi="ar-SA"/>
        </w:rPr>
        <w:t>spp.</w:t>
      </w:r>
      <w:r w:rsidRPr="00E767C0">
        <w:rPr>
          <w:lang w:bidi="ar-SA"/>
        </w:rPr>
        <w:t xml:space="preserve"> </w:t>
      </w:r>
      <w:r w:rsidR="00657FDB">
        <w:rPr>
          <w:lang w:bidi="ar-SA"/>
        </w:rPr>
        <w:t>(Li et al. 2013)</w:t>
      </w:r>
      <w:r w:rsidRPr="00E767C0">
        <w:rPr>
          <w:lang w:bidi="ar-SA"/>
        </w:rPr>
        <w:t xml:space="preserve"> showed that </w:t>
      </w:r>
      <w:r w:rsidRPr="00E767C0">
        <w:rPr>
          <w:i/>
          <w:lang w:bidi="ar-SA"/>
        </w:rPr>
        <w:t xml:space="preserve">L. monocytogenes </w:t>
      </w:r>
      <w:r w:rsidRPr="00E767C0">
        <w:rPr>
          <w:lang w:bidi="ar-SA"/>
        </w:rPr>
        <w:t>has faster growth r</w:t>
      </w:r>
      <w:r>
        <w:rPr>
          <w:lang w:bidi="ar-SA"/>
        </w:rPr>
        <w:t>ates at lower temperatures (4-</w:t>
      </w:r>
      <w:r w:rsidRPr="00E767C0">
        <w:rPr>
          <w:lang w:bidi="ar-SA"/>
        </w:rPr>
        <w:t>20</w:t>
      </w:r>
      <w:r w:rsidRPr="00E767C0">
        <w:rPr>
          <w:rFonts w:cs="Arial"/>
          <w:lang w:bidi="ar-SA"/>
        </w:rPr>
        <w:t>°</w:t>
      </w:r>
      <w:r w:rsidRPr="00E767C0">
        <w:rPr>
          <w:lang w:bidi="ar-SA"/>
        </w:rPr>
        <w:t>C), but at temperat</w:t>
      </w:r>
      <w:r>
        <w:rPr>
          <w:lang w:bidi="ar-SA"/>
        </w:rPr>
        <w:t>ures 20-</w:t>
      </w:r>
      <w:r w:rsidRPr="00E767C0">
        <w:rPr>
          <w:lang w:bidi="ar-SA"/>
        </w:rPr>
        <w:t>25</w:t>
      </w:r>
      <w:r w:rsidRPr="00E767C0">
        <w:rPr>
          <w:rFonts w:cs="Arial"/>
          <w:lang w:bidi="ar-SA"/>
        </w:rPr>
        <w:t>°</w:t>
      </w:r>
      <w:r w:rsidRPr="00E767C0">
        <w:rPr>
          <w:lang w:bidi="ar-SA"/>
        </w:rPr>
        <w:t xml:space="preserve">C </w:t>
      </w:r>
      <w:r w:rsidRPr="00E767C0">
        <w:rPr>
          <w:i/>
          <w:lang w:bidi="ar-SA"/>
        </w:rPr>
        <w:t>Salmonella</w:t>
      </w:r>
      <w:r w:rsidRPr="00E767C0">
        <w:rPr>
          <w:lang w:bidi="ar-SA"/>
        </w:rPr>
        <w:t xml:space="preserve"> </w:t>
      </w:r>
      <w:r>
        <w:rPr>
          <w:lang w:bidi="ar-SA"/>
        </w:rPr>
        <w:t xml:space="preserve">spp. </w:t>
      </w:r>
      <w:r w:rsidRPr="00E767C0">
        <w:rPr>
          <w:lang w:bidi="ar-SA"/>
        </w:rPr>
        <w:t>growth outpaces</w:t>
      </w:r>
      <w:r w:rsidRPr="00E767C0">
        <w:rPr>
          <w:i/>
          <w:lang w:bidi="ar-SA"/>
        </w:rPr>
        <w:t xml:space="preserve"> L. monocytogenes. </w:t>
      </w:r>
      <w:r>
        <w:rPr>
          <w:lang w:bidi="ar-SA"/>
        </w:rPr>
        <w:t>As noted by the authors, ‘</w:t>
      </w:r>
      <w:r w:rsidRPr="00E767C0">
        <w:rPr>
          <w:i/>
          <w:lang w:bidi="ar-SA"/>
        </w:rPr>
        <w:t xml:space="preserve">Salmonella </w:t>
      </w:r>
      <w:r w:rsidRPr="00E767C0">
        <w:rPr>
          <w:lang w:bidi="ar-SA"/>
        </w:rPr>
        <w:t xml:space="preserve">are generally considered to have a much higher probability of illness when low doses are ingested (FAO/WHO, 2002) compared to </w:t>
      </w:r>
      <w:r w:rsidRPr="00E767C0">
        <w:rPr>
          <w:i/>
          <w:lang w:bidi="ar-SA"/>
        </w:rPr>
        <w:t xml:space="preserve">L. monocytogenes </w:t>
      </w:r>
      <w:r w:rsidRPr="00E767C0">
        <w:rPr>
          <w:lang w:bidi="ar-SA"/>
        </w:rPr>
        <w:t xml:space="preserve">(FAO/WHO, 2004); the relatively lower growth rate on cut melons does not hinder the potential of </w:t>
      </w:r>
      <w:r w:rsidRPr="00E767C0">
        <w:rPr>
          <w:i/>
          <w:lang w:bidi="ar-SA"/>
        </w:rPr>
        <w:t>Salmonella</w:t>
      </w:r>
      <w:r w:rsidRPr="00E767C0">
        <w:rPr>
          <w:lang w:bidi="ar-SA"/>
        </w:rPr>
        <w:t xml:space="preserve"> to cause more outbreaks and cases than </w:t>
      </w:r>
      <w:r>
        <w:rPr>
          <w:i/>
          <w:lang w:bidi="ar-SA"/>
        </w:rPr>
        <w:t>L. </w:t>
      </w:r>
      <w:r w:rsidRPr="00E767C0">
        <w:rPr>
          <w:i/>
          <w:lang w:bidi="ar-SA"/>
        </w:rPr>
        <w:t>monocytogenes</w:t>
      </w:r>
      <w:r>
        <w:rPr>
          <w:lang w:bidi="ar-SA"/>
        </w:rPr>
        <w:t>’</w:t>
      </w:r>
      <w:r w:rsidRPr="00E767C0">
        <w:rPr>
          <w:lang w:bidi="ar-SA"/>
        </w:rPr>
        <w:t xml:space="preserve">. </w:t>
      </w:r>
    </w:p>
    <w:p w14:paraId="6CAAA181" w14:textId="77777777" w:rsidR="00625761" w:rsidRPr="00E767C0" w:rsidRDefault="00625761" w:rsidP="00625761">
      <w:pPr>
        <w:rPr>
          <w:lang w:bidi="ar-SA"/>
        </w:rPr>
      </w:pPr>
    </w:p>
    <w:p w14:paraId="6902CDA5" w14:textId="1DCD19D4" w:rsidR="00625761" w:rsidRPr="00E767C0" w:rsidRDefault="00625761" w:rsidP="00625761">
      <w:pPr>
        <w:rPr>
          <w:lang w:bidi="ar-SA"/>
        </w:rPr>
      </w:pPr>
      <w:r>
        <w:rPr>
          <w:lang w:bidi="ar-SA"/>
        </w:rPr>
        <w:t>A comparison of two growth models</w:t>
      </w:r>
      <w:r w:rsidRPr="00E767C0">
        <w:rPr>
          <w:lang w:bidi="ar-SA"/>
        </w:rPr>
        <w:t xml:space="preserve"> demonstrated a high level of agreement predict</w:t>
      </w:r>
      <w:r>
        <w:rPr>
          <w:lang w:bidi="ar-SA"/>
        </w:rPr>
        <w:t>ing</w:t>
      </w:r>
      <w:r w:rsidRPr="00E767C0">
        <w:rPr>
          <w:lang w:bidi="ar-SA"/>
        </w:rPr>
        <w:t xml:space="preserve"> that a single cell of </w:t>
      </w:r>
      <w:r w:rsidRPr="00E767C0">
        <w:rPr>
          <w:i/>
          <w:lang w:bidi="ar-SA"/>
        </w:rPr>
        <w:t xml:space="preserve">L. monocytogenes </w:t>
      </w:r>
      <w:r w:rsidRPr="00E767C0">
        <w:rPr>
          <w:lang w:bidi="ar-SA"/>
        </w:rPr>
        <w:t xml:space="preserve">on melon </w:t>
      </w:r>
      <w:r>
        <w:rPr>
          <w:lang w:bidi="ar-SA"/>
        </w:rPr>
        <w:t>flesh at room temperature (20-</w:t>
      </w:r>
      <w:r w:rsidRPr="00E767C0">
        <w:rPr>
          <w:lang w:bidi="ar-SA"/>
        </w:rPr>
        <w:t>25</w:t>
      </w:r>
      <w:r w:rsidRPr="00E767C0">
        <w:rPr>
          <w:rFonts w:cs="Arial"/>
          <w:lang w:bidi="ar-SA"/>
        </w:rPr>
        <w:t>°</w:t>
      </w:r>
      <w:r w:rsidRPr="00E767C0">
        <w:rPr>
          <w:lang w:bidi="ar-SA"/>
        </w:rPr>
        <w:t xml:space="preserve">C) could grow quickly to levels that would have a high probability of causing illness in susceptible consumers </w:t>
      </w:r>
      <w:r w:rsidR="00657FDB">
        <w:rPr>
          <w:lang w:bidi="ar-SA"/>
        </w:rPr>
        <w:t>(Bartlett et al. 2020; Danyluk et al. 2014; Fang et al. 2013)</w:t>
      </w:r>
      <w:r w:rsidRPr="00E767C0">
        <w:rPr>
          <w:lang w:bidi="ar-SA"/>
        </w:rPr>
        <w:t xml:space="preserve">. </w:t>
      </w:r>
      <w:r w:rsidRPr="00E767C0">
        <w:rPr>
          <w:i/>
          <w:lang w:bidi="ar-SA"/>
        </w:rPr>
        <w:t>Salmonella</w:t>
      </w:r>
      <w:r w:rsidRPr="00E767C0">
        <w:rPr>
          <w:lang w:bidi="ar-SA"/>
        </w:rPr>
        <w:t xml:space="preserve"> </w:t>
      </w:r>
      <w:r>
        <w:rPr>
          <w:lang w:bidi="ar-SA"/>
        </w:rPr>
        <w:t>spp. can also</w:t>
      </w:r>
      <w:r w:rsidRPr="00E767C0">
        <w:rPr>
          <w:lang w:bidi="ar-SA"/>
        </w:rPr>
        <w:t xml:space="preserve"> grow quickly to levels that have a high probability of causing illness at ambient temperatures </w:t>
      </w:r>
      <w:r w:rsidR="00657FDB">
        <w:rPr>
          <w:lang w:bidi="ar-SA"/>
        </w:rPr>
        <w:t>(Li et al. 2013)</w:t>
      </w:r>
      <w:r w:rsidRPr="00E767C0">
        <w:rPr>
          <w:lang w:bidi="ar-SA"/>
        </w:rPr>
        <w:t xml:space="preserve">. In contrast, </w:t>
      </w:r>
      <w:r w:rsidRPr="00E767C0">
        <w:rPr>
          <w:rFonts w:cstheme="minorHAnsi"/>
        </w:rPr>
        <w:t>if melon was stored at 5°C, due to the effect of lower temperatures slowing microbial growth rates, it is predicted</w:t>
      </w:r>
      <w:r>
        <w:rPr>
          <w:rFonts w:cstheme="minorHAnsi"/>
        </w:rPr>
        <w:t xml:space="preserve"> to take 2-</w:t>
      </w:r>
      <w:r w:rsidRPr="00E767C0">
        <w:rPr>
          <w:rFonts w:cstheme="minorHAnsi"/>
        </w:rPr>
        <w:t xml:space="preserve">3 weeks for a single cell of </w:t>
      </w:r>
      <w:r w:rsidRPr="00E767C0">
        <w:rPr>
          <w:rFonts w:cstheme="minorHAnsi"/>
          <w:i/>
          <w:iCs/>
        </w:rPr>
        <w:t xml:space="preserve">L. monocytogenes </w:t>
      </w:r>
      <w:r w:rsidRPr="00E767C0">
        <w:rPr>
          <w:rFonts w:cstheme="minorHAnsi"/>
        </w:rPr>
        <w:t xml:space="preserve">to grow to levels likely to cause illness in a </w:t>
      </w:r>
      <w:r w:rsidRPr="00E767C0">
        <w:rPr>
          <w:rFonts w:cstheme="minorHAnsi"/>
          <w:iCs/>
        </w:rPr>
        <w:t>susceptible</w:t>
      </w:r>
      <w:r w:rsidRPr="00E767C0">
        <w:rPr>
          <w:rFonts w:cstheme="minorHAnsi"/>
        </w:rPr>
        <w:t xml:space="preserve"> consumer, and storage at this temperature or below </w:t>
      </w:r>
      <w:r>
        <w:rPr>
          <w:rFonts w:cstheme="minorHAnsi"/>
        </w:rPr>
        <w:t>sh</w:t>
      </w:r>
      <w:r w:rsidRPr="00E767C0">
        <w:rPr>
          <w:rFonts w:cstheme="minorHAnsi"/>
        </w:rPr>
        <w:t xml:space="preserve">ould prevent the growth of </w:t>
      </w:r>
      <w:r w:rsidRPr="00E767C0">
        <w:rPr>
          <w:rFonts w:cstheme="minorHAnsi"/>
          <w:i/>
        </w:rPr>
        <w:t>Salmonella</w:t>
      </w:r>
      <w:r>
        <w:rPr>
          <w:rFonts w:cstheme="minorHAnsi"/>
          <w:i/>
        </w:rPr>
        <w:t> </w:t>
      </w:r>
      <w:r>
        <w:rPr>
          <w:rFonts w:cstheme="minorHAnsi"/>
        </w:rPr>
        <w:t>spp</w:t>
      </w:r>
      <w:r w:rsidRPr="00E767C0">
        <w:rPr>
          <w:rFonts w:cstheme="minorHAnsi"/>
          <w:i/>
        </w:rPr>
        <w:t xml:space="preserve">. </w:t>
      </w:r>
    </w:p>
    <w:p w14:paraId="2B980F7B" w14:textId="77777777" w:rsidR="00625761" w:rsidRPr="00E767C0" w:rsidRDefault="00625761" w:rsidP="00625761">
      <w:pPr>
        <w:rPr>
          <w:lang w:bidi="ar-SA"/>
        </w:rPr>
      </w:pPr>
    </w:p>
    <w:p w14:paraId="0396A1AD" w14:textId="49AD7E39" w:rsidR="00625761" w:rsidRPr="00E767C0" w:rsidRDefault="00625761" w:rsidP="00625761">
      <w:pPr>
        <w:rPr>
          <w:lang w:bidi="ar-SA"/>
        </w:rPr>
      </w:pPr>
      <w:r w:rsidRPr="00E767C0">
        <w:rPr>
          <w:lang w:bidi="ar-SA"/>
        </w:rPr>
        <w:t xml:space="preserve">The available data in the literature suggest that growth on the rind of rockmelons is possible </w:t>
      </w:r>
      <w:r>
        <w:rPr>
          <w:lang w:bidi="ar-SA"/>
        </w:rPr>
        <w:t>for</w:t>
      </w:r>
      <w:r w:rsidRPr="00E767C0">
        <w:rPr>
          <w:lang w:bidi="ar-SA"/>
        </w:rPr>
        <w:t xml:space="preserve"> </w:t>
      </w:r>
      <w:r w:rsidRPr="00E767C0">
        <w:rPr>
          <w:i/>
          <w:lang w:bidi="ar-SA"/>
        </w:rPr>
        <w:t>L. monocytogenes</w:t>
      </w:r>
      <w:r w:rsidRPr="00E767C0">
        <w:rPr>
          <w:lang w:bidi="ar-SA"/>
        </w:rPr>
        <w:t>, however, the results are less consistent</w:t>
      </w:r>
      <w:r>
        <w:rPr>
          <w:lang w:bidi="ar-SA"/>
        </w:rPr>
        <w:t xml:space="preserve"> than growth in the flesh</w:t>
      </w:r>
      <w:r w:rsidRPr="00E767C0">
        <w:rPr>
          <w:lang w:bidi="ar-SA"/>
        </w:rPr>
        <w:t xml:space="preserve"> </w:t>
      </w:r>
      <w:r w:rsidR="00657FDB">
        <w:rPr>
          <w:lang w:bidi="ar-SA"/>
        </w:rPr>
        <w:t>(Salazar et al. 2017; Scolforo et al. 2017)</w:t>
      </w:r>
      <w:r w:rsidRPr="00E767C0">
        <w:rPr>
          <w:lang w:bidi="ar-SA"/>
        </w:rPr>
        <w:t xml:space="preserve">. Consequently, there is less agreement on the growth rates on the rind compared to on the flesh. Regardless, there is evidence that growth can occur at </w:t>
      </w:r>
      <w:r w:rsidRPr="00E767C0">
        <w:rPr>
          <w:rFonts w:cstheme="minorHAnsi"/>
        </w:rPr>
        <w:t xml:space="preserve">relatively high rates at optimal temperatures, particularly if rockmelons are not refrigerated, retain surface moisture, or develop condensation. Similarly, </w:t>
      </w:r>
      <w:r w:rsidRPr="00E767C0">
        <w:rPr>
          <w:rFonts w:cstheme="minorHAnsi"/>
          <w:i/>
        </w:rPr>
        <w:t xml:space="preserve">Salmonella </w:t>
      </w:r>
      <w:r>
        <w:rPr>
          <w:rFonts w:cstheme="minorHAnsi"/>
        </w:rPr>
        <w:t>spp. have</w:t>
      </w:r>
      <w:r w:rsidRPr="00E767C0">
        <w:rPr>
          <w:rFonts w:cstheme="minorHAnsi"/>
        </w:rPr>
        <w:t xml:space="preserve"> been reported to grow on the rind of rockmelons stored at room temperature and 37</w:t>
      </w:r>
      <w:r w:rsidRPr="00E767C0">
        <w:rPr>
          <w:rFonts w:cs="Arial"/>
        </w:rPr>
        <w:t>°</w:t>
      </w:r>
      <w:r w:rsidRPr="00E767C0">
        <w:rPr>
          <w:rFonts w:cstheme="minorHAnsi"/>
        </w:rPr>
        <w:t xml:space="preserve">C </w:t>
      </w:r>
      <w:r w:rsidR="00657FDB">
        <w:rPr>
          <w:rFonts w:cstheme="minorHAnsi"/>
        </w:rPr>
        <w:t>(Annous et al. 2005; Beuchat and Scouten 2004)</w:t>
      </w:r>
      <w:r w:rsidRPr="00E767C0">
        <w:rPr>
          <w:lang w:bidi="ar-SA"/>
        </w:rPr>
        <w:t xml:space="preserve">. No data regarding the survival or growth of the pathogens on watermelon rind was identified. </w:t>
      </w:r>
    </w:p>
    <w:p w14:paraId="44C521F8" w14:textId="77777777" w:rsidR="00625761" w:rsidRDefault="00625761" w:rsidP="00625761">
      <w:pPr>
        <w:widowControl/>
        <w:rPr>
          <w:strike/>
        </w:rPr>
      </w:pPr>
      <w:bookmarkStart w:id="172" w:name="_Toc45275337"/>
    </w:p>
    <w:p w14:paraId="59B502CE" w14:textId="77777777" w:rsidR="00625761" w:rsidRPr="001D0B97" w:rsidRDefault="00625761" w:rsidP="00625761">
      <w:pPr>
        <w:widowControl/>
        <w:rPr>
          <w:strike/>
        </w:rPr>
      </w:pPr>
      <w:r w:rsidRPr="001D0B97">
        <w:rPr>
          <w:strike/>
        </w:rPr>
        <w:br w:type="page"/>
      </w:r>
    </w:p>
    <w:p w14:paraId="10397F44" w14:textId="77777777" w:rsidR="00625761" w:rsidRDefault="00625761" w:rsidP="00625761">
      <w:pPr>
        <w:pStyle w:val="Heading1"/>
        <w:numPr>
          <w:ilvl w:val="0"/>
          <w:numId w:val="11"/>
        </w:numPr>
        <w:ind w:right="454"/>
      </w:pPr>
      <w:bookmarkStart w:id="173" w:name="_Toc56693427"/>
      <w:bookmarkStart w:id="174" w:name="_Toc58327780"/>
      <w:bookmarkStart w:id="175" w:name="_Toc58333960"/>
      <w:bookmarkStart w:id="176" w:name="_Toc64448767"/>
      <w:bookmarkStart w:id="177" w:name="_Toc87860028"/>
      <w:r>
        <w:t>Primary p</w:t>
      </w:r>
      <w:r w:rsidRPr="003534DF">
        <w:t>roduction environment</w:t>
      </w:r>
      <w:bookmarkEnd w:id="172"/>
      <w:r>
        <w:t xml:space="preserve"> risk factors</w:t>
      </w:r>
      <w:bookmarkEnd w:id="173"/>
      <w:bookmarkEnd w:id="174"/>
      <w:bookmarkEnd w:id="175"/>
      <w:bookmarkEnd w:id="176"/>
      <w:bookmarkEnd w:id="177"/>
    </w:p>
    <w:p w14:paraId="08D412CC" w14:textId="1AC98FC1" w:rsidR="00625761" w:rsidRDefault="00625761" w:rsidP="00625761">
      <w:pPr>
        <w:rPr>
          <w:lang w:bidi="ar-SA"/>
        </w:rPr>
      </w:pPr>
      <w:r w:rsidRPr="004B4C84">
        <w:rPr>
          <w:lang w:bidi="ar-SA"/>
        </w:rPr>
        <w:t>As for all fresh produce, the in</w:t>
      </w:r>
      <w:r>
        <w:rPr>
          <w:lang w:bidi="ar-SA"/>
        </w:rPr>
        <w:t>-</w:t>
      </w:r>
      <w:r w:rsidRPr="004B4C84">
        <w:rPr>
          <w:lang w:bidi="ar-SA"/>
        </w:rPr>
        <w:t xml:space="preserve">scope commodities are exposed to similar intentional on farm inputs, such as water, soil and amendments, seeds and seedlings and human activity, that may lead to contamination of produce </w:t>
      </w:r>
      <w:r w:rsidR="00657FDB">
        <w:rPr>
          <w:lang w:eastAsia="en-AU" w:bidi="ar-SA"/>
        </w:rPr>
        <w:t>(FAO/WHO 2008b)</w:t>
      </w:r>
      <w:r w:rsidRPr="004B4C84">
        <w:rPr>
          <w:lang w:bidi="ar-SA"/>
        </w:rPr>
        <w:t xml:space="preserve">. Fresh produce can also be exposed to similar unintentional risk factors, such as animal intrusion, climate, extreme weather events, and topographical features </w:t>
      </w:r>
      <w:r w:rsidR="00657FDB">
        <w:rPr>
          <w:lang w:eastAsia="en-AU" w:bidi="ar-SA"/>
        </w:rPr>
        <w:t>(FAO/WHO 2008b)</w:t>
      </w:r>
      <w:r w:rsidRPr="004B4C84">
        <w:rPr>
          <w:lang w:bidi="ar-SA"/>
        </w:rPr>
        <w:t>.</w:t>
      </w:r>
    </w:p>
    <w:p w14:paraId="4AE1CD56" w14:textId="77777777" w:rsidR="00625761" w:rsidRDefault="00625761" w:rsidP="00625761">
      <w:pPr>
        <w:rPr>
          <w:lang w:bidi="ar-SA"/>
        </w:rPr>
      </w:pPr>
    </w:p>
    <w:p w14:paraId="538F430B" w14:textId="39B08788" w:rsidR="00625761" w:rsidRDefault="00625761" w:rsidP="00625761">
      <w:r>
        <w:rPr>
          <w:lang w:bidi="ar-SA"/>
        </w:rPr>
        <w:t>T</w:t>
      </w:r>
      <w:r w:rsidRPr="004B4C84">
        <w:rPr>
          <w:lang w:bidi="ar-SA"/>
        </w:rPr>
        <w:t>his section identif</w:t>
      </w:r>
      <w:r>
        <w:rPr>
          <w:lang w:bidi="ar-SA"/>
        </w:rPr>
        <w:t>ies</w:t>
      </w:r>
      <w:r w:rsidRPr="004B4C84">
        <w:rPr>
          <w:lang w:bidi="ar-SA"/>
        </w:rPr>
        <w:t xml:space="preserve"> and discuss</w:t>
      </w:r>
      <w:r>
        <w:rPr>
          <w:lang w:bidi="ar-SA"/>
        </w:rPr>
        <w:t>es</w:t>
      </w:r>
      <w:r w:rsidRPr="004B4C84">
        <w:rPr>
          <w:lang w:bidi="ar-SA"/>
        </w:rPr>
        <w:t xml:space="preserve"> the evidence of contamination pathways,</w:t>
      </w:r>
      <w:r w:rsidRPr="004B4C84">
        <w:t xml:space="preserve"> persistence, survival or amplification of hazards that may influence the risk of contamination in the primary production environment</w:t>
      </w:r>
      <w:r>
        <w:t>. It also</w:t>
      </w:r>
      <w:r w:rsidRPr="004B4C84">
        <w:t xml:space="preserve"> identif</w:t>
      </w:r>
      <w:r>
        <w:t>ies</w:t>
      </w:r>
      <w:r w:rsidRPr="004B4C84">
        <w:t xml:space="preserve"> controls or mitigation steps that may reduce or limit the risk.</w:t>
      </w:r>
    </w:p>
    <w:p w14:paraId="444C4053" w14:textId="77777777" w:rsidR="00E44DB7" w:rsidRPr="004B4C84" w:rsidRDefault="00E44DB7" w:rsidP="00625761">
      <w:pPr>
        <w:rPr>
          <w:lang w:bidi="ar-SA"/>
        </w:rPr>
      </w:pPr>
    </w:p>
    <w:p w14:paraId="3A0BDEEE" w14:textId="77777777" w:rsidR="00625761" w:rsidRPr="004B4C84" w:rsidRDefault="00625761" w:rsidP="00625761">
      <w:pPr>
        <w:pStyle w:val="Heading2"/>
        <w:numPr>
          <w:ilvl w:val="1"/>
          <w:numId w:val="11"/>
        </w:numPr>
      </w:pPr>
      <w:bookmarkStart w:id="178" w:name="_Toc45275338"/>
      <w:bookmarkStart w:id="179" w:name="_Toc56693428"/>
      <w:bookmarkStart w:id="180" w:name="_Toc58327781"/>
      <w:bookmarkStart w:id="181" w:name="_Toc58333961"/>
      <w:bookmarkStart w:id="182" w:name="_Toc64448768"/>
      <w:bookmarkStart w:id="183" w:name="_Toc87860029"/>
      <w:r>
        <w:t>Animals, w</w:t>
      </w:r>
      <w:r w:rsidRPr="004B4C84">
        <w:t xml:space="preserve">ildlife, </w:t>
      </w:r>
      <w:r>
        <w:t xml:space="preserve">and </w:t>
      </w:r>
      <w:r w:rsidRPr="004B4C84">
        <w:t>livestock</w:t>
      </w:r>
      <w:bookmarkEnd w:id="178"/>
      <w:bookmarkEnd w:id="179"/>
      <w:bookmarkEnd w:id="180"/>
      <w:bookmarkEnd w:id="181"/>
      <w:bookmarkEnd w:id="182"/>
      <w:bookmarkEnd w:id="183"/>
    </w:p>
    <w:p w14:paraId="74741372" w14:textId="47A5DACA" w:rsidR="00625761" w:rsidRPr="004B4C84" w:rsidRDefault="00625761" w:rsidP="00625761">
      <w:pPr>
        <w:rPr>
          <w:lang w:eastAsia="en-AU" w:bidi="ar-SA"/>
        </w:rPr>
      </w:pPr>
      <w:r>
        <w:rPr>
          <w:lang w:eastAsia="en-AU" w:bidi="ar-SA"/>
        </w:rPr>
        <w:t>W</w:t>
      </w:r>
      <w:r w:rsidRPr="004B4C84">
        <w:rPr>
          <w:lang w:eastAsia="en-AU" w:bidi="ar-SA"/>
        </w:rPr>
        <w:t xml:space="preserve">ild and domestic animals are known reservoirs of foodborne pathogens and their presence in the primary production environment can present a risk to the safety of fresh produce. </w:t>
      </w:r>
      <w:r>
        <w:rPr>
          <w:lang w:eastAsia="en-AU" w:bidi="ar-SA"/>
        </w:rPr>
        <w:t>A</w:t>
      </w:r>
      <w:r w:rsidRPr="004B4C84">
        <w:rPr>
          <w:lang w:eastAsia="en-AU" w:bidi="ar-SA"/>
        </w:rPr>
        <w:t>nimals</w:t>
      </w:r>
      <w:r>
        <w:rPr>
          <w:lang w:bidi="ar-SA"/>
        </w:rPr>
        <w:t>—</w:t>
      </w:r>
      <w:r>
        <w:rPr>
          <w:lang w:eastAsia="en-AU" w:bidi="ar-SA"/>
        </w:rPr>
        <w:t>including insects, birds, and reptiles</w:t>
      </w:r>
      <w:r>
        <w:rPr>
          <w:lang w:bidi="ar-SA"/>
        </w:rPr>
        <w:t>—</w:t>
      </w:r>
      <w:r w:rsidRPr="004B4C84">
        <w:rPr>
          <w:lang w:eastAsia="en-AU" w:bidi="ar-SA"/>
        </w:rPr>
        <w:t>can directly contaminate crops via faecal waste, urine, hair</w:t>
      </w:r>
      <w:r>
        <w:rPr>
          <w:lang w:eastAsia="en-AU" w:bidi="ar-SA"/>
        </w:rPr>
        <w:t>/feathers</w:t>
      </w:r>
      <w:r w:rsidRPr="004B4C84">
        <w:rPr>
          <w:lang w:eastAsia="en-AU" w:bidi="ar-SA"/>
        </w:rPr>
        <w:t xml:space="preserve"> or animal carcasses</w:t>
      </w:r>
      <w:r>
        <w:rPr>
          <w:lang w:eastAsia="en-AU" w:bidi="ar-SA"/>
        </w:rPr>
        <w:t>,</w:t>
      </w:r>
      <w:r w:rsidRPr="004B4C84">
        <w:rPr>
          <w:lang w:eastAsia="en-AU" w:bidi="ar-SA"/>
        </w:rPr>
        <w:t xml:space="preserve"> but also indirectly via contamination of other inputs such as water and soil </w:t>
      </w:r>
      <w:r w:rsidR="00657FDB">
        <w:rPr>
          <w:lang w:eastAsia="en-AU" w:bidi="ar-SA"/>
        </w:rPr>
        <w:t>(FAO/WHO 2008b)</w:t>
      </w:r>
      <w:r w:rsidRPr="004B4C84">
        <w:rPr>
          <w:lang w:eastAsia="en-AU" w:bidi="ar-SA"/>
        </w:rPr>
        <w:t xml:space="preserve">. </w:t>
      </w:r>
      <w:r w:rsidRPr="004B4C84">
        <w:t>Bird droppings and airborne contaminants (</w:t>
      </w:r>
      <w:r w:rsidRPr="009D5A9D">
        <w:t>e.g.</w:t>
      </w:r>
      <w:r w:rsidRPr="004B4C84">
        <w:t xml:space="preserve"> due to birds nesting around the packing area, nearby livestock or poultry production) may be a source of contamination </w:t>
      </w:r>
      <w:r w:rsidR="00657FDB">
        <w:t>(EFSA Panel on Biological Hazards 2014b)</w:t>
      </w:r>
      <w:r w:rsidRPr="004B4C84">
        <w:t>.</w:t>
      </w:r>
    </w:p>
    <w:p w14:paraId="241AE517" w14:textId="77777777" w:rsidR="00625761" w:rsidRPr="004B4C84" w:rsidRDefault="00625761" w:rsidP="00787E56">
      <w:pPr>
        <w:pStyle w:val="Heading3"/>
        <w:numPr>
          <w:ilvl w:val="2"/>
          <w:numId w:val="11"/>
        </w:numPr>
      </w:pPr>
      <w:bookmarkStart w:id="184" w:name="_Toc56693429"/>
      <w:bookmarkStart w:id="185" w:name="_Toc58327782"/>
      <w:bookmarkStart w:id="186" w:name="_Toc58333962"/>
      <w:bookmarkStart w:id="187" w:name="_Toc64448769"/>
      <w:bookmarkStart w:id="188" w:name="_Toc87860030"/>
      <w:bookmarkStart w:id="189" w:name="_Toc45275340"/>
      <w:r w:rsidRPr="004B4C84">
        <w:t>Available data</w:t>
      </w:r>
      <w:bookmarkEnd w:id="184"/>
      <w:bookmarkEnd w:id="185"/>
      <w:bookmarkEnd w:id="186"/>
      <w:bookmarkEnd w:id="187"/>
      <w:bookmarkEnd w:id="188"/>
    </w:p>
    <w:bookmarkEnd w:id="189"/>
    <w:p w14:paraId="36D373C1" w14:textId="01B35C46" w:rsidR="00625761" w:rsidRPr="004B4C84" w:rsidRDefault="00625761" w:rsidP="00625761">
      <w:pPr>
        <w:rPr>
          <w:lang w:eastAsia="en-AU" w:bidi="ar-SA"/>
        </w:rPr>
      </w:pPr>
      <w:r w:rsidRPr="004B4C84">
        <w:rPr>
          <w:lang w:eastAsia="en-AU" w:bidi="ar-SA"/>
        </w:rPr>
        <w:t>There are a number of studies that have assessed the occurrence or prevalence of different pathogens associated with both wild and domestic animals and established that there are a variety of animal carriers of zoonotic pathogens such as</w:t>
      </w:r>
      <w:r>
        <w:rPr>
          <w:lang w:eastAsia="en-AU" w:bidi="ar-SA"/>
        </w:rPr>
        <w:t xml:space="preserve"> STEC</w:t>
      </w:r>
      <w:r w:rsidRPr="004B4C84">
        <w:rPr>
          <w:lang w:eastAsia="en-AU" w:bidi="ar-SA"/>
        </w:rPr>
        <w:t xml:space="preserve">, </w:t>
      </w:r>
      <w:r w:rsidRPr="004B4C84">
        <w:rPr>
          <w:i/>
          <w:lang w:eastAsia="en-AU" w:bidi="ar-SA"/>
        </w:rPr>
        <w:t>Salmonella</w:t>
      </w:r>
      <w:r w:rsidRPr="004B4C84">
        <w:rPr>
          <w:lang w:eastAsia="en-AU" w:bidi="ar-SA"/>
        </w:rPr>
        <w:t xml:space="preserve"> </w:t>
      </w:r>
      <w:r>
        <w:rPr>
          <w:lang w:eastAsia="en-AU" w:bidi="ar-SA"/>
        </w:rPr>
        <w:t xml:space="preserve">spp. </w:t>
      </w:r>
      <w:r w:rsidRPr="004B4C84">
        <w:rPr>
          <w:lang w:eastAsia="en-AU" w:bidi="ar-SA"/>
        </w:rPr>
        <w:t xml:space="preserve">and </w:t>
      </w:r>
      <w:r w:rsidRPr="004B4C84">
        <w:rPr>
          <w:i/>
          <w:lang w:eastAsia="en-AU" w:bidi="ar-SA"/>
        </w:rPr>
        <w:t>L.</w:t>
      </w:r>
      <w:r>
        <w:rPr>
          <w:i/>
          <w:lang w:eastAsia="en-AU" w:bidi="ar-SA"/>
        </w:rPr>
        <w:t> </w:t>
      </w:r>
      <w:r w:rsidRPr="004B4C84">
        <w:rPr>
          <w:i/>
          <w:lang w:eastAsia="en-AU" w:bidi="ar-SA"/>
        </w:rPr>
        <w:t xml:space="preserve">monocytogenes </w:t>
      </w:r>
      <w:r w:rsidR="00657FDB">
        <w:rPr>
          <w:lang w:eastAsia="en-AU" w:bidi="ar-SA"/>
        </w:rPr>
        <w:t>(FAO/WHO 2008b; Jay-Russell et al. 2012; Jay-Russell et al. 2014; Kilonzo et al. 2013)</w:t>
      </w:r>
      <w:r w:rsidRPr="004B4C84">
        <w:rPr>
          <w:lang w:eastAsia="en-AU" w:bidi="ar-SA"/>
        </w:rPr>
        <w:t>.</w:t>
      </w:r>
    </w:p>
    <w:p w14:paraId="690C8921" w14:textId="77777777" w:rsidR="00625761" w:rsidRPr="004B4C84" w:rsidRDefault="00625761" w:rsidP="00625761">
      <w:pPr>
        <w:rPr>
          <w:lang w:eastAsia="en-AU" w:bidi="ar-SA"/>
        </w:rPr>
      </w:pPr>
    </w:p>
    <w:p w14:paraId="20F5A4E9" w14:textId="2C70EE60" w:rsidR="00625761" w:rsidRPr="004B4C84" w:rsidRDefault="00625761" w:rsidP="00625761">
      <w:pPr>
        <w:rPr>
          <w:lang w:eastAsia="en-AU" w:bidi="ar-SA"/>
        </w:rPr>
      </w:pPr>
      <w:r w:rsidRPr="004B4C84">
        <w:rPr>
          <w:lang w:eastAsia="en-AU" w:bidi="ar-SA"/>
        </w:rPr>
        <w:t xml:space="preserve">In Australia, </w:t>
      </w:r>
      <w:r w:rsidRPr="004B4C84">
        <w:rPr>
          <w:i/>
          <w:lang w:eastAsia="en-AU" w:bidi="ar-SA"/>
        </w:rPr>
        <w:t>Salmonella</w:t>
      </w:r>
      <w:r>
        <w:rPr>
          <w:i/>
          <w:lang w:eastAsia="en-AU" w:bidi="ar-SA"/>
        </w:rPr>
        <w:t xml:space="preserve"> </w:t>
      </w:r>
      <w:r>
        <w:rPr>
          <w:lang w:eastAsia="en-AU" w:bidi="ar-SA"/>
        </w:rPr>
        <w:t>spp.</w:t>
      </w:r>
      <w:r w:rsidRPr="004B4C84">
        <w:rPr>
          <w:i/>
          <w:lang w:eastAsia="en-AU" w:bidi="ar-SA"/>
        </w:rPr>
        <w:t xml:space="preserve"> </w:t>
      </w:r>
      <w:r w:rsidRPr="004B4C84">
        <w:rPr>
          <w:lang w:eastAsia="en-AU" w:bidi="ar-SA"/>
        </w:rPr>
        <w:t xml:space="preserve">have been isolated from domestic pets, livestock and wildlife </w:t>
      </w:r>
      <w:r w:rsidR="00657FDB">
        <w:rPr>
          <w:lang w:eastAsia="en-AU" w:bidi="ar-SA"/>
        </w:rPr>
        <w:t>(Parsons et al. 2010; Scheelings et al. 2011; Simpson et al. 2018)</w:t>
      </w:r>
      <w:r w:rsidRPr="004B4C84">
        <w:rPr>
          <w:lang w:eastAsia="en-AU" w:bidi="ar-SA"/>
        </w:rPr>
        <w:t xml:space="preserve">. STEC is most often associated with mammals and </w:t>
      </w:r>
      <w:r>
        <w:rPr>
          <w:lang w:eastAsia="en-AU" w:bidi="ar-SA"/>
        </w:rPr>
        <w:t>has</w:t>
      </w:r>
      <w:r w:rsidRPr="004B4C84">
        <w:rPr>
          <w:lang w:eastAsia="en-AU" w:bidi="ar-SA"/>
        </w:rPr>
        <w:t xml:space="preserve"> frequently been isolated from Australian livestock </w:t>
      </w:r>
      <w:r w:rsidR="00657FDB">
        <w:rPr>
          <w:lang w:eastAsia="en-AU" w:bidi="ar-SA"/>
        </w:rPr>
        <w:t>(Barlow et al. 2015; Klein et al. 2010; Mellor et al. 2016)</w:t>
      </w:r>
      <w:r w:rsidRPr="004B4C84">
        <w:rPr>
          <w:lang w:eastAsia="en-AU" w:bidi="ar-SA"/>
        </w:rPr>
        <w:t xml:space="preserve"> and a variety of wildlife with varying frequency </w:t>
      </w:r>
      <w:r w:rsidR="00657FDB">
        <w:rPr>
          <w:lang w:eastAsia="en-AU" w:bidi="ar-SA"/>
        </w:rPr>
        <w:t>(Gordon and Cowling 2003)</w:t>
      </w:r>
      <w:r w:rsidRPr="004B4C84">
        <w:rPr>
          <w:lang w:eastAsia="en-AU" w:bidi="ar-SA"/>
        </w:rPr>
        <w:t xml:space="preserve">. Furthermore, STEC is also reported to be carried by Australian marsupials </w:t>
      </w:r>
      <w:r w:rsidR="00657FDB">
        <w:rPr>
          <w:lang w:eastAsia="en-AU" w:bidi="ar-SA"/>
        </w:rPr>
        <w:t>(Rupan et al. 2012)</w:t>
      </w:r>
      <w:r w:rsidRPr="004B4C84">
        <w:rPr>
          <w:lang w:eastAsia="en-AU" w:bidi="ar-SA"/>
        </w:rPr>
        <w:t xml:space="preserve">. Surveys of </w:t>
      </w:r>
      <w:r w:rsidRPr="004B4C84">
        <w:rPr>
          <w:i/>
          <w:lang w:eastAsia="en-AU" w:bidi="ar-SA"/>
        </w:rPr>
        <w:t xml:space="preserve">L. monocytogenes </w:t>
      </w:r>
      <w:r w:rsidRPr="004B4C84">
        <w:rPr>
          <w:lang w:eastAsia="en-AU" w:bidi="ar-SA"/>
        </w:rPr>
        <w:t>from Australian animals is limited. However, th</w:t>
      </w:r>
      <w:r>
        <w:rPr>
          <w:lang w:eastAsia="en-AU" w:bidi="ar-SA"/>
        </w:rPr>
        <w:t>is</w:t>
      </w:r>
      <w:r w:rsidRPr="004B4C84">
        <w:rPr>
          <w:lang w:eastAsia="en-AU" w:bidi="ar-SA"/>
        </w:rPr>
        <w:t xml:space="preserve"> pathogen has been isolated from cattle </w:t>
      </w:r>
      <w:r w:rsidR="00657FDB">
        <w:rPr>
          <w:lang w:eastAsia="en-AU" w:bidi="ar-SA"/>
        </w:rPr>
        <w:t>(Klein et al. 2010)</w:t>
      </w:r>
      <w:r w:rsidRPr="004B4C84">
        <w:rPr>
          <w:lang w:eastAsia="en-AU" w:bidi="ar-SA"/>
        </w:rPr>
        <w:t xml:space="preserve">, listeriosis outbreaks have occurred in sheep following floods or droughts </w:t>
      </w:r>
      <w:r w:rsidR="00657FDB">
        <w:rPr>
          <w:lang w:eastAsia="en-AU" w:bidi="ar-SA"/>
        </w:rPr>
        <w:t>(Eamens et al. 2003)</w:t>
      </w:r>
      <w:r w:rsidRPr="004B4C84">
        <w:rPr>
          <w:lang w:eastAsia="en-AU" w:bidi="ar-SA"/>
        </w:rPr>
        <w:t xml:space="preserve">, and </w:t>
      </w:r>
      <w:r w:rsidRPr="004B4C84">
        <w:rPr>
          <w:i/>
          <w:lang w:eastAsia="en-AU" w:bidi="ar-SA"/>
        </w:rPr>
        <w:t>L. monocytogenes</w:t>
      </w:r>
      <w:r w:rsidRPr="004B4C84">
        <w:rPr>
          <w:lang w:eastAsia="en-AU" w:bidi="ar-SA"/>
        </w:rPr>
        <w:t xml:space="preserve"> is expected to be carried by various wildlife as evident in overseas studies</w:t>
      </w:r>
      <w:r>
        <w:rPr>
          <w:lang w:eastAsia="en-AU" w:bidi="ar-SA"/>
        </w:rPr>
        <w:t xml:space="preserve"> </w:t>
      </w:r>
      <w:r w:rsidR="00657FDB">
        <w:rPr>
          <w:lang w:eastAsia="en-AU" w:bidi="ar-SA"/>
        </w:rPr>
        <w:t>(FAO/WHO 2008b)</w:t>
      </w:r>
      <w:r w:rsidRPr="004B4C84">
        <w:rPr>
          <w:i/>
          <w:lang w:eastAsia="en-AU" w:bidi="ar-SA"/>
        </w:rPr>
        <w:t xml:space="preserve">. </w:t>
      </w:r>
      <w:r w:rsidRPr="004B4C84">
        <w:rPr>
          <w:lang w:eastAsia="en-AU" w:bidi="ar-SA"/>
        </w:rPr>
        <w:t>These bacterial pathogens can also be shed in the faeces of both symptomatic and asymptomatic humans.</w:t>
      </w:r>
    </w:p>
    <w:p w14:paraId="0AC44408" w14:textId="77777777" w:rsidR="00625761" w:rsidRPr="004B4C84" w:rsidRDefault="00625761" w:rsidP="00625761">
      <w:pPr>
        <w:rPr>
          <w:lang w:eastAsia="en-AU" w:bidi="ar-SA"/>
        </w:rPr>
      </w:pPr>
    </w:p>
    <w:p w14:paraId="2672A207" w14:textId="23557CAE" w:rsidR="00625761" w:rsidRPr="004B4C84" w:rsidRDefault="00625761" w:rsidP="00625761">
      <w:pPr>
        <w:rPr>
          <w:lang w:eastAsia="en-AU" w:bidi="ar-SA"/>
        </w:rPr>
      </w:pPr>
      <w:r w:rsidRPr="004B4C84">
        <w:rPr>
          <w:lang w:eastAsia="en-AU" w:bidi="ar-SA"/>
        </w:rPr>
        <w:t xml:space="preserve">The host range of HAV is generally considered to be limited to humans and some non-human primates, but some other animals have recently been reported as hosts </w:t>
      </w:r>
      <w:r w:rsidR="00657FDB">
        <w:rPr>
          <w:lang w:eastAsia="en-AU" w:bidi="ar-SA"/>
        </w:rPr>
        <w:t>(Oliveira Carneiro et al. 2018)</w:t>
      </w:r>
      <w:r w:rsidRPr="004B4C84">
        <w:rPr>
          <w:lang w:eastAsia="en-AU" w:bidi="ar-SA"/>
        </w:rPr>
        <w:t xml:space="preserve">. NoV is reported to infect humans and some animals and therefore indirect zoonotic transmission from animals may be possible </w:t>
      </w:r>
      <w:r w:rsidR="00657FDB">
        <w:rPr>
          <w:szCs w:val="22"/>
        </w:rPr>
        <w:t>(Bank-Wolf et al. 2010)</w:t>
      </w:r>
      <w:r w:rsidRPr="004B4C84">
        <w:rPr>
          <w:lang w:eastAsia="en-AU" w:bidi="ar-SA"/>
        </w:rPr>
        <w:t>. Both viruses are shed in the faeces of humans,</w:t>
      </w:r>
      <w:r>
        <w:rPr>
          <w:lang w:eastAsia="en-AU" w:bidi="ar-SA"/>
        </w:rPr>
        <w:t xml:space="preserve"> and</w:t>
      </w:r>
      <w:r w:rsidRPr="004B4C84">
        <w:rPr>
          <w:lang w:eastAsia="en-AU" w:bidi="ar-SA"/>
        </w:rPr>
        <w:t xml:space="preserve"> </w:t>
      </w:r>
      <w:r>
        <w:t>unauthorised</w:t>
      </w:r>
      <w:r w:rsidRPr="004B4C84">
        <w:rPr>
          <w:lang w:eastAsia="en-AU" w:bidi="ar-SA"/>
        </w:rPr>
        <w:t xml:space="preserve"> human </w:t>
      </w:r>
      <w:r>
        <w:t>access</w:t>
      </w:r>
      <w:r w:rsidRPr="004B4C84">
        <w:rPr>
          <w:lang w:eastAsia="en-AU" w:bidi="ar-SA"/>
        </w:rPr>
        <w:t xml:space="preserve"> could present a potential risk to fresh produce safety, and to a lesser extent animal incursion. </w:t>
      </w:r>
    </w:p>
    <w:p w14:paraId="16BEA616" w14:textId="77777777" w:rsidR="00625761" w:rsidRPr="004B4C84" w:rsidRDefault="00625761" w:rsidP="00625761">
      <w:pPr>
        <w:rPr>
          <w:lang w:eastAsia="en-AU" w:bidi="ar-SA"/>
        </w:rPr>
      </w:pPr>
    </w:p>
    <w:p w14:paraId="6130EC35" w14:textId="77777777" w:rsidR="00EC19BD" w:rsidRDefault="00EC19BD">
      <w:pPr>
        <w:widowControl/>
        <w:rPr>
          <w:lang w:eastAsia="en-AU" w:bidi="ar-SA"/>
        </w:rPr>
      </w:pPr>
      <w:r>
        <w:rPr>
          <w:lang w:eastAsia="en-AU" w:bidi="ar-SA"/>
        </w:rPr>
        <w:br w:type="page"/>
      </w:r>
    </w:p>
    <w:p w14:paraId="4634C432" w14:textId="00F1A06C" w:rsidR="00625761" w:rsidRPr="004B4C84" w:rsidRDefault="00625761" w:rsidP="00625761">
      <w:pPr>
        <w:rPr>
          <w:lang w:eastAsia="en-AU" w:bidi="ar-SA"/>
        </w:rPr>
      </w:pPr>
      <w:r>
        <w:rPr>
          <w:lang w:eastAsia="en-AU" w:bidi="ar-SA"/>
        </w:rPr>
        <w:t>T</w:t>
      </w:r>
      <w:r w:rsidRPr="004B4C84">
        <w:rPr>
          <w:lang w:eastAsia="en-AU" w:bidi="ar-SA"/>
        </w:rPr>
        <w:t>he evidence specifically associated</w:t>
      </w:r>
      <w:r>
        <w:rPr>
          <w:lang w:eastAsia="en-AU" w:bidi="ar-SA"/>
        </w:rPr>
        <w:t xml:space="preserve"> with the in-</w:t>
      </w:r>
      <w:r w:rsidRPr="004B4C84">
        <w:rPr>
          <w:lang w:eastAsia="en-AU" w:bidi="ar-SA"/>
        </w:rPr>
        <w:t>scope commodities and hazards</w:t>
      </w:r>
      <w:r>
        <w:rPr>
          <w:lang w:eastAsia="en-AU" w:bidi="ar-SA"/>
        </w:rPr>
        <w:t xml:space="preserve"> is summarised b</w:t>
      </w:r>
      <w:r w:rsidRPr="004B4C84">
        <w:rPr>
          <w:lang w:eastAsia="en-AU" w:bidi="ar-SA"/>
        </w:rPr>
        <w:t>elow.</w:t>
      </w:r>
    </w:p>
    <w:p w14:paraId="71579657" w14:textId="77777777" w:rsidR="00625761" w:rsidRPr="004B4C84" w:rsidRDefault="00625761" w:rsidP="00625761">
      <w:pPr>
        <w:pStyle w:val="Heading4"/>
        <w:numPr>
          <w:ilvl w:val="3"/>
          <w:numId w:val="11"/>
        </w:numPr>
      </w:pPr>
      <w:r w:rsidRPr="004B4C84">
        <w:t>Leafy vegetables</w:t>
      </w:r>
    </w:p>
    <w:p w14:paraId="482F8230" w14:textId="70C5F553" w:rsidR="00625761" w:rsidRPr="004B4C84" w:rsidRDefault="00625761" w:rsidP="00625761">
      <w:r w:rsidRPr="004B4C84">
        <w:t xml:space="preserve">There is strong evidence that outbreaks due to contaminated leafy vegetables and other horticultural products have been associated with the presence of sheep, cattle, feral swine and deer near or in growing fields </w:t>
      </w:r>
      <w:r w:rsidR="00657FDB">
        <w:t>(Jay et al. 2007; Laidler et al. 2013; Mikhail et al. 2018)</w:t>
      </w:r>
      <w:r w:rsidRPr="004B4C84">
        <w:t xml:space="preserve">. For example, in an environmental survey of implicated agricultural land and waterways following a large outbreak of </w:t>
      </w:r>
      <w:r w:rsidRPr="004B4C84">
        <w:rPr>
          <w:i/>
        </w:rPr>
        <w:t>E. coli</w:t>
      </w:r>
      <w:r w:rsidRPr="004B4C84">
        <w:t xml:space="preserve"> O157:H7 linked to bagged spinach from California, </w:t>
      </w:r>
      <w:r w:rsidRPr="004B4C84">
        <w:rPr>
          <w:i/>
        </w:rPr>
        <w:t>E. coli</w:t>
      </w:r>
      <w:r w:rsidRPr="004B4C84">
        <w:t xml:space="preserve"> isolates from feral swine, cattle, surface water, sediment and soil were found to match the outbreak strain </w:t>
      </w:r>
      <w:r w:rsidR="00657FDB">
        <w:t>(CalFERT 2007; Jay et al. 2007)</w:t>
      </w:r>
      <w:r w:rsidRPr="004B4C84">
        <w:t xml:space="preserve">. These findings showed that, while cattle may be the primary environmental reservoir of </w:t>
      </w:r>
      <w:r w:rsidRPr="004B4C84">
        <w:rPr>
          <w:i/>
        </w:rPr>
        <w:t>E. coli</w:t>
      </w:r>
      <w:r w:rsidRPr="004B4C84">
        <w:t xml:space="preserve"> O157, interspecies transmission to other livestock and wildlife can broaden potential sources of contamination of leafy vegetables growing in nearby fields. It is also notable that</w:t>
      </w:r>
      <w:r>
        <w:t xml:space="preserve"> Jay et al. </w:t>
      </w:r>
      <w:r w:rsidR="00657FDB">
        <w:t>(2007)</w:t>
      </w:r>
      <w:r w:rsidRPr="004B4C84">
        <w:t xml:space="preserve"> found that the outbreak strain persisted in environmental samples up to 3 months after the initial outbreak.</w:t>
      </w:r>
    </w:p>
    <w:p w14:paraId="61A24B92" w14:textId="77777777" w:rsidR="00625761" w:rsidRPr="004B4C84" w:rsidRDefault="00625761" w:rsidP="00625761"/>
    <w:p w14:paraId="2A39FB9A" w14:textId="56648710" w:rsidR="00625761" w:rsidRPr="004B4C84" w:rsidRDefault="00625761" w:rsidP="00625761">
      <w:pPr>
        <w:rPr>
          <w:lang w:bidi="ar-SA"/>
        </w:rPr>
      </w:pPr>
      <w:r w:rsidRPr="004B4C84">
        <w:t xml:space="preserve">In studies on experimental faecal contamination in vegetables plots, it has been observed that splashes from rain or irrigation water can transfer pathogens and faecal indicator organisms onto leafy vegetables up to at least 1.6 metres away from faecal deposits </w:t>
      </w:r>
      <w:r w:rsidR="00657FDB">
        <w:t>(Atwill et al. 2015; Jeamsripong et al. 2019; Weller et al. 2017)</w:t>
      </w:r>
      <w:r w:rsidRPr="004B4C84">
        <w:t xml:space="preserve">. Wind and dust can also spread faecal contamination from off-farm sources. </w:t>
      </w:r>
      <w:r w:rsidR="00657FDB">
        <w:t>Hoar et al.</w:t>
      </w:r>
      <w:r>
        <w:t xml:space="preserve"> </w:t>
      </w:r>
      <w:r w:rsidR="00657FDB">
        <w:t>(2013)</w:t>
      </w:r>
      <w:r w:rsidRPr="004B4C84">
        <w:t xml:space="preserve"> observed airborne bacteria at least 6 metres from sheep grazing in grassy fields in California's Imperial Valley, and concluded that a buffer zone of 9 metres </w:t>
      </w:r>
      <w:r w:rsidRPr="004B4C84">
        <w:rPr>
          <w:lang w:bidi="ar-SA"/>
        </w:rPr>
        <w:t>between grazing lands or domestic animals and the crop edge is adequate to minimise contamination of nearby crop</w:t>
      </w:r>
      <w:r w:rsidRPr="004B4C84">
        <w:t xml:space="preserve">s. However, pathogens have been shown to be dispersed much </w:t>
      </w:r>
      <w:r>
        <w:t>further</w:t>
      </w:r>
      <w:r w:rsidRPr="004B4C84">
        <w:t xml:space="preserve"> distances by wind and dust (</w:t>
      </w:r>
      <w:r w:rsidRPr="00687BCF">
        <w:t>see Section 9.2.1.1</w:t>
      </w:r>
      <w:r w:rsidRPr="004B4C84">
        <w:t xml:space="preserve"> for further discussion).</w:t>
      </w:r>
    </w:p>
    <w:p w14:paraId="0D761B70" w14:textId="77777777" w:rsidR="00625761" w:rsidRPr="004B4C84" w:rsidRDefault="00625761" w:rsidP="00625761">
      <w:pPr>
        <w:pStyle w:val="Heading4"/>
        <w:numPr>
          <w:ilvl w:val="3"/>
          <w:numId w:val="11"/>
        </w:numPr>
      </w:pPr>
      <w:r w:rsidRPr="004B4C84">
        <w:t>Berries</w:t>
      </w:r>
    </w:p>
    <w:p w14:paraId="07075F06" w14:textId="0374AA9B" w:rsidR="00625761" w:rsidRPr="004B4C84" w:rsidRDefault="00625761" w:rsidP="00625761">
      <w:pPr>
        <w:rPr>
          <w:lang w:bidi="ar-SA"/>
        </w:rPr>
      </w:pPr>
      <w:r w:rsidRPr="004B4C84">
        <w:rPr>
          <w:lang w:bidi="ar-SA"/>
        </w:rPr>
        <w:t>The risk of contamination from wild and domestic animals</w:t>
      </w:r>
      <w:r>
        <w:rPr>
          <w:rStyle w:val="FootnoteReference"/>
          <w:lang w:bidi="ar-SA"/>
        </w:rPr>
        <w:footnoteReference w:id="14"/>
      </w:r>
      <w:r w:rsidRPr="004B4C84">
        <w:rPr>
          <w:lang w:bidi="ar-SA"/>
        </w:rPr>
        <w:t xml:space="preserve"> can vary between the different berry types. For example, </w:t>
      </w:r>
      <w:r w:rsidRPr="004B4C84">
        <w:t xml:space="preserve">soil contamination with faeces is a particular risk for berries likely to have direct soil contact, </w:t>
      </w:r>
      <w:r w:rsidRPr="009D5A9D">
        <w:t>e.g.</w:t>
      </w:r>
      <w:r w:rsidRPr="004B4C84">
        <w:t xml:space="preserve"> strawberries </w:t>
      </w:r>
      <w:r w:rsidR="00657FDB">
        <w:t>(EFSA Panel on Biological Hazards 2014b)</w:t>
      </w:r>
      <w:r w:rsidRPr="004B4C84">
        <w:t xml:space="preserve">. </w:t>
      </w:r>
      <w:r w:rsidRPr="004B4C84">
        <w:rPr>
          <w:lang w:bidi="ar-SA"/>
        </w:rPr>
        <w:t>Most strawberries are grown in open fields and are located directly on the ground or on plastic mulch close to the ground</w:t>
      </w:r>
      <w:r w:rsidRPr="004B4C84">
        <w:t>.</w:t>
      </w:r>
      <w:r w:rsidRPr="004B4C84">
        <w:rPr>
          <w:lang w:bidi="ar-SA"/>
        </w:rPr>
        <w:t xml:space="preserve"> Conversely, raspberries and blueberries are grown slightly elevated from the ground and are generally grown under netting or plastic tunnels</w:t>
      </w:r>
      <w:r w:rsidRPr="004B4C84">
        <w:t xml:space="preserve"> to protect them from birds and also other wildlife. </w:t>
      </w:r>
    </w:p>
    <w:p w14:paraId="40D519A9" w14:textId="77777777" w:rsidR="00625761" w:rsidRPr="004B4C84" w:rsidRDefault="00625761" w:rsidP="00625761">
      <w:pPr>
        <w:rPr>
          <w:lang w:bidi="ar-SA"/>
        </w:rPr>
      </w:pPr>
    </w:p>
    <w:p w14:paraId="4A462FE0" w14:textId="6B4C1F9E" w:rsidR="00625761" w:rsidRPr="004B4C84" w:rsidRDefault="00625761" w:rsidP="00625761">
      <w:pPr>
        <w:rPr>
          <w:lang w:bidi="ar-SA"/>
        </w:rPr>
      </w:pPr>
      <w:r w:rsidRPr="004B4C84">
        <w:rPr>
          <w:lang w:bidi="ar-SA"/>
        </w:rPr>
        <w:t>Wildlife incursion into open fields where berries are grown close to the ground</w:t>
      </w:r>
      <w:r>
        <w:rPr>
          <w:lang w:bidi="ar-SA"/>
        </w:rPr>
        <w:t>,</w:t>
      </w:r>
      <w:r w:rsidRPr="004B4C84">
        <w:rPr>
          <w:lang w:bidi="ar-SA"/>
        </w:rPr>
        <w:t xml:space="preserve"> can lead to faecal contamination by wildlife. </w:t>
      </w:r>
      <w:r w:rsidRPr="004B4C84">
        <w:t xml:space="preserve">For example, there is evidence of an outbreak of </w:t>
      </w:r>
      <w:r w:rsidRPr="004B4C84">
        <w:rPr>
          <w:i/>
        </w:rPr>
        <w:t>E. coli</w:t>
      </w:r>
      <w:r>
        <w:t> </w:t>
      </w:r>
      <w:r w:rsidRPr="004B4C84">
        <w:t>O157:H7 in the US due to wildlife incursion into strawberry growing fields</w:t>
      </w:r>
      <w:r>
        <w:t>.</w:t>
      </w:r>
      <w:r w:rsidRPr="004B4C84">
        <w:t xml:space="preserve"> </w:t>
      </w:r>
      <w:r>
        <w:t>E</w:t>
      </w:r>
      <w:r w:rsidRPr="004B4C84">
        <w:t>pidemiological evidence link</w:t>
      </w:r>
      <w:r>
        <w:t>ed</w:t>
      </w:r>
      <w:r w:rsidRPr="004B4C84">
        <w:t xml:space="preserve"> the outbreak to strawberry consumption, and the outbreak strain </w:t>
      </w:r>
      <w:r>
        <w:t>was</w:t>
      </w:r>
      <w:r w:rsidRPr="004B4C84">
        <w:t xml:space="preserve"> isolated from deer faeces </w:t>
      </w:r>
      <w:r>
        <w:t xml:space="preserve">found </w:t>
      </w:r>
      <w:r w:rsidRPr="004B4C84">
        <w:t xml:space="preserve">in the growing fields </w:t>
      </w:r>
      <w:r w:rsidR="00657FDB">
        <w:t>(Laidler et al. 2013)</w:t>
      </w:r>
      <w:r w:rsidRPr="004B4C84">
        <w:t xml:space="preserve">. Wildlife incursions into berry growing fields have </w:t>
      </w:r>
      <w:r>
        <w:t xml:space="preserve">also </w:t>
      </w:r>
      <w:r w:rsidRPr="004B4C84">
        <w:t xml:space="preserve">been documented in Australia </w:t>
      </w:r>
      <w:r w:rsidR="00657FDB">
        <w:t>(DEDJTR and FSANZ 2016)</w:t>
      </w:r>
      <w:r w:rsidRPr="004B4C84">
        <w:t>.</w:t>
      </w:r>
    </w:p>
    <w:p w14:paraId="01A78928" w14:textId="77777777" w:rsidR="00625761" w:rsidRPr="004B4C84" w:rsidRDefault="00625761" w:rsidP="00625761">
      <w:pPr>
        <w:rPr>
          <w:lang w:bidi="ar-SA"/>
        </w:rPr>
      </w:pPr>
    </w:p>
    <w:p w14:paraId="134582C6" w14:textId="0DBC36D8" w:rsidR="00625761" w:rsidRDefault="00625761" w:rsidP="00625761">
      <w:pPr>
        <w:rPr>
          <w:lang w:bidi="ar-SA"/>
        </w:rPr>
      </w:pPr>
      <w:r w:rsidRPr="004B4C84">
        <w:rPr>
          <w:lang w:bidi="ar-SA"/>
        </w:rPr>
        <w:t xml:space="preserve">An experimental study by Wu et al </w:t>
      </w:r>
      <w:r w:rsidR="00657FDB">
        <w:rPr>
          <w:lang w:bidi="ar-SA"/>
        </w:rPr>
        <w:t>(2013)</w:t>
      </w:r>
      <w:r w:rsidRPr="004B4C84">
        <w:rPr>
          <w:lang w:bidi="ar-SA"/>
        </w:rPr>
        <w:t xml:space="preserve"> demonstrated that direct contact of blueberries with deer faeces artificially inoculated with non-pathogenic </w:t>
      </w:r>
      <w:r w:rsidRPr="004B4C84">
        <w:rPr>
          <w:i/>
          <w:lang w:bidi="ar-SA"/>
        </w:rPr>
        <w:t xml:space="preserve">E. coli </w:t>
      </w:r>
      <w:r>
        <w:rPr>
          <w:lang w:bidi="ar-SA"/>
        </w:rPr>
        <w:t>O157:H7 (final inoculum of 7 L</w:t>
      </w:r>
      <w:r w:rsidRPr="004B4C84">
        <w:rPr>
          <w:lang w:bidi="ar-SA"/>
        </w:rPr>
        <w:t xml:space="preserve">og CFU/g) led to transfer of non-pathogenic </w:t>
      </w:r>
      <w:r w:rsidRPr="004B4C84">
        <w:rPr>
          <w:i/>
          <w:lang w:bidi="ar-SA"/>
        </w:rPr>
        <w:t xml:space="preserve">E. coli </w:t>
      </w:r>
      <w:r w:rsidRPr="004B4C84">
        <w:rPr>
          <w:lang w:bidi="ar-SA"/>
        </w:rPr>
        <w:t>O157:H7 to the fruit</w:t>
      </w:r>
      <w:r>
        <w:rPr>
          <w:lang w:bidi="ar-SA"/>
        </w:rPr>
        <w:t xml:space="preserve"> and</w:t>
      </w:r>
      <w:r w:rsidRPr="004B4C84">
        <w:rPr>
          <w:lang w:bidi="ar-SA"/>
        </w:rPr>
        <w:t xml:space="preserve"> </w:t>
      </w:r>
      <w:r>
        <w:rPr>
          <w:lang w:bidi="ar-SA"/>
        </w:rPr>
        <w:t>which</w:t>
      </w:r>
      <w:r w:rsidRPr="004B4C84">
        <w:rPr>
          <w:lang w:bidi="ar-SA"/>
        </w:rPr>
        <w:t xml:space="preserve"> could persist for at le</w:t>
      </w:r>
      <w:r>
        <w:rPr>
          <w:lang w:bidi="ar-SA"/>
        </w:rPr>
        <w:t>ast 72 hours (length of study).</w:t>
      </w:r>
    </w:p>
    <w:p w14:paraId="4DE532E0" w14:textId="50AB2AE9" w:rsidR="00AE471C" w:rsidRDefault="00AE471C" w:rsidP="00AE471C">
      <w:pPr>
        <w:rPr>
          <w:lang w:bidi="ar-SA"/>
        </w:rPr>
      </w:pPr>
      <w:r>
        <w:rPr>
          <w:lang w:bidi="ar-SA"/>
        </w:rPr>
        <w:br w:type="page"/>
      </w:r>
    </w:p>
    <w:p w14:paraId="6CB6A518" w14:textId="77777777" w:rsidR="00625761" w:rsidRPr="004B4C84" w:rsidRDefault="00625761" w:rsidP="00625761">
      <w:pPr>
        <w:pStyle w:val="Heading4"/>
        <w:numPr>
          <w:ilvl w:val="3"/>
          <w:numId w:val="11"/>
        </w:numPr>
      </w:pPr>
      <w:r w:rsidRPr="004B4C84">
        <w:t>Melons</w:t>
      </w:r>
    </w:p>
    <w:p w14:paraId="35E873C8" w14:textId="77777777" w:rsidR="00625761" w:rsidRPr="004B4C84" w:rsidRDefault="00625761" w:rsidP="00625761">
      <w:pPr>
        <w:rPr>
          <w:lang w:bidi="ar-SA"/>
        </w:rPr>
      </w:pPr>
      <w:r w:rsidRPr="004B4C84">
        <w:rPr>
          <w:lang w:bidi="ar-SA"/>
        </w:rPr>
        <w:t>Watermelons and rockmelons in Australia are grown in large open fields directly on the ground or on plastic mulch close to the ground and can be damaged in the field. As such, melons can be exposed to direct and indirect contamination by domestic and wild animals and their faeces. Damaged fruit can also act as an attractant for animals. Due to the size of some growing areas fencing or netting are not practical for the management of animal or unplanned human incursion.</w:t>
      </w:r>
    </w:p>
    <w:p w14:paraId="31AE8AA9" w14:textId="77777777" w:rsidR="00625761" w:rsidRPr="004B4C84" w:rsidRDefault="00625761" w:rsidP="00625761">
      <w:pPr>
        <w:rPr>
          <w:lang w:bidi="ar-SA"/>
        </w:rPr>
      </w:pPr>
    </w:p>
    <w:p w14:paraId="100A486B" w14:textId="019F4660" w:rsidR="00625761" w:rsidRPr="00AE471C" w:rsidRDefault="00625761" w:rsidP="00625761">
      <w:r w:rsidRPr="004B4C84">
        <w:t xml:space="preserve">No experimental or observational evidence regarding the introduction of </w:t>
      </w:r>
      <w:r w:rsidRPr="004B4C84">
        <w:rPr>
          <w:i/>
        </w:rPr>
        <w:t xml:space="preserve">L. monocytogenes </w:t>
      </w:r>
      <w:r w:rsidRPr="004B4C84">
        <w:t xml:space="preserve">or </w:t>
      </w:r>
      <w:r w:rsidRPr="004B4C84">
        <w:rPr>
          <w:i/>
        </w:rPr>
        <w:t xml:space="preserve">Salmonella </w:t>
      </w:r>
      <w:r w:rsidRPr="00AF5C4A">
        <w:t>spp.</w:t>
      </w:r>
      <w:r>
        <w:rPr>
          <w:i/>
        </w:rPr>
        <w:t xml:space="preserve"> </w:t>
      </w:r>
      <w:r w:rsidRPr="004B4C84">
        <w:t xml:space="preserve">via wild or domestic animals into melon fields in Australia was identified. However, wildlife feeding on and defecating in Mexican rockmelon growing orchards have been found to harbour </w:t>
      </w:r>
      <w:r w:rsidRPr="004B4C84">
        <w:rPr>
          <w:i/>
        </w:rPr>
        <w:t xml:space="preserve">S. enterica </w:t>
      </w:r>
      <w:r w:rsidR="00657FDB">
        <w:t xml:space="preserve">(Aguilar et al. </w:t>
      </w:r>
      <w:r w:rsidR="00657FDB" w:rsidRPr="00AE471C">
        <w:t>2005)</w:t>
      </w:r>
      <w:r w:rsidRPr="00AE471C">
        <w:t xml:space="preserve">. </w:t>
      </w:r>
    </w:p>
    <w:p w14:paraId="7588EE3C" w14:textId="77777777" w:rsidR="00625761" w:rsidRPr="004422A2" w:rsidRDefault="00625761" w:rsidP="00787E56">
      <w:pPr>
        <w:pStyle w:val="Heading3"/>
        <w:numPr>
          <w:ilvl w:val="2"/>
          <w:numId w:val="11"/>
        </w:numPr>
        <w:rPr>
          <w:color w:val="auto"/>
        </w:rPr>
      </w:pPr>
      <w:bookmarkStart w:id="190" w:name="_Toc56693430"/>
      <w:bookmarkStart w:id="191" w:name="_Toc58327783"/>
      <w:bookmarkStart w:id="192" w:name="_Toc58333963"/>
      <w:bookmarkStart w:id="193" w:name="_Toc64448770"/>
      <w:bookmarkStart w:id="194" w:name="_Toc87860031"/>
      <w:r>
        <w:t xml:space="preserve">Conclusions, uncertainty, </w:t>
      </w:r>
      <w:r w:rsidRPr="004422A2">
        <w:rPr>
          <w:color w:val="auto"/>
        </w:rPr>
        <w:t>and data gaps</w:t>
      </w:r>
      <w:bookmarkEnd w:id="190"/>
      <w:bookmarkEnd w:id="191"/>
      <w:bookmarkEnd w:id="192"/>
      <w:bookmarkEnd w:id="193"/>
      <w:bookmarkEnd w:id="194"/>
    </w:p>
    <w:p w14:paraId="21286AEF" w14:textId="77777777" w:rsidR="00625761" w:rsidRPr="004422A2" w:rsidRDefault="00625761" w:rsidP="00625761">
      <w:r w:rsidRPr="00F863C7">
        <w:rPr>
          <w:i/>
        </w:rPr>
        <w:t>Incursion by wildlife and domestic animals are risk factors that are likely to apply broadly to the commodity sectors.</w:t>
      </w:r>
      <w:r w:rsidRPr="004422A2">
        <w:t xml:space="preserve"> There is a low level of uncertainty and a high level of confidence regarding this conclusion based on the available evidence for pathogen prevalence in Australia</w:t>
      </w:r>
      <w:r>
        <w:t>n</w:t>
      </w:r>
      <w:r w:rsidRPr="004422A2">
        <w:t xml:space="preserve"> animals and the evidence reviewed for leafy vegetables and berries. </w:t>
      </w:r>
    </w:p>
    <w:p w14:paraId="269B2579" w14:textId="77777777" w:rsidR="00625761" w:rsidRPr="004422A2" w:rsidRDefault="00625761" w:rsidP="00625761"/>
    <w:p w14:paraId="28F953D9" w14:textId="77777777" w:rsidR="00625761" w:rsidRPr="004422A2" w:rsidRDefault="00625761" w:rsidP="00625761">
      <w:pPr>
        <w:rPr>
          <w:lang w:eastAsia="en-AU"/>
        </w:rPr>
      </w:pPr>
      <w:r w:rsidRPr="00F863C7">
        <w:rPr>
          <w:i/>
        </w:rPr>
        <w:t>While the presence of animals can always be considered a hazard, incursion by animals close to harvest, with high density, or with high frequency is likely to present a higher risk for all commodities.</w:t>
      </w:r>
      <w:r w:rsidRPr="004422A2">
        <w:t xml:space="preserve"> As discussed in other sections, pathogens are generally reported to decline (but can persist) in the field environment following a contamination event. However, there is limited and variable data regarding the survival of pathogens associated with direct or indirect animal incursion. As such</w:t>
      </w:r>
      <w:r>
        <w:t>,</w:t>
      </w:r>
      <w:r w:rsidRPr="004422A2">
        <w:t xml:space="preserve"> there is a high level of uncertainty in regard to how environmental factors influence the survival and transmission of pathogens associated with animal incursion. </w:t>
      </w:r>
      <w:r w:rsidRPr="004422A2">
        <w:rPr>
          <w:lang w:eastAsia="en-AU"/>
        </w:rPr>
        <w:t xml:space="preserve">There is also limited available data regarding the prevalence of foodborne pathogens on animals or in animal faeces relevant to Australia. Furthermore, data describing the density of wildlife, the frequency of ingress into fields, and the quantification of transmission from faeces or animals to fresh produce via different mechanisms such as soil or water are limited in the Australian context. International studies investigating these factors are more frequent for leafy vegetables but very little data is available for berries or melons. </w:t>
      </w:r>
    </w:p>
    <w:p w14:paraId="00126ADA" w14:textId="77777777" w:rsidR="00625761" w:rsidRPr="004422A2" w:rsidRDefault="00625761" w:rsidP="00625761"/>
    <w:p w14:paraId="5D99D774" w14:textId="77777777" w:rsidR="00625761" w:rsidRPr="004422A2" w:rsidRDefault="00625761" w:rsidP="00625761">
      <w:r w:rsidRPr="00BF7D65">
        <w:rPr>
          <w:i/>
        </w:rPr>
        <w:t>It is plausible that those commodities that grow closer to the ground including lettuce, spinach, parsley, rockmelon, watermelon and strawberries may be at a greater risk of contamination via direct contact with faeces or soil affected by faeces compared to blueberries and raspberries</w:t>
      </w:r>
      <w:r w:rsidRPr="00EB1BC3">
        <w:t>. However, the indirect contamination from wind or water inputs affected by animal incursion or direct contamination from birds, climbing animals, or larger mammals would still present a risk to those higher growing commodities</w:t>
      </w:r>
      <w:r w:rsidRPr="00F863C7">
        <w:rPr>
          <w:b/>
        </w:rPr>
        <w:t>.</w:t>
      </w:r>
      <w:r w:rsidRPr="0064726A">
        <w:rPr>
          <w:b/>
        </w:rPr>
        <w:t xml:space="preserve"> </w:t>
      </w:r>
      <w:r w:rsidRPr="004422A2">
        <w:t xml:space="preserve">Again, high uncertainty exists regarding how the distance away from the point of animal incursion may affect the likelihood of contamination. </w:t>
      </w:r>
      <w:r>
        <w:t>The</w:t>
      </w:r>
      <w:r w:rsidRPr="004422A2">
        <w:t xml:space="preserve"> lack of studies </w:t>
      </w:r>
      <w:r>
        <w:t>in this area means that t</w:t>
      </w:r>
      <w:r w:rsidRPr="004422A2">
        <w:t xml:space="preserve">here is also high uncertainty regarding the potential variability associated with how the type of </w:t>
      </w:r>
      <w:r>
        <w:t xml:space="preserve">intruding </w:t>
      </w:r>
      <w:r w:rsidRPr="004422A2">
        <w:t xml:space="preserve">animal influences the likelihood of contamination and the extent that wildlife incursion will influence risk for particular commodities of melons and berries. </w:t>
      </w:r>
    </w:p>
    <w:p w14:paraId="71EB6810" w14:textId="77777777" w:rsidR="00625761" w:rsidRDefault="00625761" w:rsidP="00625761"/>
    <w:p w14:paraId="6F041D01" w14:textId="3A18C28D" w:rsidR="00625761" w:rsidRDefault="00625761" w:rsidP="00625761">
      <w:pPr>
        <w:rPr>
          <w:lang w:eastAsia="en-AU" w:bidi="ar-SA"/>
        </w:rPr>
      </w:pPr>
      <w:r>
        <w:rPr>
          <w:lang w:eastAsia="en-AU" w:bidi="ar-SA"/>
        </w:rPr>
        <w:t>Whilst some studies reported above have attempted to model the complex interactions between wildlife populations, topography, climate, hydrology, and weather, these are limited in the literature</w:t>
      </w:r>
      <w:r w:rsidR="00157348">
        <w:rPr>
          <w:lang w:eastAsia="en-AU" w:bidi="ar-SA"/>
        </w:rPr>
        <w:t xml:space="preserve"> </w:t>
      </w:r>
      <w:r w:rsidR="00657FDB">
        <w:rPr>
          <w:lang w:eastAsia="en-AU" w:bidi="ar-SA"/>
        </w:rPr>
        <w:t>(Mishra et al. 2017a)</w:t>
      </w:r>
      <w:r>
        <w:rPr>
          <w:lang w:eastAsia="en-AU" w:bidi="ar-SA"/>
        </w:rPr>
        <w:t>.</w:t>
      </w:r>
    </w:p>
    <w:p w14:paraId="0BD99E7C" w14:textId="77777777" w:rsidR="00625761" w:rsidRDefault="00625761" w:rsidP="00625761"/>
    <w:p w14:paraId="06C265CF" w14:textId="77777777" w:rsidR="00702CD0" w:rsidRDefault="00702CD0">
      <w:pPr>
        <w:widowControl/>
      </w:pPr>
      <w:r>
        <w:br w:type="page"/>
      </w:r>
    </w:p>
    <w:p w14:paraId="36A1BCE9" w14:textId="5C74C550" w:rsidR="00625761" w:rsidRDefault="00625761" w:rsidP="00625761">
      <w:r>
        <w:t>E</w:t>
      </w:r>
      <w:r w:rsidRPr="00B907F6">
        <w:t xml:space="preserve">xpert scientific reports </w:t>
      </w:r>
      <w:r>
        <w:t xml:space="preserve">concur with these conclusions and </w:t>
      </w:r>
      <w:r w:rsidRPr="00B907F6">
        <w:t>have</w:t>
      </w:r>
      <w:r>
        <w:t xml:space="preserve"> identified animal incursion</w:t>
      </w:r>
      <w:r w:rsidRPr="00B907F6">
        <w:t xml:space="preserve"> as important risk factors that may contribute to microbiological contamination of </w:t>
      </w:r>
      <w:r>
        <w:t>all of the in-</w:t>
      </w:r>
      <w:r w:rsidRPr="00B907F6">
        <w:t xml:space="preserve">scope commodities </w:t>
      </w:r>
      <w:r w:rsidR="00657FDB">
        <w:t>(EFSA Panel on Biological Hazards 2014a, 2014b, 2014c; FAO/WHO 2008b, 2011)</w:t>
      </w:r>
      <w:r w:rsidRPr="00B907F6">
        <w:t>.</w:t>
      </w:r>
      <w:r w:rsidRPr="00524DDD">
        <w:t xml:space="preserve"> It </w:t>
      </w:r>
      <w:r>
        <w:t>is noted</w:t>
      </w:r>
      <w:r w:rsidRPr="005C5B86">
        <w:t xml:space="preserve"> that</w:t>
      </w:r>
      <w:r>
        <w:t>,</w:t>
      </w:r>
      <w:r w:rsidRPr="005C5B86">
        <w:t xml:space="preserve"> in some cases</w:t>
      </w:r>
      <w:r>
        <w:t>,</w:t>
      </w:r>
      <w:r w:rsidRPr="005C5B86">
        <w:t xml:space="preserve"> these risks may be </w:t>
      </w:r>
      <w:r>
        <w:t xml:space="preserve">better </w:t>
      </w:r>
      <w:r w:rsidRPr="005C5B86">
        <w:t>managed for those crops produced in more protected systems (</w:t>
      </w:r>
      <w:r w:rsidRPr="009D5A9D">
        <w:t>e.g.</w:t>
      </w:r>
      <w:r w:rsidRPr="005C5B86">
        <w:t xml:space="preserve"> </w:t>
      </w:r>
      <w:r>
        <w:t xml:space="preserve">greenhouse, </w:t>
      </w:r>
      <w:r w:rsidRPr="005C5B86">
        <w:t>tunnel</w:t>
      </w:r>
      <w:r>
        <w:t>,</w:t>
      </w:r>
      <w:r w:rsidRPr="005C5B86">
        <w:t xml:space="preserve"> </w:t>
      </w:r>
      <w:r>
        <w:t>hydroponic or netted systems</w:t>
      </w:r>
      <w:r w:rsidRPr="005C5B86">
        <w:t>). However, these systems are not universally applied within any of the commodity sectors</w:t>
      </w:r>
      <w:r>
        <w:t xml:space="preserve"> in Australia</w:t>
      </w:r>
      <w:r w:rsidRPr="005C5B86">
        <w:t>.</w:t>
      </w:r>
    </w:p>
    <w:p w14:paraId="75D90385" w14:textId="77777777" w:rsidR="00625761" w:rsidRDefault="00625761" w:rsidP="00787E56">
      <w:pPr>
        <w:pStyle w:val="Heading3"/>
        <w:numPr>
          <w:ilvl w:val="2"/>
          <w:numId w:val="11"/>
        </w:numPr>
      </w:pPr>
      <w:bookmarkStart w:id="195" w:name="_Toc56693431"/>
      <w:bookmarkStart w:id="196" w:name="_Toc58327784"/>
      <w:bookmarkStart w:id="197" w:name="_Toc58333964"/>
      <w:bookmarkStart w:id="198" w:name="_Toc64448771"/>
      <w:bookmarkStart w:id="199" w:name="_Toc87860032"/>
      <w:r>
        <w:t>Mitigation measures</w:t>
      </w:r>
      <w:bookmarkEnd w:id="195"/>
      <w:bookmarkEnd w:id="196"/>
      <w:bookmarkEnd w:id="197"/>
      <w:bookmarkEnd w:id="198"/>
      <w:bookmarkEnd w:id="199"/>
    </w:p>
    <w:p w14:paraId="2168ED18" w14:textId="75D71828" w:rsidR="00625761" w:rsidRDefault="00625761" w:rsidP="00625761">
      <w:r w:rsidRPr="00D41494">
        <w:t>There is</w:t>
      </w:r>
      <w:r w:rsidRPr="00B907F6">
        <w:rPr>
          <w:color w:val="FF0000"/>
        </w:rPr>
        <w:t xml:space="preserve"> </w:t>
      </w:r>
      <w:r>
        <w:t>evidence for the efficacy of no-harvest zones near wildlife faecal contamination and buffer zones between crops and grazing animals for leafy vegetables</w:t>
      </w:r>
      <w:r w:rsidRPr="00B907F6">
        <w:t xml:space="preserve"> to reduce the likelihood of microbial contamination of harvested p</w:t>
      </w:r>
      <w:r>
        <w:t>r</w:t>
      </w:r>
      <w:r w:rsidRPr="00B907F6">
        <w:t>oduce</w:t>
      </w:r>
      <w:r>
        <w:t xml:space="preserve"> </w:t>
      </w:r>
      <w:r w:rsidR="00657FDB">
        <w:t>(Hoar et al. 2013; Jeamsripong et al. 2019, 2019)</w:t>
      </w:r>
      <w:r>
        <w:t xml:space="preserve">. </w:t>
      </w:r>
      <w:r w:rsidRPr="003528F7">
        <w:rPr>
          <w:rFonts w:cs="Arial"/>
          <w:szCs w:val="22"/>
          <w:shd w:val="clear" w:color="auto" w:fill="FFFFFF"/>
        </w:rPr>
        <w:t>These studies have suggested exclusion zones of 152.4 cm (5 ft) from animal faecal matter and 9.1 m (30 ft) between grazing lands or domestic animals and the crop edge can reduce the risk of contamination of leafy vegetables.</w:t>
      </w:r>
    </w:p>
    <w:p w14:paraId="515C7B39" w14:textId="77777777" w:rsidR="00625761" w:rsidRPr="002F1A61" w:rsidRDefault="00625761" w:rsidP="00625761">
      <w:pPr>
        <w:rPr>
          <w:lang w:eastAsia="en-AU" w:bidi="ar-SA"/>
        </w:rPr>
      </w:pPr>
    </w:p>
    <w:p w14:paraId="63F01AD0" w14:textId="724CF18B" w:rsidR="00625761" w:rsidRDefault="00625761" w:rsidP="00E37503">
      <w:pPr>
        <w:spacing w:after="120"/>
      </w:pPr>
      <w:r>
        <w:t xml:space="preserve">The mitigation recommendations provided by other agencies, organisations and peak industry bodies for limiting the risk from animal and human ingress are similar across the in-scope commodity sectors </w:t>
      </w:r>
      <w:r w:rsidR="00657FDB">
        <w:t>(EFSA Panel on Biological Hazards 2014a, 2014b, 2014c; FAO/WHO 2008b; FPSC A-NZ 2019; IFPA et al. 2006; NSW DPI 2019; UC Davis 2020)</w:t>
      </w:r>
      <w:r>
        <w:t xml:space="preserve"> and include:</w:t>
      </w:r>
    </w:p>
    <w:p w14:paraId="0D4186FD" w14:textId="77777777" w:rsidR="00625761" w:rsidRDefault="00625761" w:rsidP="00625761">
      <w:pPr>
        <w:pStyle w:val="ListParagraph"/>
        <w:numPr>
          <w:ilvl w:val="0"/>
          <w:numId w:val="28"/>
        </w:numPr>
      </w:pPr>
      <w:r>
        <w:t xml:space="preserve">Regular risk assessment including evidence of wildlife or pest incursion, and assessment of the proximity to known wildlife and pest reservoirs </w:t>
      </w:r>
    </w:p>
    <w:p w14:paraId="25E46131" w14:textId="77777777" w:rsidR="00625761" w:rsidRDefault="00625761" w:rsidP="00625761">
      <w:pPr>
        <w:pStyle w:val="ListParagraph"/>
        <w:numPr>
          <w:ilvl w:val="0"/>
          <w:numId w:val="28"/>
        </w:numPr>
      </w:pPr>
      <w:r>
        <w:t>Monitor wildlife, pest, or human ingress regularly and particularly prior to harvest</w:t>
      </w:r>
      <w:r w:rsidRPr="00B907F6">
        <w:t>. If</w:t>
      </w:r>
      <w:r>
        <w:t xml:space="preserve"> detected, decisions should be made about whether to harvest from affected areas</w:t>
      </w:r>
    </w:p>
    <w:p w14:paraId="45716101" w14:textId="77777777" w:rsidR="00625761" w:rsidRDefault="00625761" w:rsidP="00625761">
      <w:pPr>
        <w:pStyle w:val="ListParagraph"/>
        <w:numPr>
          <w:ilvl w:val="0"/>
          <w:numId w:val="28"/>
        </w:numPr>
      </w:pPr>
      <w:r>
        <w:t xml:space="preserve">Growing areas should be protected and maintained to deter wildlife intrusion </w:t>
      </w:r>
      <w:r w:rsidRPr="009A54B8">
        <w:t>using appropriate biological, cultivation, and physical and chemical pest control methods</w:t>
      </w:r>
      <w:r>
        <w:t>, and by limiting water and waste in the field</w:t>
      </w:r>
    </w:p>
    <w:p w14:paraId="29A332CA" w14:textId="77777777" w:rsidR="00625761" w:rsidRDefault="00625761" w:rsidP="00625761">
      <w:pPr>
        <w:pStyle w:val="ListParagraph"/>
        <w:numPr>
          <w:ilvl w:val="0"/>
          <w:numId w:val="28"/>
        </w:numPr>
      </w:pPr>
      <w:r w:rsidRPr="00B907F6">
        <w:t>Water sources and other inputs</w:t>
      </w:r>
      <w:r>
        <w:t>, such as soil amendments,</w:t>
      </w:r>
      <w:r w:rsidRPr="00B907F6">
        <w:t xml:space="preserve"> should be protected from animal incursion</w:t>
      </w:r>
    </w:p>
    <w:p w14:paraId="74E03789" w14:textId="77777777" w:rsidR="00625761" w:rsidRPr="00B907F6" w:rsidRDefault="00625761" w:rsidP="00625761">
      <w:pPr>
        <w:pStyle w:val="ListParagraph"/>
        <w:numPr>
          <w:ilvl w:val="0"/>
          <w:numId w:val="28"/>
        </w:numPr>
      </w:pPr>
      <w:r>
        <w:t>Dissuasive feeding of animals</w:t>
      </w:r>
    </w:p>
    <w:p w14:paraId="58BF7FE6" w14:textId="77777777" w:rsidR="00625761" w:rsidRDefault="00625761" w:rsidP="00625761">
      <w:pPr>
        <w:pStyle w:val="ListParagraph"/>
        <w:numPr>
          <w:ilvl w:val="0"/>
          <w:numId w:val="28"/>
        </w:numPr>
      </w:pPr>
      <w:r>
        <w:t>Locate</w:t>
      </w:r>
      <w:r w:rsidRPr="00B907F6">
        <w:t xml:space="preserve"> production areas to minimise the potential for animal ingress</w:t>
      </w:r>
    </w:p>
    <w:p w14:paraId="459A8195" w14:textId="77777777" w:rsidR="00625761" w:rsidRDefault="00625761" w:rsidP="00625761">
      <w:pPr>
        <w:pStyle w:val="ListParagraph"/>
        <w:numPr>
          <w:ilvl w:val="0"/>
          <w:numId w:val="28"/>
        </w:numPr>
      </w:pPr>
      <w:r>
        <w:t>Use buffer zones</w:t>
      </w:r>
      <w:r w:rsidRPr="00B907F6">
        <w:t>, no harvest zones,</w:t>
      </w:r>
      <w:r>
        <w:t xml:space="preserve"> and physical barriers/or to protect production area</w:t>
      </w:r>
    </w:p>
    <w:p w14:paraId="536A019A" w14:textId="77777777" w:rsidR="00625761" w:rsidRDefault="00625761" w:rsidP="00625761">
      <w:pPr>
        <w:pStyle w:val="ListParagraph"/>
        <w:numPr>
          <w:ilvl w:val="0"/>
          <w:numId w:val="28"/>
        </w:numPr>
      </w:pPr>
      <w:r>
        <w:t xml:space="preserve">Use of co-management strategies </w:t>
      </w:r>
    </w:p>
    <w:p w14:paraId="24CC4DEF" w14:textId="77777777" w:rsidR="00625761" w:rsidRDefault="00625761" w:rsidP="00625761">
      <w:pPr>
        <w:pStyle w:val="ListParagraph"/>
        <w:numPr>
          <w:ilvl w:val="0"/>
          <w:numId w:val="28"/>
        </w:numPr>
      </w:pPr>
      <w:r>
        <w:t xml:space="preserve">Train staff to identify and report signs of animal/human incursion. </w:t>
      </w:r>
    </w:p>
    <w:p w14:paraId="4D6BBCA0" w14:textId="77777777" w:rsidR="00D11B9D" w:rsidRDefault="00D11B9D" w:rsidP="004B2589"/>
    <w:p w14:paraId="53F711A6" w14:textId="77777777" w:rsidR="004B2589" w:rsidRPr="00AE5FD7" w:rsidRDefault="004B2589" w:rsidP="004B2589">
      <w:pPr>
        <w:pStyle w:val="Heading2"/>
        <w:numPr>
          <w:ilvl w:val="1"/>
          <w:numId w:val="11"/>
        </w:numPr>
      </w:pPr>
      <w:bookmarkStart w:id="200" w:name="_Toc45275343"/>
      <w:bookmarkStart w:id="201" w:name="_Toc56693432"/>
      <w:bookmarkStart w:id="202" w:name="_Toc58327785"/>
      <w:bookmarkStart w:id="203" w:name="_Toc58333965"/>
      <w:bookmarkStart w:id="204" w:name="_Toc64448772"/>
      <w:bookmarkStart w:id="205" w:name="_Toc87860033"/>
      <w:r>
        <w:t>Characteristics of the production site</w:t>
      </w:r>
      <w:bookmarkEnd w:id="200"/>
      <w:bookmarkEnd w:id="201"/>
      <w:bookmarkEnd w:id="202"/>
      <w:bookmarkEnd w:id="203"/>
      <w:bookmarkEnd w:id="204"/>
      <w:bookmarkEnd w:id="205"/>
    </w:p>
    <w:p w14:paraId="486CE8CB" w14:textId="7EED5E02" w:rsidR="004B2589" w:rsidRPr="00BA1E15" w:rsidRDefault="004B2589" w:rsidP="004B2589">
      <w:pPr>
        <w:rPr>
          <w:lang w:eastAsia="en-AU" w:bidi="ar-SA"/>
        </w:rPr>
      </w:pPr>
      <w:r w:rsidRPr="00BA1E15">
        <w:rPr>
          <w:lang w:eastAsia="en-AU" w:bidi="ar-SA"/>
        </w:rPr>
        <w:t xml:space="preserve">Characteristics of the production site—including prior and surrounding </w:t>
      </w:r>
      <w:r>
        <w:rPr>
          <w:lang w:eastAsia="en-AU" w:bidi="ar-SA"/>
        </w:rPr>
        <w:t xml:space="preserve">or adjacent </w:t>
      </w:r>
      <w:r w:rsidRPr="00BA1E15">
        <w:rPr>
          <w:lang w:eastAsia="en-AU" w:bidi="ar-SA"/>
        </w:rPr>
        <w:t xml:space="preserve">land use, topology, hydrology, and climate—can influence the transfer of pathogens from the environment to crops </w:t>
      </w:r>
      <w:r w:rsidR="00657FDB">
        <w:rPr>
          <w:lang w:eastAsia="en-AU" w:bidi="ar-SA"/>
        </w:rPr>
        <w:t>(FAO/WHO 2008b)</w:t>
      </w:r>
      <w:r w:rsidRPr="00BA1E15">
        <w:rPr>
          <w:lang w:eastAsia="en-AU" w:bidi="ar-SA"/>
        </w:rPr>
        <w:t xml:space="preserve">. Famers may rotate and change crops grown on fields and new fields may be established. Prior land use including land </w:t>
      </w:r>
      <w:r w:rsidRPr="00BA1E15">
        <w:t xml:space="preserve">used to cultivate a different crop; supplemented with soil amendments; irrigated in a manner inappropriate for the new commodity; or used for livestock production, as a wildlife habitat or for land fill for urban or industrial waste have been identified as risk factors that may contribute to the contamination of fresh produce </w:t>
      </w:r>
      <w:r w:rsidR="00657FDB">
        <w:t>(FAO/WHO 2008b)</w:t>
      </w:r>
      <w:r w:rsidRPr="00BA1E15">
        <w:t>.</w:t>
      </w:r>
    </w:p>
    <w:p w14:paraId="152B8545" w14:textId="652B47E4" w:rsidR="004B2589" w:rsidRPr="00BA1E15" w:rsidRDefault="004B2589" w:rsidP="004B2589">
      <w:pPr>
        <w:rPr>
          <w:lang w:eastAsia="en-AU" w:bidi="ar-SA"/>
        </w:rPr>
      </w:pPr>
      <w:r w:rsidRPr="00BA1E15">
        <w:rPr>
          <w:lang w:eastAsia="en-AU" w:bidi="ar-SA"/>
        </w:rPr>
        <w:t xml:space="preserve"> </w:t>
      </w:r>
    </w:p>
    <w:p w14:paraId="4520AD25" w14:textId="77777777" w:rsidR="00210021" w:rsidRDefault="00210021">
      <w:pPr>
        <w:widowControl/>
        <w:rPr>
          <w:lang w:eastAsia="en-AU" w:bidi="ar-SA"/>
        </w:rPr>
      </w:pPr>
      <w:r>
        <w:rPr>
          <w:lang w:eastAsia="en-AU" w:bidi="ar-SA"/>
        </w:rPr>
        <w:br w:type="page"/>
      </w:r>
    </w:p>
    <w:p w14:paraId="41A47385" w14:textId="113BFB34" w:rsidR="004B2589" w:rsidRPr="00BA1E15" w:rsidRDefault="004B2589" w:rsidP="004B2589">
      <w:pPr>
        <w:rPr>
          <w:lang w:eastAsia="en-AU" w:bidi="ar-SA"/>
        </w:rPr>
      </w:pPr>
      <w:r w:rsidRPr="00BA1E15">
        <w:rPr>
          <w:lang w:eastAsia="en-AU" w:bidi="ar-SA"/>
        </w:rPr>
        <w:t xml:space="preserve">Topological risk factors include the positioning of crops below contaminated areas where runoff, wind, dust or other environmental factors can transfer pathogens to fresh produce </w:t>
      </w:r>
      <w:r w:rsidR="00657FDB">
        <w:rPr>
          <w:lang w:eastAsia="en-AU" w:bidi="ar-SA"/>
        </w:rPr>
        <w:t>(FAO/WHO 2008b)</w:t>
      </w:r>
      <w:r w:rsidRPr="00BA1E15">
        <w:rPr>
          <w:lang w:eastAsia="en-AU" w:bidi="ar-SA"/>
        </w:rPr>
        <w:t xml:space="preserve">. Hydrological risk factors include rising water tables that can transfer human pathogens from areas of high density populations, and low lying areas holding stagnant water that could be contaminated and </w:t>
      </w:r>
      <w:r>
        <w:rPr>
          <w:lang w:eastAsia="en-AU" w:bidi="ar-SA"/>
        </w:rPr>
        <w:t>subsequently</w:t>
      </w:r>
      <w:r w:rsidRPr="00BA1E15">
        <w:rPr>
          <w:lang w:eastAsia="en-AU" w:bidi="ar-SA"/>
        </w:rPr>
        <w:t xml:space="preserve"> transferred to crops </w:t>
      </w:r>
      <w:r w:rsidR="00657FDB">
        <w:rPr>
          <w:lang w:eastAsia="en-AU" w:bidi="ar-SA"/>
        </w:rPr>
        <w:t>(FAO/WHO 2008b)</w:t>
      </w:r>
      <w:r w:rsidRPr="00BA1E15">
        <w:rPr>
          <w:lang w:eastAsia="en-AU" w:bidi="ar-SA"/>
        </w:rPr>
        <w:t>.</w:t>
      </w:r>
    </w:p>
    <w:p w14:paraId="5CF08BC8" w14:textId="77777777" w:rsidR="004B2589" w:rsidRDefault="004B2589" w:rsidP="00787E56">
      <w:pPr>
        <w:pStyle w:val="Heading3"/>
        <w:numPr>
          <w:ilvl w:val="2"/>
          <w:numId w:val="11"/>
        </w:numPr>
      </w:pPr>
      <w:bookmarkStart w:id="206" w:name="_Toc56693433"/>
      <w:bookmarkStart w:id="207" w:name="_Toc58327786"/>
      <w:bookmarkStart w:id="208" w:name="_Toc58333966"/>
      <w:bookmarkStart w:id="209" w:name="_Toc64448773"/>
      <w:bookmarkStart w:id="210" w:name="_Toc87860034"/>
      <w:bookmarkStart w:id="211" w:name="_Toc45275345"/>
      <w:r w:rsidRPr="00BA1E15">
        <w:t xml:space="preserve">Available </w:t>
      </w:r>
      <w:r>
        <w:t>data</w:t>
      </w:r>
      <w:bookmarkEnd w:id="206"/>
      <w:bookmarkEnd w:id="207"/>
      <w:bookmarkEnd w:id="208"/>
      <w:bookmarkEnd w:id="209"/>
      <w:bookmarkEnd w:id="210"/>
    </w:p>
    <w:bookmarkEnd w:id="211"/>
    <w:p w14:paraId="132F6907" w14:textId="2D14297D" w:rsidR="004B2589" w:rsidRDefault="004B2589" w:rsidP="004B2589">
      <w:pPr>
        <w:rPr>
          <w:rFonts w:cs="Arial"/>
          <w:color w:val="222222"/>
          <w:szCs w:val="22"/>
          <w:shd w:val="clear" w:color="auto" w:fill="FFFFFF"/>
        </w:rPr>
      </w:pPr>
      <w:r w:rsidRPr="00C45AD4">
        <w:t xml:space="preserve">Different aspects of weather and climate have been shown to influence the transmission, survival and growth of microorganisms. </w:t>
      </w:r>
      <w:r>
        <w:t>Airborne microorganisms can exist both as free cells and with particulate matter with concentrations reported to</w:t>
      </w:r>
      <w:r>
        <w:rPr>
          <w:rFonts w:cs="Arial"/>
          <w:color w:val="222222"/>
          <w:szCs w:val="22"/>
          <w:shd w:val="clear" w:color="auto" w:fill="FFFFFF"/>
        </w:rPr>
        <w:t xml:space="preserve"> vary from 1.96 Log to 8.11 Log CFU/m</w:t>
      </w:r>
      <w:r w:rsidRPr="007364D6">
        <w:rPr>
          <w:rFonts w:cs="Arial"/>
          <w:color w:val="222222"/>
          <w:szCs w:val="22"/>
          <w:shd w:val="clear" w:color="auto" w:fill="FFFFFF"/>
          <w:vertAlign w:val="superscript"/>
        </w:rPr>
        <w:t>3</w:t>
      </w:r>
      <w:r w:rsidRPr="007364D6">
        <w:rPr>
          <w:rFonts w:cs="Arial"/>
          <w:color w:val="222222"/>
          <w:szCs w:val="22"/>
          <w:shd w:val="clear" w:color="auto" w:fill="FFFFFF"/>
        </w:rPr>
        <w:t xml:space="preserve"> per cubic meter of air.</w:t>
      </w:r>
      <w:r>
        <w:rPr>
          <w:rFonts w:cs="Arial"/>
          <w:color w:val="222222"/>
          <w:szCs w:val="22"/>
          <w:shd w:val="clear" w:color="auto" w:fill="FFFFFF"/>
        </w:rPr>
        <w:t xml:space="preserve"> Similar landscapes have been shown to produce similar airborne microbiological profiles but local meteorological conditions</w:t>
      </w:r>
      <w:r w:rsidRPr="00BA1E15">
        <w:rPr>
          <w:lang w:eastAsia="en-AU" w:bidi="ar-SA"/>
        </w:rPr>
        <w:t>—</w:t>
      </w:r>
      <w:r>
        <w:rPr>
          <w:rFonts w:cs="Arial"/>
          <w:color w:val="222222"/>
          <w:szCs w:val="22"/>
          <w:shd w:val="clear" w:color="auto" w:fill="FFFFFF"/>
        </w:rPr>
        <w:t>such as wind, temperature, and humidity</w:t>
      </w:r>
      <w:r w:rsidRPr="00BA1E15">
        <w:rPr>
          <w:lang w:eastAsia="en-AU" w:bidi="ar-SA"/>
        </w:rPr>
        <w:t>—</w:t>
      </w:r>
      <w:r>
        <w:rPr>
          <w:rFonts w:cs="Arial"/>
          <w:color w:val="222222"/>
          <w:szCs w:val="22"/>
          <w:shd w:val="clear" w:color="auto" w:fill="FFFFFF"/>
        </w:rPr>
        <w:t xml:space="preserve">can affect the composition of airborne communities </w:t>
      </w:r>
      <w:r w:rsidR="00657FDB">
        <w:rPr>
          <w:rFonts w:cs="Arial"/>
          <w:color w:val="222222"/>
          <w:szCs w:val="22"/>
          <w:shd w:val="clear" w:color="auto" w:fill="FFFFFF"/>
        </w:rPr>
        <w:t>(Tignat-Perrier et al. 2019)</w:t>
      </w:r>
      <w:r>
        <w:rPr>
          <w:rFonts w:cs="Arial"/>
          <w:color w:val="222222"/>
          <w:szCs w:val="22"/>
          <w:shd w:val="clear" w:color="auto" w:fill="FFFFFF"/>
        </w:rPr>
        <w:t xml:space="preserve">. </w:t>
      </w:r>
    </w:p>
    <w:p w14:paraId="1CDCDE34" w14:textId="77777777" w:rsidR="004B2589" w:rsidRDefault="004B2589" w:rsidP="004B2589">
      <w:pPr>
        <w:rPr>
          <w:rFonts w:cs="Arial"/>
          <w:color w:val="222222"/>
          <w:szCs w:val="22"/>
          <w:shd w:val="clear" w:color="auto" w:fill="FFFFFF"/>
        </w:rPr>
      </w:pPr>
    </w:p>
    <w:p w14:paraId="60452E41" w14:textId="2E46B6DE" w:rsidR="004B2589" w:rsidRPr="00EA00BD" w:rsidRDefault="004B2589" w:rsidP="004B2589">
      <w:pPr>
        <w:rPr>
          <w:rFonts w:cs="Arial"/>
          <w:color w:val="222222"/>
          <w:szCs w:val="22"/>
          <w:shd w:val="clear" w:color="auto" w:fill="FFFFFF"/>
        </w:rPr>
      </w:pPr>
      <w:r w:rsidRPr="00C45AD4">
        <w:t>Rain or precipitation have been identified as important factors that can increase the likelihood of transfer of microorganisms to fresh produce</w:t>
      </w:r>
      <w:r>
        <w:t xml:space="preserve"> via splash transference</w:t>
      </w:r>
      <w:r w:rsidRPr="00C45AD4">
        <w:t xml:space="preserve"> </w:t>
      </w:r>
      <w:r w:rsidR="00657FDB">
        <w:t>(Monaghan and Hutchison 2012; Strawn et al. 2013; Ward et al. 2015)</w:t>
      </w:r>
      <w:r w:rsidRPr="00C45AD4">
        <w:t xml:space="preserve">. </w:t>
      </w:r>
      <w:r>
        <w:t xml:space="preserve">Furthermore, high temperatures and high humidity are reported to increase the potential for growth of pathogens on produce </w:t>
      </w:r>
      <w:r w:rsidR="00657FDB">
        <w:t>(Park et al. 2012)</w:t>
      </w:r>
      <w:r>
        <w:t>.</w:t>
      </w:r>
      <w:r>
        <w:rPr>
          <w:rFonts w:cs="Arial"/>
          <w:color w:val="222222"/>
          <w:szCs w:val="22"/>
          <w:shd w:val="clear" w:color="auto" w:fill="FFFFFF"/>
        </w:rPr>
        <w:t xml:space="preserve"> However, </w:t>
      </w:r>
      <w:r w:rsidRPr="00C45AD4">
        <w:t>UV</w:t>
      </w:r>
      <w:r>
        <w:t xml:space="preserve"> radiation from sun</w:t>
      </w:r>
      <w:r w:rsidRPr="00C45AD4">
        <w:t>light has been reported to decrease pathogens in water, soil, and on the surface of fresh produce</w:t>
      </w:r>
      <w:r>
        <w:t xml:space="preserve"> over time and is one of the factors that contributes to the reported general decline of pathogens on produce in the field</w:t>
      </w:r>
      <w:r w:rsidRPr="00C45AD4">
        <w:t xml:space="preserve"> </w:t>
      </w:r>
      <w:r w:rsidR="00657FDB">
        <w:t>(EFSA Panel on Biological Hazards 2014a; Williamson et al. 2017)</w:t>
      </w:r>
      <w:r>
        <w:t>.</w:t>
      </w:r>
      <w:r w:rsidRPr="00C45AD4">
        <w:t xml:space="preserve"> </w:t>
      </w:r>
    </w:p>
    <w:p w14:paraId="590C6AC0" w14:textId="77777777" w:rsidR="004B2589" w:rsidRDefault="004B2589" w:rsidP="004B2589"/>
    <w:p w14:paraId="4C681A3F" w14:textId="05AE826A" w:rsidR="004B2589" w:rsidRPr="00C45AD4" w:rsidRDefault="004B2589" w:rsidP="004B2589">
      <w:r w:rsidRPr="00C45AD4">
        <w:t xml:space="preserve">Environmental factors such as soil available water, soil type, temperature, and proximity to water sources and other uses of land—such as roads, urban development and pasture/hay grass—can </w:t>
      </w:r>
      <w:r>
        <w:t xml:space="preserve">affect </w:t>
      </w:r>
      <w:r w:rsidRPr="00C45AD4">
        <w:t xml:space="preserve">the likelihood of </w:t>
      </w:r>
      <w:r>
        <w:t>contamination by microorganisms</w:t>
      </w:r>
      <w:r w:rsidRPr="00C45AD4">
        <w:t xml:space="preserve"> </w:t>
      </w:r>
      <w:r w:rsidR="00657FDB">
        <w:t>(Monaghan and Hutchison 2012; Strawn et al. 2013; Ward et al. 2015)</w:t>
      </w:r>
      <w:r w:rsidRPr="00C45AD4">
        <w:t xml:space="preserve">. </w:t>
      </w:r>
    </w:p>
    <w:p w14:paraId="50C3BC33" w14:textId="77777777" w:rsidR="004B2589" w:rsidRPr="00C45AD4" w:rsidRDefault="004B2589" w:rsidP="004B2589"/>
    <w:p w14:paraId="0017DE27" w14:textId="2A6ABEBF" w:rsidR="004B2589" w:rsidRPr="00C45AD4" w:rsidRDefault="004B2589" w:rsidP="004B2589">
      <w:r w:rsidRPr="00C45AD4">
        <w:t>Topological and hydrological characteristics such as catchment topology, flow rate, and flow pathways have also been demonstrated to</w:t>
      </w:r>
      <w:r>
        <w:t xml:space="preserve"> play a role in</w:t>
      </w:r>
      <w:r w:rsidRPr="00C45AD4">
        <w:t xml:space="preserve"> the transfer of microorganisms</w:t>
      </w:r>
      <w:r>
        <w:t xml:space="preserve"> in agricultural settings </w:t>
      </w:r>
      <w:r w:rsidR="00657FDB">
        <w:t>(Abu</w:t>
      </w:r>
      <w:r w:rsidR="00657FDB">
        <w:rPr>
          <w:rFonts w:ascii="Cambria Math" w:hAnsi="Cambria Math" w:cs="Cambria Math"/>
        </w:rPr>
        <w:t>‐</w:t>
      </w:r>
      <w:r w:rsidR="00657FDB">
        <w:t>Ashour and Lee 2000; Murphy et al. 2015)</w:t>
      </w:r>
      <w:r w:rsidRPr="00C45AD4">
        <w:t xml:space="preserve">. </w:t>
      </w:r>
    </w:p>
    <w:p w14:paraId="2EB227AE" w14:textId="77777777" w:rsidR="004B2589" w:rsidRPr="00C45AD4" w:rsidRDefault="004B2589" w:rsidP="004B2589"/>
    <w:p w14:paraId="03A909D2" w14:textId="1052EB5B" w:rsidR="004B2589" w:rsidRDefault="004B2589" w:rsidP="004B2589">
      <w:pPr>
        <w:rPr>
          <w:lang w:eastAsia="en-AU" w:bidi="ar-SA"/>
        </w:rPr>
      </w:pPr>
      <w:r>
        <w:rPr>
          <w:lang w:eastAsia="en-AU" w:bidi="ar-SA"/>
        </w:rPr>
        <w:t>T</w:t>
      </w:r>
      <w:r w:rsidRPr="00C45AD4">
        <w:rPr>
          <w:lang w:eastAsia="en-AU" w:bidi="ar-SA"/>
        </w:rPr>
        <w:t>he evidence spec</w:t>
      </w:r>
      <w:r>
        <w:rPr>
          <w:lang w:eastAsia="en-AU" w:bidi="ar-SA"/>
        </w:rPr>
        <w:t>ifically associated with the in-</w:t>
      </w:r>
      <w:r w:rsidRPr="00C45AD4">
        <w:rPr>
          <w:lang w:eastAsia="en-AU" w:bidi="ar-SA"/>
        </w:rPr>
        <w:t>scope commodities and hazards is summarised</w:t>
      </w:r>
      <w:r>
        <w:rPr>
          <w:lang w:eastAsia="en-AU" w:bidi="ar-SA"/>
        </w:rPr>
        <w:t xml:space="preserve"> below</w:t>
      </w:r>
      <w:r w:rsidRPr="00C45AD4">
        <w:rPr>
          <w:lang w:eastAsia="en-AU" w:bidi="ar-SA"/>
        </w:rPr>
        <w:t>.</w:t>
      </w:r>
    </w:p>
    <w:p w14:paraId="06EA629B" w14:textId="28447120" w:rsidR="004B2589" w:rsidRPr="004422A2" w:rsidRDefault="004B2589" w:rsidP="004B2589">
      <w:pPr>
        <w:pStyle w:val="Heading4"/>
        <w:numPr>
          <w:ilvl w:val="3"/>
          <w:numId w:val="11"/>
        </w:numPr>
      </w:pPr>
      <w:r w:rsidRPr="004422A2">
        <w:t>Leafy vegetables</w:t>
      </w:r>
    </w:p>
    <w:p w14:paraId="68D59951" w14:textId="7D5CCA97" w:rsidR="004B2589" w:rsidRDefault="004B2589" w:rsidP="004B2589">
      <w:pPr>
        <w:rPr>
          <w:lang w:bidi="ar-SA"/>
        </w:rPr>
      </w:pPr>
      <w:r>
        <w:rPr>
          <w:lang w:bidi="ar-SA"/>
        </w:rPr>
        <w:t xml:space="preserve">Prior land use can affect the likelihood of microbial contamination of leafy vegetable crops. In a study on </w:t>
      </w:r>
      <w:r w:rsidRPr="003F233F">
        <w:rPr>
          <w:lang w:bidi="ar-SA"/>
        </w:rPr>
        <w:t>factors affecting</w:t>
      </w:r>
      <w:r>
        <w:rPr>
          <w:lang w:bidi="ar-SA"/>
        </w:rPr>
        <w:t xml:space="preserve"> contamination with generic </w:t>
      </w:r>
      <w:r w:rsidRPr="003F233F">
        <w:rPr>
          <w:i/>
          <w:lang w:bidi="ar-SA"/>
        </w:rPr>
        <w:t>E. coli</w:t>
      </w:r>
      <w:r>
        <w:rPr>
          <w:lang w:bidi="ar-SA"/>
        </w:rPr>
        <w:t xml:space="preserve">, 955 </w:t>
      </w:r>
      <w:r w:rsidRPr="002111B1">
        <w:rPr>
          <w:lang w:bidi="ar-SA"/>
        </w:rPr>
        <w:t xml:space="preserve">georeferenced spinach samples </w:t>
      </w:r>
      <w:r>
        <w:rPr>
          <w:lang w:bidi="ar-SA"/>
        </w:rPr>
        <w:t xml:space="preserve">were </w:t>
      </w:r>
      <w:r w:rsidRPr="002111B1">
        <w:rPr>
          <w:lang w:bidi="ar-SA"/>
        </w:rPr>
        <w:t>collected over two growing seasons on 12 farms in two US states</w:t>
      </w:r>
      <w:r>
        <w:rPr>
          <w:lang w:bidi="ar-SA"/>
        </w:rPr>
        <w:t xml:space="preserve"> </w:t>
      </w:r>
      <w:r w:rsidR="00657FDB">
        <w:rPr>
          <w:lang w:bidi="ar-SA"/>
        </w:rPr>
        <w:t>(Park et al. 2013b; Park et al. 2014)</w:t>
      </w:r>
      <w:r>
        <w:rPr>
          <w:lang w:bidi="ar-SA"/>
        </w:rPr>
        <w:t xml:space="preserve">. Amongst other factors, the study identified the absence of </w:t>
      </w:r>
      <w:r w:rsidRPr="003F233F">
        <w:rPr>
          <w:lang w:bidi="ar-SA"/>
        </w:rPr>
        <w:t>grazing and hay production in the field before spinach planting</w:t>
      </w:r>
      <w:r>
        <w:rPr>
          <w:lang w:bidi="ar-SA"/>
        </w:rPr>
        <w:t>—along with other field hygiene factors (</w:t>
      </w:r>
      <w:r w:rsidRPr="009D5A9D">
        <w:rPr>
          <w:lang w:bidi="ar-SA"/>
        </w:rPr>
        <w:t>e.g</w:t>
      </w:r>
      <w:r>
        <w:rPr>
          <w:lang w:bidi="ar-SA"/>
        </w:rPr>
        <w:t xml:space="preserve">. </w:t>
      </w:r>
      <w:r w:rsidRPr="003F233F">
        <w:rPr>
          <w:lang w:bidi="ar-SA"/>
        </w:rPr>
        <w:t>use of portable toilets and washing stations in the field, training staff/temporary workers to use portable toilets</w:t>
      </w:r>
      <w:r>
        <w:rPr>
          <w:lang w:bidi="ar-SA"/>
        </w:rPr>
        <w:t>)—as significantly</w:t>
      </w:r>
      <w:r w:rsidRPr="003F233F">
        <w:rPr>
          <w:lang w:bidi="ar-SA"/>
        </w:rPr>
        <w:t xml:space="preserve"> </w:t>
      </w:r>
      <w:r>
        <w:rPr>
          <w:lang w:bidi="ar-SA"/>
        </w:rPr>
        <w:t xml:space="preserve">reducing </w:t>
      </w:r>
      <w:r w:rsidRPr="008413B9">
        <w:rPr>
          <w:lang w:bidi="ar-SA"/>
        </w:rPr>
        <w:t>the likelihood of contamination (</w:t>
      </w:r>
      <w:r>
        <w:rPr>
          <w:lang w:bidi="ar-SA"/>
        </w:rPr>
        <w:t>OR</w:t>
      </w:r>
      <w:r w:rsidRPr="008413B9">
        <w:rPr>
          <w:lang w:bidi="ar-SA"/>
        </w:rPr>
        <w:t xml:space="preserve"> = 0.06; 95%CI </w:t>
      </w:r>
      <w:r>
        <w:rPr>
          <w:lang w:bidi="ar-SA"/>
        </w:rPr>
        <w:t>0.01–</w:t>
      </w:r>
      <w:r w:rsidRPr="008413B9">
        <w:rPr>
          <w:lang w:bidi="ar-SA"/>
        </w:rPr>
        <w:t>0.30).</w:t>
      </w:r>
    </w:p>
    <w:p w14:paraId="65679D6D" w14:textId="77777777" w:rsidR="004B2589" w:rsidRDefault="004B2589" w:rsidP="004B2589">
      <w:pPr>
        <w:rPr>
          <w:lang w:bidi="ar-SA"/>
        </w:rPr>
      </w:pPr>
    </w:p>
    <w:p w14:paraId="530F591B" w14:textId="19A2A4CF" w:rsidR="004B2589" w:rsidRPr="00AD39E2" w:rsidRDefault="004B2589" w:rsidP="004B2589">
      <w:pPr>
        <w:rPr>
          <w:lang w:bidi="ar-SA"/>
        </w:rPr>
      </w:pPr>
      <w:r>
        <w:t>Nearby</w:t>
      </w:r>
      <w:r w:rsidRPr="009867F4">
        <w:t xml:space="preserve"> livestock operations</w:t>
      </w:r>
      <w:r>
        <w:t xml:space="preserve"> can contaminate </w:t>
      </w:r>
      <w:r w:rsidRPr="009867F4">
        <w:t>leafy vegetable crops through dispersal</w:t>
      </w:r>
      <w:r>
        <w:t xml:space="preserve"> of pathogens</w:t>
      </w:r>
      <w:r w:rsidRPr="009867F4">
        <w:t xml:space="preserve"> by wind and dust over significant distances, particularly in drier landscapes</w:t>
      </w:r>
      <w:r>
        <w:t xml:space="preserve">. </w:t>
      </w:r>
      <w:r w:rsidR="00657FDB">
        <w:rPr>
          <w:lang w:bidi="ar-SA"/>
        </w:rPr>
        <w:t>Yanamala et al.</w:t>
      </w:r>
      <w:r>
        <w:rPr>
          <w:lang w:bidi="ar-SA"/>
        </w:rPr>
        <w:t xml:space="preserve"> </w:t>
      </w:r>
      <w:r w:rsidR="00657FDB">
        <w:rPr>
          <w:lang w:bidi="ar-SA"/>
        </w:rPr>
        <w:t>(2011)</w:t>
      </w:r>
      <w:r>
        <w:rPr>
          <w:lang w:bidi="ar-SA"/>
        </w:rPr>
        <w:t xml:space="preserve"> detected </w:t>
      </w:r>
      <w:r w:rsidRPr="00985BE0">
        <w:rPr>
          <w:i/>
          <w:lang w:bidi="ar-SA"/>
        </w:rPr>
        <w:t xml:space="preserve">Salmonella </w:t>
      </w:r>
      <w:r>
        <w:rPr>
          <w:lang w:bidi="ar-SA"/>
        </w:rPr>
        <w:t xml:space="preserve">spp. and generic and pathogenic </w:t>
      </w:r>
      <w:r w:rsidRPr="00985BE0">
        <w:rPr>
          <w:i/>
          <w:lang w:bidi="ar-SA"/>
        </w:rPr>
        <w:t>E. coli</w:t>
      </w:r>
      <w:r>
        <w:rPr>
          <w:lang w:bidi="ar-SA"/>
        </w:rPr>
        <w:t xml:space="preserve"> on fresh spinach samples placed up to 46 metres from a cattle feedlot </w:t>
      </w:r>
      <w:r w:rsidRPr="004D7742">
        <w:rPr>
          <w:lang w:bidi="ar-SA"/>
        </w:rPr>
        <w:t xml:space="preserve">operation. </w:t>
      </w:r>
      <w:r w:rsidR="00657FDB">
        <w:rPr>
          <w:lang w:bidi="ar-SA"/>
        </w:rPr>
        <w:t>Berry et al.</w:t>
      </w:r>
      <w:r>
        <w:rPr>
          <w:lang w:bidi="ar-SA"/>
        </w:rPr>
        <w:t xml:space="preserve"> </w:t>
      </w:r>
      <w:r w:rsidR="00657FDB">
        <w:rPr>
          <w:lang w:bidi="ar-SA"/>
        </w:rPr>
        <w:t>(2015)</w:t>
      </w:r>
      <w:r w:rsidRPr="004D7742">
        <w:rPr>
          <w:lang w:bidi="ar-SA"/>
        </w:rPr>
        <w:t xml:space="preserve"> investigated</w:t>
      </w:r>
      <w:r>
        <w:rPr>
          <w:lang w:bidi="ar-SA"/>
        </w:rPr>
        <w:t xml:space="preserve"> climatic factors that influenced the detection of generic </w:t>
      </w:r>
      <w:r w:rsidRPr="00723749">
        <w:rPr>
          <w:i/>
          <w:lang w:bidi="ar-SA"/>
        </w:rPr>
        <w:t>E. coli</w:t>
      </w:r>
      <w:r>
        <w:rPr>
          <w:lang w:bidi="ar-SA"/>
        </w:rPr>
        <w:t xml:space="preserve"> and pathogenic </w:t>
      </w:r>
      <w:r>
        <w:rPr>
          <w:i/>
          <w:lang w:bidi="ar-SA"/>
        </w:rPr>
        <w:t>E. </w:t>
      </w:r>
      <w:r w:rsidRPr="00723749">
        <w:rPr>
          <w:i/>
          <w:lang w:bidi="ar-SA"/>
        </w:rPr>
        <w:t>coli</w:t>
      </w:r>
      <w:r w:rsidRPr="0062466A">
        <w:rPr>
          <w:lang w:bidi="ar-SA"/>
        </w:rPr>
        <w:t xml:space="preserve"> O157:H7</w:t>
      </w:r>
      <w:r>
        <w:rPr>
          <w:lang w:bidi="ar-SA"/>
        </w:rPr>
        <w:t xml:space="preserve"> on leafy vegetables (including spinach) grown in plots up to 180 metres from a cattle feedlot. They concluded that drier and windier conditions significantly increased the probability of dissemination of the bacteria onto crops, a conclusion supported by routine detection of airborne </w:t>
      </w:r>
      <w:r w:rsidRPr="00723749">
        <w:rPr>
          <w:i/>
          <w:lang w:bidi="ar-SA"/>
        </w:rPr>
        <w:t>E. coli</w:t>
      </w:r>
      <w:r>
        <w:rPr>
          <w:lang w:bidi="ar-SA"/>
        </w:rPr>
        <w:t xml:space="preserve"> at that distance.</w:t>
      </w:r>
    </w:p>
    <w:p w14:paraId="0EDA39FA" w14:textId="77777777" w:rsidR="004B2589" w:rsidRDefault="004B2589" w:rsidP="004B2589">
      <w:pPr>
        <w:rPr>
          <w:lang w:bidi="ar-SA"/>
        </w:rPr>
      </w:pPr>
    </w:p>
    <w:p w14:paraId="64EEE523" w14:textId="1438EC96" w:rsidR="004B2589" w:rsidRDefault="004B2589" w:rsidP="004B2589">
      <w:pPr>
        <w:rPr>
          <w:lang w:bidi="ar-SA"/>
        </w:rPr>
      </w:pPr>
      <w:r>
        <w:rPr>
          <w:lang w:bidi="ar-SA"/>
        </w:rPr>
        <w:t>While few studies have specifically investigated the contribution of topological and hydrological factors to microbial contamination of leafy vegetables, some preliminary findings indicate that these factors can affect food safety.</w:t>
      </w:r>
      <w:r w:rsidRPr="009308C1">
        <w:t xml:space="preserve"> </w:t>
      </w:r>
      <w:r w:rsidRPr="009308C1">
        <w:rPr>
          <w:lang w:bidi="ar-SA"/>
        </w:rPr>
        <w:t xml:space="preserve">In their multi-factor analysis of generic </w:t>
      </w:r>
      <w:r w:rsidRPr="00711F59">
        <w:rPr>
          <w:i/>
          <w:lang w:bidi="ar-SA"/>
        </w:rPr>
        <w:t>E.</w:t>
      </w:r>
      <w:r>
        <w:rPr>
          <w:i/>
          <w:lang w:bidi="ar-SA"/>
        </w:rPr>
        <w:t> </w:t>
      </w:r>
      <w:r w:rsidRPr="00711F59">
        <w:rPr>
          <w:i/>
          <w:lang w:bidi="ar-SA"/>
        </w:rPr>
        <w:t>coli</w:t>
      </w:r>
      <w:r w:rsidRPr="009308C1">
        <w:rPr>
          <w:lang w:bidi="ar-SA"/>
        </w:rPr>
        <w:t xml:space="preserve"> contamination of spinach crops</w:t>
      </w:r>
      <w:r>
        <w:rPr>
          <w:lang w:bidi="ar-SA"/>
        </w:rPr>
        <w:t xml:space="preserve">, </w:t>
      </w:r>
      <w:r w:rsidR="00657FDB">
        <w:rPr>
          <w:lang w:bidi="ar-SA"/>
        </w:rPr>
        <w:t>Park et al.</w:t>
      </w:r>
      <w:r>
        <w:rPr>
          <w:lang w:bidi="ar-SA"/>
        </w:rPr>
        <w:t xml:space="preserve"> </w:t>
      </w:r>
      <w:r w:rsidR="00657FDB">
        <w:rPr>
          <w:lang w:bidi="ar-SA"/>
        </w:rPr>
        <w:t>(2013b)</w:t>
      </w:r>
      <w:r>
        <w:rPr>
          <w:lang w:bidi="ar-SA"/>
        </w:rPr>
        <w:t xml:space="preserve"> found that contamination</w:t>
      </w:r>
      <w:r w:rsidRPr="00BB521D">
        <w:rPr>
          <w:lang w:bidi="ar-SA"/>
        </w:rPr>
        <w:t xml:space="preserve"> was significantly </w:t>
      </w:r>
      <w:r>
        <w:rPr>
          <w:lang w:bidi="ar-SA"/>
        </w:rPr>
        <w:t>more likely</w:t>
      </w:r>
      <w:r w:rsidRPr="00BB521D">
        <w:rPr>
          <w:lang w:bidi="ar-SA"/>
        </w:rPr>
        <w:t xml:space="preserve"> when the </w:t>
      </w:r>
      <w:r>
        <w:rPr>
          <w:lang w:bidi="ar-SA"/>
        </w:rPr>
        <w:t xml:space="preserve">crop was located on </w:t>
      </w:r>
      <w:r w:rsidRPr="00BB521D">
        <w:rPr>
          <w:lang w:bidi="ar-SA"/>
        </w:rPr>
        <w:t>sloped terrain</w:t>
      </w:r>
      <w:r>
        <w:rPr>
          <w:lang w:bidi="ar-SA"/>
        </w:rPr>
        <w:t>. In analyses of</w:t>
      </w:r>
      <w:r w:rsidRPr="004D7D86">
        <w:rPr>
          <w:lang w:bidi="ar-SA"/>
        </w:rPr>
        <w:t xml:space="preserve"> irrigation water systems associated with </w:t>
      </w:r>
      <w:r>
        <w:rPr>
          <w:lang w:bidi="ar-SA"/>
        </w:rPr>
        <w:t xml:space="preserve">the </w:t>
      </w:r>
      <w:r w:rsidRPr="004D7D86">
        <w:rPr>
          <w:lang w:bidi="ar-SA"/>
        </w:rPr>
        <w:t>2006</w:t>
      </w:r>
      <w:r>
        <w:rPr>
          <w:lang w:bidi="ar-SA"/>
        </w:rPr>
        <w:t xml:space="preserve"> </w:t>
      </w:r>
      <w:r w:rsidRPr="009308C1">
        <w:rPr>
          <w:i/>
          <w:lang w:bidi="ar-SA"/>
        </w:rPr>
        <w:t>E. coli</w:t>
      </w:r>
      <w:r w:rsidRPr="004D7D86">
        <w:rPr>
          <w:lang w:bidi="ar-SA"/>
        </w:rPr>
        <w:t xml:space="preserve"> O157:H7 outbreaks </w:t>
      </w:r>
      <w:r>
        <w:rPr>
          <w:lang w:bidi="ar-SA"/>
        </w:rPr>
        <w:t>associated with</w:t>
      </w:r>
      <w:r w:rsidRPr="004D7D86">
        <w:rPr>
          <w:lang w:bidi="ar-SA"/>
        </w:rPr>
        <w:t xml:space="preserve"> Californian lettuce and spinach</w:t>
      </w:r>
      <w:r>
        <w:rPr>
          <w:lang w:bidi="ar-SA"/>
        </w:rPr>
        <w:t xml:space="preserve">, Gelting and colleagues </w:t>
      </w:r>
      <w:r w:rsidR="00657FDB">
        <w:rPr>
          <w:lang w:bidi="ar-SA"/>
        </w:rPr>
        <w:t>(2011; 2015)</w:t>
      </w:r>
      <w:r>
        <w:rPr>
          <w:lang w:bidi="ar-SA"/>
        </w:rPr>
        <w:t xml:space="preserve"> considered potential routes of contamination and cross-contamination between </w:t>
      </w:r>
      <w:r w:rsidRPr="000B0C1F">
        <w:rPr>
          <w:lang w:bidi="ar-SA"/>
        </w:rPr>
        <w:t>sources of water for irrigation</w:t>
      </w:r>
      <w:r>
        <w:rPr>
          <w:lang w:bidi="ar-SA"/>
        </w:rPr>
        <w:t>. They assessed interactions between groundwater and surface waters in the context of watershed topology, land use patterns and farm water management and irrigation practices. They noted that the typical siting of crops on flatter valley floors, with cattle and other pastures on surrounding hillsides, increased the potential for contaminated runoffs, especially during heavy rainfall events. They concluded that</w:t>
      </w:r>
      <w:r w:rsidRPr="004D7D86">
        <w:rPr>
          <w:lang w:bidi="ar-SA"/>
        </w:rPr>
        <w:t xml:space="preserve"> a systematic analysis of water sources, extending to sources beyond the farm gate, was necessary to limit the potential for contamination of irrigation water sources in situations where other land uses (</w:t>
      </w:r>
      <w:r w:rsidRPr="009D5A9D">
        <w:rPr>
          <w:lang w:bidi="ar-SA"/>
        </w:rPr>
        <w:t>e.g.</w:t>
      </w:r>
      <w:r>
        <w:rPr>
          <w:lang w:bidi="ar-SA"/>
        </w:rPr>
        <w:t xml:space="preserve"> </w:t>
      </w:r>
      <w:r w:rsidRPr="004D7D86">
        <w:rPr>
          <w:lang w:bidi="ar-SA"/>
        </w:rPr>
        <w:t>cattle grazing, dairy farms) competed with crop production for resources.</w:t>
      </w:r>
    </w:p>
    <w:p w14:paraId="3BD96E32" w14:textId="77777777" w:rsidR="004B2589" w:rsidRDefault="004B2589" w:rsidP="004B2589">
      <w:pPr>
        <w:rPr>
          <w:lang w:bidi="ar-SA"/>
        </w:rPr>
      </w:pPr>
    </w:p>
    <w:p w14:paraId="1F653F05" w14:textId="7457961A" w:rsidR="004B2589" w:rsidRDefault="004B2589" w:rsidP="004B2589">
      <w:pPr>
        <w:rPr>
          <w:lang w:bidi="ar-SA"/>
        </w:rPr>
      </w:pPr>
      <w:r>
        <w:rPr>
          <w:lang w:bidi="ar-SA"/>
        </w:rPr>
        <w:t xml:space="preserve">Studies on the effects of seasonal and climatic conditions on pathogen prevalence, survival and growth on leafy vegetables demonstrate complex interactions between interdependent factors such as temperature, humidity and rainfall. For example, under conditions of </w:t>
      </w:r>
      <w:r>
        <w:rPr>
          <w:lang w:val="en"/>
        </w:rPr>
        <w:t xml:space="preserve">minimum and maximum </w:t>
      </w:r>
      <w:r>
        <w:rPr>
          <w:lang w:bidi="ar-SA"/>
        </w:rPr>
        <w:t xml:space="preserve">temperatures and daylight period typical for winter (June) in Salinas Valley, California, </w:t>
      </w:r>
      <w:r w:rsidR="00657FDB">
        <w:rPr>
          <w:lang w:bidi="ar-SA"/>
        </w:rPr>
        <w:t>Tyagi et al.</w:t>
      </w:r>
      <w:r>
        <w:rPr>
          <w:lang w:bidi="ar-SA"/>
        </w:rPr>
        <w:t xml:space="preserve"> </w:t>
      </w:r>
      <w:r w:rsidR="00657FDB">
        <w:rPr>
          <w:lang w:bidi="ar-SA"/>
        </w:rPr>
        <w:t>(2019)</w:t>
      </w:r>
      <w:r>
        <w:rPr>
          <w:lang w:bidi="ar-SA"/>
        </w:rPr>
        <w:t xml:space="preserve"> showed that survival of </w:t>
      </w:r>
      <w:r w:rsidRPr="00374437">
        <w:rPr>
          <w:lang w:bidi="ar-SA"/>
        </w:rPr>
        <w:t>enteroh</w:t>
      </w:r>
      <w:r>
        <w:rPr>
          <w:lang w:bidi="ar-SA"/>
        </w:rPr>
        <w:t>a</w:t>
      </w:r>
      <w:r w:rsidRPr="00374437">
        <w:rPr>
          <w:lang w:bidi="ar-SA"/>
        </w:rPr>
        <w:t xml:space="preserve">emorrhagic </w:t>
      </w:r>
      <w:r w:rsidRPr="00374437">
        <w:rPr>
          <w:i/>
          <w:lang w:bidi="ar-SA"/>
        </w:rPr>
        <w:t>E</w:t>
      </w:r>
      <w:r>
        <w:rPr>
          <w:i/>
          <w:lang w:bidi="ar-SA"/>
        </w:rPr>
        <w:t>. </w:t>
      </w:r>
      <w:r w:rsidRPr="00374437">
        <w:rPr>
          <w:i/>
          <w:lang w:bidi="ar-SA"/>
        </w:rPr>
        <w:t>coli</w:t>
      </w:r>
      <w:r w:rsidRPr="00374437">
        <w:rPr>
          <w:lang w:bidi="ar-SA"/>
        </w:rPr>
        <w:t xml:space="preserve"> (EHEC) strains</w:t>
      </w:r>
      <w:r>
        <w:rPr>
          <w:lang w:bidi="ar-SA"/>
        </w:rPr>
        <w:t xml:space="preserve"> (serotypes</w:t>
      </w:r>
      <w:r w:rsidRPr="00374437">
        <w:rPr>
          <w:lang w:bidi="ar-SA"/>
        </w:rPr>
        <w:t xml:space="preserve"> O157 and O26</w:t>
      </w:r>
      <w:r>
        <w:rPr>
          <w:lang w:bidi="ar-SA"/>
        </w:rPr>
        <w:t xml:space="preserve">) inoculated onto greenhouse lettuce is higher at 45% relative humidity (RH) than at 75% RH. However EHEC survival was not related to RH under </w:t>
      </w:r>
      <w:r w:rsidRPr="00571D3C">
        <w:rPr>
          <w:lang w:bidi="ar-SA"/>
        </w:rPr>
        <w:t xml:space="preserve">temperature and photoperiod </w:t>
      </w:r>
      <w:r>
        <w:rPr>
          <w:lang w:bidi="ar-SA"/>
        </w:rPr>
        <w:t xml:space="preserve">conditions typical of early autumn (March). The authors linked differences in survival to </w:t>
      </w:r>
      <w:r w:rsidRPr="00052DAC">
        <w:rPr>
          <w:lang w:bidi="ar-SA"/>
        </w:rPr>
        <w:t>UV exposure</w:t>
      </w:r>
      <w:r>
        <w:rPr>
          <w:lang w:bidi="ar-SA"/>
        </w:rPr>
        <w:t xml:space="preserve"> and</w:t>
      </w:r>
      <w:r w:rsidRPr="00052DAC">
        <w:rPr>
          <w:lang w:bidi="ar-SA"/>
        </w:rPr>
        <w:t xml:space="preserve"> </w:t>
      </w:r>
      <w:r>
        <w:rPr>
          <w:lang w:bidi="ar-SA"/>
        </w:rPr>
        <w:t>gene regulatory responses affecting transcription</w:t>
      </w:r>
      <w:r w:rsidRPr="00571D3C">
        <w:rPr>
          <w:lang w:bidi="ar-SA"/>
        </w:rPr>
        <w:t xml:space="preserve"> of osmotic and oxidative stress response</w:t>
      </w:r>
      <w:r>
        <w:rPr>
          <w:lang w:bidi="ar-SA"/>
        </w:rPr>
        <w:t xml:space="preserve"> and virulence</w:t>
      </w:r>
      <w:r w:rsidRPr="00571D3C">
        <w:rPr>
          <w:lang w:bidi="ar-SA"/>
        </w:rPr>
        <w:t xml:space="preserve"> genes</w:t>
      </w:r>
      <w:r w:rsidRPr="00795C5F">
        <w:rPr>
          <w:lang w:bidi="ar-SA"/>
        </w:rPr>
        <w:t xml:space="preserve">. </w:t>
      </w:r>
      <w:r w:rsidR="00657FDB">
        <w:rPr>
          <w:lang w:bidi="ar-SA"/>
        </w:rPr>
        <w:t>Liu et al.</w:t>
      </w:r>
      <w:r>
        <w:rPr>
          <w:lang w:bidi="ar-SA"/>
        </w:rPr>
        <w:t xml:space="preserve"> </w:t>
      </w:r>
      <w:r w:rsidR="00657FDB">
        <w:rPr>
          <w:lang w:bidi="ar-SA"/>
        </w:rPr>
        <w:t>(2016)</w:t>
      </w:r>
      <w:r w:rsidRPr="00795C5F">
        <w:rPr>
          <w:lang w:bidi="ar-SA"/>
        </w:rPr>
        <w:t xml:space="preserve"> found that temperature was an important variable affecting presence and levels of generic </w:t>
      </w:r>
      <w:r w:rsidRPr="00711F59">
        <w:rPr>
          <w:i/>
          <w:lang w:bidi="ar-SA"/>
        </w:rPr>
        <w:t>E. coli</w:t>
      </w:r>
      <w:r w:rsidRPr="00795C5F">
        <w:rPr>
          <w:lang w:bidi="ar-SA"/>
        </w:rPr>
        <w:t xml:space="preserve"> on leafy vegetables</w:t>
      </w:r>
      <w:r>
        <w:rPr>
          <w:lang w:bidi="ar-SA"/>
        </w:rPr>
        <w:t xml:space="preserve"> (lettuce and spinach)</w:t>
      </w:r>
      <w:r w:rsidRPr="00795C5F">
        <w:rPr>
          <w:lang w:bidi="ar-SA"/>
        </w:rPr>
        <w:t xml:space="preserve">, modelling data from 562 samples of lettuce and spinach collected in 2011–2013 from 23 open-field farms in Belgium, Brazil, Egypt, Norway, and Spain. Amongst other significant farm management variables, the minimum temperature of the sampling day affected the likelihood of </w:t>
      </w:r>
      <w:r>
        <w:rPr>
          <w:i/>
          <w:lang w:bidi="ar-SA"/>
        </w:rPr>
        <w:t>E.</w:t>
      </w:r>
      <w:r w:rsidRPr="00711F59">
        <w:rPr>
          <w:i/>
          <w:lang w:bidi="ar-SA"/>
        </w:rPr>
        <w:t xml:space="preserve"> coli</w:t>
      </w:r>
      <w:r>
        <w:rPr>
          <w:i/>
          <w:lang w:bidi="ar-SA"/>
        </w:rPr>
        <w:t xml:space="preserve"> </w:t>
      </w:r>
      <w:r w:rsidRPr="00795C5F">
        <w:rPr>
          <w:lang w:bidi="ar-SA"/>
        </w:rPr>
        <w:t>contamination</w:t>
      </w:r>
      <w:r>
        <w:rPr>
          <w:lang w:bidi="ar-SA"/>
        </w:rPr>
        <w:t xml:space="preserve"> of leafy vegetables</w:t>
      </w:r>
      <w:r w:rsidRPr="00795C5F">
        <w:rPr>
          <w:lang w:bidi="ar-SA"/>
        </w:rPr>
        <w:t xml:space="preserve">, while the maximum temperature during the 3 days before sampling affected levels of </w:t>
      </w:r>
      <w:r w:rsidRPr="00711F59">
        <w:rPr>
          <w:i/>
          <w:lang w:bidi="ar-SA"/>
        </w:rPr>
        <w:t>E. coli</w:t>
      </w:r>
      <w:r w:rsidRPr="00795C5F">
        <w:rPr>
          <w:lang w:bidi="ar-SA"/>
        </w:rPr>
        <w:t xml:space="preserve"> found on the leafy vegetables.</w:t>
      </w:r>
    </w:p>
    <w:p w14:paraId="57B1CE86" w14:textId="1832ED7A" w:rsidR="004B2589" w:rsidRDefault="004B2589" w:rsidP="004B2589">
      <w:pPr>
        <w:rPr>
          <w:lang w:bidi="ar-SA"/>
        </w:rPr>
      </w:pPr>
      <w:r>
        <w:rPr>
          <w:lang w:bidi="ar-SA"/>
        </w:rPr>
        <w:t xml:space="preserve">Applying </w:t>
      </w:r>
      <w:r w:rsidRPr="00165742">
        <w:rPr>
          <w:lang w:bidi="ar-SA"/>
        </w:rPr>
        <w:t>a quantitative microbial contamination model</w:t>
      </w:r>
      <w:r>
        <w:rPr>
          <w:lang w:bidi="ar-SA"/>
        </w:rPr>
        <w:t xml:space="preserve">, Allende et al. </w:t>
      </w:r>
      <w:r w:rsidR="00657FDB">
        <w:rPr>
          <w:lang w:bidi="ar-SA"/>
        </w:rPr>
        <w:t>(2017)</w:t>
      </w:r>
      <w:r w:rsidRPr="00FD7217">
        <w:t xml:space="preserve"> </w:t>
      </w:r>
      <w:r>
        <w:rPr>
          <w:lang w:bidi="ar-SA"/>
        </w:rPr>
        <w:t xml:space="preserve">assessed </w:t>
      </w:r>
      <w:r w:rsidRPr="00165742">
        <w:rPr>
          <w:lang w:bidi="ar-SA"/>
        </w:rPr>
        <w:t>the impact of weather conditions (</w:t>
      </w:r>
      <w:r w:rsidRPr="009D5A9D">
        <w:rPr>
          <w:lang w:bidi="ar-SA"/>
        </w:rPr>
        <w:t>e.g.</w:t>
      </w:r>
      <w:r w:rsidRPr="00165742">
        <w:rPr>
          <w:lang w:bidi="ar-SA"/>
        </w:rPr>
        <w:t xml:space="preserve"> seasonality</w:t>
      </w:r>
      <w:r>
        <w:rPr>
          <w:lang w:bidi="ar-SA"/>
        </w:rPr>
        <w:t>, solar radiation and rainfall) and other factors on</w:t>
      </w:r>
      <w:r>
        <w:t xml:space="preserve"> </w:t>
      </w:r>
      <w:r w:rsidRPr="00FD7217">
        <w:rPr>
          <w:i/>
          <w:lang w:bidi="ar-SA"/>
        </w:rPr>
        <w:t xml:space="preserve">E. coli </w:t>
      </w:r>
      <w:r>
        <w:rPr>
          <w:lang w:bidi="ar-SA"/>
        </w:rPr>
        <w:t>contamination of</w:t>
      </w:r>
      <w:r w:rsidRPr="00FD7217">
        <w:rPr>
          <w:lang w:bidi="ar-SA"/>
        </w:rPr>
        <w:t xml:space="preserve"> open-field grown baby spinach</w:t>
      </w:r>
      <w:r>
        <w:rPr>
          <w:lang w:bidi="ar-SA"/>
        </w:rPr>
        <w:t xml:space="preserve"> at harvest in Spain. The model indicated that contamination levels were significantly affected by </w:t>
      </w:r>
      <w:r w:rsidRPr="00A476AC">
        <w:rPr>
          <w:lang w:bidi="ar-SA"/>
        </w:rPr>
        <w:t>solar radiation</w:t>
      </w:r>
      <w:r>
        <w:rPr>
          <w:lang w:bidi="ar-SA"/>
        </w:rPr>
        <w:t xml:space="preserve"> intensity and rainfall—mostly due to soil splashing </w:t>
      </w:r>
      <w:r w:rsidR="00657FDB">
        <w:rPr>
          <w:lang w:bidi="ar-SA"/>
        </w:rPr>
        <w:t>(Monaghan and Hutchison 2012)</w:t>
      </w:r>
      <w:r>
        <w:rPr>
          <w:lang w:bidi="ar-SA"/>
        </w:rPr>
        <w:t xml:space="preserve">—and predicted higher </w:t>
      </w:r>
      <w:r w:rsidRPr="00FD7217">
        <w:rPr>
          <w:i/>
          <w:lang w:bidi="ar-SA"/>
        </w:rPr>
        <w:t>E. coli</w:t>
      </w:r>
      <w:r w:rsidRPr="00A476AC">
        <w:rPr>
          <w:lang w:bidi="ar-SA"/>
        </w:rPr>
        <w:t xml:space="preserve"> prevalence and levels</w:t>
      </w:r>
      <w:r>
        <w:rPr>
          <w:lang w:bidi="ar-SA"/>
        </w:rPr>
        <w:t xml:space="preserve"> in winter than in spring. These findings are supported by the </w:t>
      </w:r>
      <w:r w:rsidRPr="005C08C7">
        <w:rPr>
          <w:lang w:bidi="ar-SA"/>
        </w:rPr>
        <w:t>logistic regression model</w:t>
      </w:r>
      <w:r>
        <w:rPr>
          <w:lang w:bidi="ar-SA"/>
        </w:rPr>
        <w:t xml:space="preserve">ling of </w:t>
      </w:r>
      <w:r w:rsidR="00657FDB">
        <w:rPr>
          <w:lang w:bidi="ar-SA"/>
        </w:rPr>
        <w:t>Park et al.</w:t>
      </w:r>
      <w:r>
        <w:rPr>
          <w:lang w:bidi="ar-SA"/>
        </w:rPr>
        <w:t xml:space="preserve"> </w:t>
      </w:r>
      <w:r w:rsidR="00657FDB">
        <w:rPr>
          <w:lang w:bidi="ar-SA"/>
        </w:rPr>
        <w:t>(2014)</w:t>
      </w:r>
      <w:r>
        <w:rPr>
          <w:lang w:bidi="ar-SA"/>
        </w:rPr>
        <w:t xml:space="preserve">, who looked at the effect of </w:t>
      </w:r>
      <w:r w:rsidRPr="0052582D">
        <w:rPr>
          <w:lang w:bidi="ar-SA"/>
        </w:rPr>
        <w:t>local weather</w:t>
      </w:r>
      <w:r>
        <w:rPr>
          <w:lang w:bidi="ar-SA"/>
        </w:rPr>
        <w:t xml:space="preserve"> variables</w:t>
      </w:r>
      <w:r w:rsidRPr="0052582D">
        <w:rPr>
          <w:lang w:bidi="ar-SA"/>
        </w:rPr>
        <w:t xml:space="preserve"> (ambient temperature, pre</w:t>
      </w:r>
      <w:r>
        <w:rPr>
          <w:lang w:bidi="ar-SA"/>
        </w:rPr>
        <w:t xml:space="preserve">cipitation, and wind speed) and other factors on generic </w:t>
      </w:r>
      <w:r w:rsidRPr="005C08C7">
        <w:rPr>
          <w:i/>
          <w:lang w:bidi="ar-SA"/>
        </w:rPr>
        <w:t>E. coli</w:t>
      </w:r>
      <w:r>
        <w:rPr>
          <w:lang w:bidi="ar-SA"/>
        </w:rPr>
        <w:t xml:space="preserve"> on spinach in western and south-western United States. T</w:t>
      </w:r>
      <w:r w:rsidRPr="0052582D">
        <w:rPr>
          <w:lang w:bidi="ar-SA"/>
        </w:rPr>
        <w:t xml:space="preserve">he </w:t>
      </w:r>
      <w:r w:rsidRPr="005C08C7">
        <w:rPr>
          <w:lang w:bidi="ar-SA"/>
        </w:rPr>
        <w:t>model identified precipitation</w:t>
      </w:r>
      <w:r>
        <w:rPr>
          <w:lang w:bidi="ar-SA"/>
        </w:rPr>
        <w:t xml:space="preserve"> as the best single</w:t>
      </w:r>
      <w:r w:rsidRPr="0052582D">
        <w:rPr>
          <w:lang w:bidi="ar-SA"/>
        </w:rPr>
        <w:t xml:space="preserve"> predictor of spinach contamination</w:t>
      </w:r>
      <w:r>
        <w:rPr>
          <w:lang w:bidi="ar-SA"/>
        </w:rPr>
        <w:t>,</w:t>
      </w:r>
      <w:r w:rsidRPr="0052582D">
        <w:rPr>
          <w:lang w:bidi="ar-SA"/>
        </w:rPr>
        <w:t xml:space="preserve"> with probabi</w:t>
      </w:r>
      <w:r>
        <w:rPr>
          <w:lang w:bidi="ar-SA"/>
        </w:rPr>
        <w:t>lity increasing</w:t>
      </w:r>
      <w:r w:rsidRPr="0052582D">
        <w:rPr>
          <w:lang w:bidi="ar-SA"/>
        </w:rPr>
        <w:t xml:space="preserve"> with </w:t>
      </w:r>
      <w:r w:rsidRPr="00B13CFE">
        <w:rPr>
          <w:lang w:bidi="ar-SA"/>
        </w:rPr>
        <w:t xml:space="preserve">every mm increase in the mean </w:t>
      </w:r>
      <w:r w:rsidRPr="0052582D">
        <w:rPr>
          <w:lang w:bidi="ar-SA"/>
        </w:rPr>
        <w:t xml:space="preserve">amount of rain in the </w:t>
      </w:r>
      <w:r>
        <w:rPr>
          <w:lang w:bidi="ar-SA"/>
        </w:rPr>
        <w:t xml:space="preserve">previous </w:t>
      </w:r>
      <w:r w:rsidRPr="0052582D">
        <w:rPr>
          <w:lang w:bidi="ar-SA"/>
        </w:rPr>
        <w:t>2</w:t>
      </w:r>
      <w:r>
        <w:rPr>
          <w:lang w:bidi="ar-SA"/>
        </w:rPr>
        <w:t xml:space="preserve">9 days (OR = 3.5, 95% CI 1.7–7.3). In contrast, </w:t>
      </w:r>
      <w:r w:rsidR="00657FDB">
        <w:rPr>
          <w:lang w:bidi="ar-SA"/>
        </w:rPr>
        <w:t>Weller et al.</w:t>
      </w:r>
      <w:r>
        <w:rPr>
          <w:lang w:bidi="ar-SA"/>
        </w:rPr>
        <w:t xml:space="preserve"> </w:t>
      </w:r>
      <w:r w:rsidR="00657FDB">
        <w:rPr>
          <w:lang w:bidi="ar-SA"/>
        </w:rPr>
        <w:t>(2015)</w:t>
      </w:r>
      <w:r>
        <w:rPr>
          <w:lang w:bidi="ar-SA"/>
        </w:rPr>
        <w:t xml:space="preserve"> observed significantly higher likelihood of contamination of spinach with </w:t>
      </w:r>
      <w:r w:rsidRPr="00020DDA">
        <w:rPr>
          <w:i/>
          <w:lang w:bidi="ar-SA"/>
        </w:rPr>
        <w:t xml:space="preserve">Listeria </w:t>
      </w:r>
      <w:r>
        <w:rPr>
          <w:lang w:bidi="ar-SA"/>
        </w:rPr>
        <w:t>spp.</w:t>
      </w:r>
      <w:r w:rsidRPr="00020DDA">
        <w:rPr>
          <w:lang w:bidi="ar-SA"/>
        </w:rPr>
        <w:t xml:space="preserve"> (including </w:t>
      </w:r>
      <w:r w:rsidRPr="00020DDA">
        <w:rPr>
          <w:i/>
          <w:lang w:bidi="ar-SA"/>
        </w:rPr>
        <w:t>L.</w:t>
      </w:r>
      <w:r>
        <w:rPr>
          <w:i/>
          <w:lang w:bidi="ar-SA"/>
        </w:rPr>
        <w:t> </w:t>
      </w:r>
      <w:r w:rsidRPr="00020DDA">
        <w:rPr>
          <w:i/>
          <w:lang w:bidi="ar-SA"/>
        </w:rPr>
        <w:t>monocytogenes</w:t>
      </w:r>
      <w:r w:rsidRPr="00020DDA">
        <w:rPr>
          <w:lang w:bidi="ar-SA"/>
        </w:rPr>
        <w:t>)</w:t>
      </w:r>
      <w:r>
        <w:rPr>
          <w:lang w:bidi="ar-SA"/>
        </w:rPr>
        <w:t xml:space="preserve"> 24 hours after rain, but not at longer time-points (out to 6-8 days after a rain event). It is unclear if this difference reflects differences in experimental approach or persistence of </w:t>
      </w:r>
      <w:r w:rsidRPr="00961CDB">
        <w:rPr>
          <w:i/>
          <w:lang w:bidi="ar-SA"/>
        </w:rPr>
        <w:t>E. coli</w:t>
      </w:r>
      <w:r>
        <w:rPr>
          <w:lang w:bidi="ar-SA"/>
        </w:rPr>
        <w:t xml:space="preserve"> and </w:t>
      </w:r>
      <w:r w:rsidRPr="00961CDB">
        <w:rPr>
          <w:i/>
          <w:lang w:bidi="ar-SA"/>
        </w:rPr>
        <w:t>Listeria</w:t>
      </w:r>
      <w:r>
        <w:rPr>
          <w:lang w:bidi="ar-SA"/>
        </w:rPr>
        <w:t xml:space="preserve"> spp. on spinach leaves.</w:t>
      </w:r>
    </w:p>
    <w:p w14:paraId="5B4CE111" w14:textId="77777777" w:rsidR="004B2589" w:rsidRDefault="004B2589" w:rsidP="004B2589">
      <w:pPr>
        <w:pStyle w:val="Heading4"/>
        <w:numPr>
          <w:ilvl w:val="3"/>
          <w:numId w:val="11"/>
        </w:numPr>
      </w:pPr>
      <w:r>
        <w:t>Berries</w:t>
      </w:r>
    </w:p>
    <w:p w14:paraId="2F6322B7" w14:textId="77777777" w:rsidR="004B2589" w:rsidRPr="00404A23" w:rsidRDefault="004B2589" w:rsidP="004B2589">
      <w:r w:rsidRPr="00404A23">
        <w:t>Studies on these risk factors specifically for the berry/hazard co</w:t>
      </w:r>
      <w:r>
        <w:t>mbinations were not identified.</w:t>
      </w:r>
    </w:p>
    <w:p w14:paraId="0937A2A5" w14:textId="77777777" w:rsidR="004B2589" w:rsidRPr="00404A23" w:rsidRDefault="004B2589" w:rsidP="004B2589">
      <w:pPr>
        <w:pStyle w:val="Heading4"/>
        <w:numPr>
          <w:ilvl w:val="3"/>
          <w:numId w:val="11"/>
        </w:numPr>
      </w:pPr>
      <w:r w:rsidRPr="00404A23">
        <w:t>Melons</w:t>
      </w:r>
    </w:p>
    <w:p w14:paraId="36675774" w14:textId="77777777" w:rsidR="004B2589" w:rsidRDefault="004B2589" w:rsidP="004B2589">
      <w:r w:rsidRPr="00404A23">
        <w:t>Studies on these risk factors specifically for the melon/hazard co</w:t>
      </w:r>
      <w:r>
        <w:t>mbinations were not identified.</w:t>
      </w:r>
    </w:p>
    <w:p w14:paraId="3592C9DE" w14:textId="77777777" w:rsidR="004B2589" w:rsidRPr="004422A2" w:rsidRDefault="004B2589" w:rsidP="00787E56">
      <w:pPr>
        <w:pStyle w:val="Heading3"/>
        <w:numPr>
          <w:ilvl w:val="2"/>
          <w:numId w:val="11"/>
        </w:numPr>
      </w:pPr>
      <w:bookmarkStart w:id="212" w:name="_Toc56693434"/>
      <w:bookmarkStart w:id="213" w:name="_Toc58327787"/>
      <w:bookmarkStart w:id="214" w:name="_Toc58333967"/>
      <w:bookmarkStart w:id="215" w:name="_Toc64448774"/>
      <w:bookmarkStart w:id="216" w:name="_Toc87860035"/>
      <w:r w:rsidRPr="004422A2">
        <w:t>Conclusions, uncertainty, and data gaps</w:t>
      </w:r>
      <w:bookmarkEnd w:id="212"/>
      <w:bookmarkEnd w:id="213"/>
      <w:bookmarkEnd w:id="214"/>
      <w:bookmarkEnd w:id="215"/>
      <w:bookmarkEnd w:id="216"/>
    </w:p>
    <w:p w14:paraId="5B57237C" w14:textId="77777777" w:rsidR="004B2589" w:rsidRPr="004422A2" w:rsidRDefault="004B2589" w:rsidP="004B2589">
      <w:pPr>
        <w:rPr>
          <w:b/>
          <w:lang w:eastAsia="en-AU" w:bidi="ar-SA"/>
        </w:rPr>
      </w:pPr>
      <w:r w:rsidRPr="003D66AB">
        <w:rPr>
          <w:i/>
          <w:lang w:eastAsia="en-AU" w:bidi="ar-SA"/>
        </w:rPr>
        <w:t>The risk factors associated with characteristics of the production site including prior and surrounding land use, topology, hydrology, and climate are likely to apply broadly to the commodity sectors, but may be better managed in some of the protected cropping systems.</w:t>
      </w:r>
      <w:r w:rsidRPr="004422A2">
        <w:rPr>
          <w:b/>
          <w:lang w:eastAsia="en-AU" w:bidi="ar-SA"/>
        </w:rPr>
        <w:t xml:space="preserve"> </w:t>
      </w:r>
      <w:r w:rsidRPr="004422A2">
        <w:rPr>
          <w:lang w:eastAsia="en-AU" w:bidi="ar-SA"/>
        </w:rPr>
        <w:t>There is a low level of uncertainty and high level of confidence in this conclusion based on the general evidence for these factors to be associated with bacterial contamination and the available evidence for leafy vegetables.</w:t>
      </w:r>
      <w:r w:rsidRPr="004422A2">
        <w:t xml:space="preserve"> </w:t>
      </w:r>
    </w:p>
    <w:p w14:paraId="38F94415" w14:textId="77777777" w:rsidR="004B2589" w:rsidRPr="004422A2" w:rsidRDefault="004B2589" w:rsidP="004B2589"/>
    <w:p w14:paraId="4DB5B305" w14:textId="77777777" w:rsidR="004B2589" w:rsidRPr="004422A2" w:rsidRDefault="004B2589" w:rsidP="004B2589">
      <w:pPr>
        <w:rPr>
          <w:lang w:eastAsia="en-AU"/>
        </w:rPr>
      </w:pPr>
      <w:r w:rsidRPr="003D66AB">
        <w:rPr>
          <w:i/>
          <w:lang w:eastAsia="en-AU"/>
        </w:rPr>
        <w:t>If leafy vegetable, berry or melon growing fields are located downstream or at lower elevations than industrialised or heavily populated areas or land used to farm livestock, this could lead to a higher likelihood of contamination of produce.</w:t>
      </w:r>
      <w:r w:rsidRPr="003D66AB">
        <w:rPr>
          <w:b/>
          <w:lang w:eastAsia="en-AU"/>
        </w:rPr>
        <w:t xml:space="preserve"> </w:t>
      </w:r>
      <w:r w:rsidRPr="004422A2">
        <w:rPr>
          <w:lang w:eastAsia="en-AU"/>
        </w:rPr>
        <w:t xml:space="preserve">However, while this has been demonstrated in evidence discussed above for spinach and lettuce, and provides a medium level of uncertainty for these commodities, no direct evidence describing the contribution of site location to contamination of parsley, berries or melons was identified. As such, although it is plausible that these factors also apply to berries and melons, there is a high level of uncertainty due to the lack of available data. There is also a lack of data regarding the contribution of climate, hydrology, topology or geographical features to microbial contamination of berries and melons and a lack of understanding how the likelihood of contamination may vary between them. </w:t>
      </w:r>
    </w:p>
    <w:p w14:paraId="4EA1950A" w14:textId="77777777" w:rsidR="004B2589" w:rsidRPr="004422A2" w:rsidRDefault="004B2589" w:rsidP="004B2589">
      <w:pPr>
        <w:rPr>
          <w:lang w:eastAsia="en-AU"/>
        </w:rPr>
      </w:pPr>
    </w:p>
    <w:p w14:paraId="27DF92C0" w14:textId="77777777" w:rsidR="004B2589" w:rsidRPr="004422A2" w:rsidRDefault="004B2589" w:rsidP="004B2589">
      <w:pPr>
        <w:rPr>
          <w:lang w:eastAsia="en-AU"/>
        </w:rPr>
      </w:pPr>
      <w:r w:rsidRPr="003D66AB">
        <w:rPr>
          <w:i/>
          <w:lang w:eastAsia="en-AU"/>
        </w:rPr>
        <w:t>If leafy vegetable, berry or melon fields are located near land used to farm livestock, this could lead to a higher likelihood of contamination of produce</w:t>
      </w:r>
      <w:r w:rsidRPr="003D66AB">
        <w:rPr>
          <w:b/>
          <w:lang w:eastAsia="en-AU"/>
        </w:rPr>
        <w:t>.</w:t>
      </w:r>
      <w:r w:rsidRPr="004422A2">
        <w:rPr>
          <w:lang w:eastAsia="en-AU"/>
        </w:rPr>
        <w:t xml:space="preserve"> However, whilst there is direct evidence in the literature for spinach, only circumstantial evidence is available to be considered for lettuce, parsley, berries and melons. As such, there is </w:t>
      </w:r>
      <w:r w:rsidRPr="004422A2">
        <w:t>high uncertainty as to what extent the likelihood of contamination may vary between commodities.</w:t>
      </w:r>
    </w:p>
    <w:p w14:paraId="470D9BBA" w14:textId="77777777" w:rsidR="004B2589" w:rsidRPr="00664A57" w:rsidRDefault="004B2589" w:rsidP="004B2589">
      <w:pPr>
        <w:rPr>
          <w:lang w:eastAsia="en-AU"/>
        </w:rPr>
      </w:pPr>
    </w:p>
    <w:p w14:paraId="701C0F73" w14:textId="5C075898" w:rsidR="004B2589" w:rsidRPr="0064726A" w:rsidRDefault="004B2589" w:rsidP="004B2589">
      <w:pPr>
        <w:rPr>
          <w:b/>
        </w:rPr>
      </w:pPr>
      <w:r w:rsidRPr="003D66AB">
        <w:rPr>
          <w:i/>
        </w:rPr>
        <w:t>It is generally accepted that there is a decrease in the risk associated with a contamination event due to environmental factors as the time before harvest is lengthened.</w:t>
      </w:r>
      <w:r w:rsidRPr="0064726A">
        <w:rPr>
          <w:b/>
        </w:rPr>
        <w:t xml:space="preserve"> </w:t>
      </w:r>
      <w:r w:rsidRPr="004422A2">
        <w:rPr>
          <w:lang w:eastAsia="en-AU"/>
        </w:rPr>
        <w:t>The effect of time, climate, and weather factors on the survival of pathogens has been described more broadly in the literature for soil and water, and to some extent specifically for leafy vegetables. However, the effects of these factors are reported to be variable depending on the pathogen studied, the factors studies (</w:t>
      </w:r>
      <w:r>
        <w:rPr>
          <w:lang w:eastAsia="en-AU"/>
        </w:rPr>
        <w:t>e.g.</w:t>
      </w:r>
      <w:r w:rsidRPr="004422A2">
        <w:rPr>
          <w:lang w:eastAsia="en-AU"/>
        </w:rPr>
        <w:t xml:space="preserve"> precipitation, solar radiation, wind speed etc.), the type of study undertaken, if the study is laboratory or field based, and the geographical location of the field study. There is a lack of studies considering the complex interaction between these environmental factors, specifically in the Australian context, and how they may influence the likelihood of contamination or influence the rate of decline of pathogens in the field following a contamination event. </w:t>
      </w:r>
      <w:r w:rsidRPr="004422A2">
        <w:t>Moreover, factors that may potentially lead to increased bacterial growth or declines in inactivation rates (</w:t>
      </w:r>
      <w:r w:rsidRPr="009D5A9D">
        <w:t>e.g.</w:t>
      </w:r>
      <w:r w:rsidRPr="004422A2">
        <w:t xml:space="preserve"> fluctuations in rainfall, relative humidity, temperatures, and UV) on produce in the field are poorly documented. Also, due to the lack of data for parsley, berries and melons, there is high uncertainty to what extent environmental factors influence contamination and persistence of pathogens on these different commodities.</w:t>
      </w:r>
    </w:p>
    <w:p w14:paraId="7F89A9A8" w14:textId="77777777" w:rsidR="004B2589" w:rsidRDefault="004B2589" w:rsidP="004B2589">
      <w:pPr>
        <w:rPr>
          <w:lang w:eastAsia="en-AU" w:bidi="ar-SA"/>
        </w:rPr>
      </w:pPr>
    </w:p>
    <w:p w14:paraId="0556EDE6" w14:textId="77777777" w:rsidR="00210021" w:rsidRDefault="00210021">
      <w:pPr>
        <w:widowControl/>
        <w:rPr>
          <w:lang w:eastAsia="en-AU" w:bidi="ar-SA"/>
        </w:rPr>
      </w:pPr>
      <w:r>
        <w:rPr>
          <w:lang w:eastAsia="en-AU" w:bidi="ar-SA"/>
        </w:rPr>
        <w:br w:type="page"/>
      </w:r>
    </w:p>
    <w:p w14:paraId="5F3E8E09" w14:textId="4B4DDE53" w:rsidR="004B2589" w:rsidRDefault="004B2589" w:rsidP="004B2589">
      <w:pPr>
        <w:rPr>
          <w:lang w:eastAsia="en-AU" w:bidi="ar-SA"/>
        </w:rPr>
      </w:pPr>
      <w:r w:rsidRPr="00664A57">
        <w:rPr>
          <w:lang w:eastAsia="en-AU" w:bidi="ar-SA"/>
        </w:rPr>
        <w:t xml:space="preserve">Previous expert scientific reports have </w:t>
      </w:r>
      <w:r>
        <w:rPr>
          <w:lang w:eastAsia="en-AU" w:bidi="ar-SA"/>
        </w:rPr>
        <w:t>also identified these</w:t>
      </w:r>
      <w:r w:rsidRPr="00664A57">
        <w:rPr>
          <w:lang w:eastAsia="en-AU" w:bidi="ar-SA"/>
        </w:rPr>
        <w:t xml:space="preserve"> as important risk factors for all in-scope commodities </w:t>
      </w:r>
      <w:r w:rsidR="00657FDB">
        <w:rPr>
          <w:lang w:eastAsia="en-AU" w:bidi="ar-SA"/>
        </w:rPr>
        <w:t>(EFSA Panel on Biological Hazards 2014a, 2014b, 2014c; FAO/WHO 2008b, 2011)</w:t>
      </w:r>
      <w:r>
        <w:rPr>
          <w:lang w:eastAsia="en-AU" w:bidi="ar-SA"/>
        </w:rPr>
        <w:t>.</w:t>
      </w:r>
    </w:p>
    <w:p w14:paraId="7DDBE0C8" w14:textId="77777777" w:rsidR="004B2589" w:rsidRDefault="004B2589" w:rsidP="00787E56">
      <w:pPr>
        <w:pStyle w:val="Heading3"/>
        <w:numPr>
          <w:ilvl w:val="2"/>
          <w:numId w:val="11"/>
        </w:numPr>
      </w:pPr>
      <w:bookmarkStart w:id="217" w:name="_Toc56693435"/>
      <w:bookmarkStart w:id="218" w:name="_Toc58327788"/>
      <w:bookmarkStart w:id="219" w:name="_Toc58333968"/>
      <w:bookmarkStart w:id="220" w:name="_Toc64448775"/>
      <w:bookmarkStart w:id="221" w:name="_Toc87860036"/>
      <w:r>
        <w:t>Mitigation measures</w:t>
      </w:r>
      <w:bookmarkEnd w:id="217"/>
      <w:bookmarkEnd w:id="218"/>
      <w:bookmarkEnd w:id="219"/>
      <w:bookmarkEnd w:id="220"/>
      <w:bookmarkEnd w:id="221"/>
    </w:p>
    <w:p w14:paraId="774B5FF9" w14:textId="40619181" w:rsidR="004B2589" w:rsidRDefault="004B2589" w:rsidP="00286019">
      <w:pPr>
        <w:spacing w:after="120"/>
      </w:pPr>
      <w:r>
        <w:rPr>
          <w:lang w:eastAsia="en-AU" w:bidi="ar-SA"/>
        </w:rPr>
        <w:t>The r</w:t>
      </w:r>
      <w:r w:rsidRPr="00550DD0">
        <w:rPr>
          <w:lang w:eastAsia="en-AU" w:bidi="ar-SA"/>
        </w:rPr>
        <w:t>ecommendations</w:t>
      </w:r>
      <w:r>
        <w:rPr>
          <w:lang w:eastAsia="en-AU" w:bidi="ar-SA"/>
        </w:rPr>
        <w:t xml:space="preserve"> regarding the risk factors</w:t>
      </w:r>
      <w:r w:rsidRPr="00550DD0">
        <w:rPr>
          <w:lang w:eastAsia="en-AU" w:bidi="ar-SA"/>
        </w:rPr>
        <w:t xml:space="preserve"> </w:t>
      </w:r>
      <w:r>
        <w:rPr>
          <w:lang w:eastAsia="en-AU" w:bidi="ar-SA"/>
        </w:rPr>
        <w:t>related to the c</w:t>
      </w:r>
      <w:r w:rsidRPr="00550DD0">
        <w:rPr>
          <w:lang w:eastAsia="en-AU" w:bidi="ar-SA"/>
        </w:rPr>
        <w:t>haracteristics of the production site including prior and surrounding land use, t</w:t>
      </w:r>
      <w:r>
        <w:rPr>
          <w:lang w:eastAsia="en-AU" w:bidi="ar-SA"/>
        </w:rPr>
        <w:t xml:space="preserve">opology, hydrology, and climate </w:t>
      </w:r>
      <w:r w:rsidRPr="00550DD0">
        <w:rPr>
          <w:lang w:eastAsia="en-AU" w:bidi="ar-SA"/>
        </w:rPr>
        <w:t>are similar across commodity sectors</w:t>
      </w:r>
      <w:r>
        <w:t xml:space="preserve"> </w:t>
      </w:r>
      <w:r w:rsidR="00657FDB">
        <w:t>(EFSA Panel on Biological Hazards 2014a, 2014b, 2014c; FAO/WHO 2008b; FPSC A-NZ 2019; IFPA et al. 2006; NSW DPI 2019; UC Davis 2020)</w:t>
      </w:r>
      <w:r>
        <w:t xml:space="preserve"> and include:</w:t>
      </w:r>
    </w:p>
    <w:p w14:paraId="24E2C90A" w14:textId="77777777" w:rsidR="004B2589" w:rsidRPr="00550DD0" w:rsidDel="00583206" w:rsidRDefault="004B2589" w:rsidP="004B2589">
      <w:pPr>
        <w:numPr>
          <w:ilvl w:val="0"/>
          <w:numId w:val="28"/>
        </w:numPr>
        <w:rPr>
          <w:lang w:eastAsia="en-AU" w:bidi="ar-SA"/>
        </w:rPr>
      </w:pPr>
      <w:r w:rsidRPr="00550DD0">
        <w:rPr>
          <w:lang w:eastAsia="en-AU" w:bidi="ar-SA"/>
        </w:rPr>
        <w:t>Environmental risk asses</w:t>
      </w:r>
      <w:r>
        <w:rPr>
          <w:lang w:eastAsia="en-AU" w:bidi="ar-SA"/>
        </w:rPr>
        <w:t>sments should be undertaken pre</w:t>
      </w:r>
      <w:r w:rsidRPr="00550DD0">
        <w:rPr>
          <w:lang w:eastAsia="en-AU" w:bidi="ar-SA"/>
        </w:rPr>
        <w:t>planting and within one week of harvest to assess on-site and surrounding off-site microbial, chemical or physical factors that may affect product safety in the field</w:t>
      </w:r>
    </w:p>
    <w:p w14:paraId="2B474ED0" w14:textId="77777777" w:rsidR="004B2589" w:rsidRPr="00550DD0" w:rsidRDefault="004B2589" w:rsidP="004B2589">
      <w:pPr>
        <w:numPr>
          <w:ilvl w:val="0"/>
          <w:numId w:val="28"/>
        </w:numPr>
        <w:rPr>
          <w:lang w:eastAsia="en-AU" w:bidi="ar-SA"/>
        </w:rPr>
      </w:pPr>
      <w:r w:rsidRPr="00550DD0">
        <w:rPr>
          <w:lang w:eastAsia="en-AU" w:bidi="ar-SA"/>
        </w:rPr>
        <w:t>Production practices should be tailored to identified risks in each unique production environment</w:t>
      </w:r>
    </w:p>
    <w:p w14:paraId="69A754A8" w14:textId="77777777" w:rsidR="004B2589" w:rsidRPr="00550DD0" w:rsidRDefault="004B2589" w:rsidP="004B2589">
      <w:pPr>
        <w:numPr>
          <w:ilvl w:val="0"/>
          <w:numId w:val="28"/>
        </w:numPr>
        <w:rPr>
          <w:lang w:eastAsia="en-AU" w:bidi="ar-SA"/>
        </w:rPr>
      </w:pPr>
      <w:r w:rsidRPr="00550DD0">
        <w:rPr>
          <w:lang w:eastAsia="en-AU" w:bidi="ar-SA"/>
        </w:rPr>
        <w:t>Primary production should not occur in areas where it is likely that the presence of pathogens may represent an unacceptable risk of contamination to fresh produce</w:t>
      </w:r>
    </w:p>
    <w:p w14:paraId="53679BBA" w14:textId="77777777" w:rsidR="004B2589" w:rsidRPr="00550DD0" w:rsidRDefault="004B2589" w:rsidP="004B2589">
      <w:pPr>
        <w:numPr>
          <w:ilvl w:val="0"/>
          <w:numId w:val="28"/>
        </w:numPr>
        <w:rPr>
          <w:lang w:eastAsia="en-AU" w:bidi="ar-SA"/>
        </w:rPr>
      </w:pPr>
      <w:r w:rsidRPr="00550DD0">
        <w:rPr>
          <w:lang w:eastAsia="en-AU" w:bidi="ar-SA"/>
        </w:rPr>
        <w:t>If potential hazards are identified appropriate interventions such as buffer areas, ditches, physical barriers</w:t>
      </w:r>
      <w:r>
        <w:rPr>
          <w:lang w:eastAsia="en-AU" w:bidi="ar-SA"/>
        </w:rPr>
        <w:t>, and co-management strategies</w:t>
      </w:r>
      <w:r w:rsidRPr="00550DD0">
        <w:rPr>
          <w:lang w:eastAsia="en-AU" w:bidi="ar-SA"/>
        </w:rPr>
        <w:t xml:space="preserve"> can be used to minimise the likelihood of transfer of microbial contaminates to crops.</w:t>
      </w:r>
    </w:p>
    <w:p w14:paraId="164E6FFD" w14:textId="77777777" w:rsidR="00D11B9D" w:rsidRDefault="00D11B9D" w:rsidP="004B2589">
      <w:pPr>
        <w:rPr>
          <w:lang w:eastAsia="en-AU" w:bidi="ar-SA"/>
        </w:rPr>
      </w:pPr>
    </w:p>
    <w:p w14:paraId="26EB4A5D" w14:textId="77777777" w:rsidR="004B2589" w:rsidRPr="00AE5FD7" w:rsidRDefault="004B2589" w:rsidP="004B2589">
      <w:pPr>
        <w:pStyle w:val="Heading2"/>
        <w:numPr>
          <w:ilvl w:val="1"/>
          <w:numId w:val="11"/>
        </w:numPr>
      </w:pPr>
      <w:bookmarkStart w:id="222" w:name="_Toc56693436"/>
      <w:bookmarkStart w:id="223" w:name="_Toc58327789"/>
      <w:bookmarkStart w:id="224" w:name="_Toc58333969"/>
      <w:bookmarkStart w:id="225" w:name="_Toc64448776"/>
      <w:bookmarkStart w:id="226" w:name="_Toc87860037"/>
      <w:r>
        <w:t>Extreme weather events</w:t>
      </w:r>
      <w:bookmarkEnd w:id="222"/>
      <w:bookmarkEnd w:id="223"/>
      <w:bookmarkEnd w:id="224"/>
      <w:bookmarkEnd w:id="225"/>
      <w:bookmarkEnd w:id="226"/>
    </w:p>
    <w:p w14:paraId="2B90A794" w14:textId="6C7C480D" w:rsidR="004B2589" w:rsidRPr="00404A23" w:rsidRDefault="004B2589" w:rsidP="004B2589">
      <w:pPr>
        <w:rPr>
          <w:lang w:eastAsia="en-AU" w:bidi="ar-SA"/>
        </w:rPr>
      </w:pPr>
      <w:r w:rsidRPr="00404A23">
        <w:rPr>
          <w:lang w:eastAsia="en-AU" w:bidi="ar-SA"/>
        </w:rPr>
        <w:t>Extreme weather events are considered to include unexpected, unusual, severe, or unseasonal weather. Extreme weather events include</w:t>
      </w:r>
      <w:r>
        <w:rPr>
          <w:lang w:eastAsia="en-AU" w:bidi="ar-SA"/>
        </w:rPr>
        <w:t xml:space="preserve">: </w:t>
      </w:r>
      <w:r w:rsidRPr="00404A23">
        <w:rPr>
          <w:lang w:eastAsia="en-AU" w:bidi="ar-SA"/>
        </w:rPr>
        <w:t xml:space="preserve">dry periods and wind that cause large dust storms that disperse microorganisms; drought that can lead to ground compaction and decreased plant health leaving produce more susceptible to contamination; heavy rain or flooding that may submerge and contaminate crops; or severe frost, hail, or wind that can damage produce. Heavy rainfall or flooding can transfer pathogens from faecal waste, rooting vegetation, contaminated surround sites, soil, or waterbodies via splashing onto the crop, runoff or immersion of crops. Increased organic load from weather events in the form of soil or increased amounts of damaged produce entering washing systems can also inhibit the efficacy of some sanitisers </w:t>
      </w:r>
      <w:r w:rsidR="00657FDB">
        <w:rPr>
          <w:lang w:eastAsia="en-AU" w:bidi="ar-SA"/>
        </w:rPr>
        <w:t>(EFSA Panel on Biological Hazards 2014b; FAO/WHO 2008b; FDA 2011)</w:t>
      </w:r>
      <w:r w:rsidRPr="00404A23">
        <w:rPr>
          <w:lang w:eastAsia="en-AU" w:bidi="ar-SA"/>
        </w:rPr>
        <w:t xml:space="preserve">. </w:t>
      </w:r>
    </w:p>
    <w:p w14:paraId="6779B1C7" w14:textId="77777777" w:rsidR="004B2589" w:rsidRPr="00746745" w:rsidRDefault="004B2589" w:rsidP="00787E56">
      <w:pPr>
        <w:pStyle w:val="Heading3"/>
        <w:numPr>
          <w:ilvl w:val="2"/>
          <w:numId w:val="11"/>
        </w:numPr>
      </w:pPr>
      <w:bookmarkStart w:id="227" w:name="_Toc56693437"/>
      <w:bookmarkStart w:id="228" w:name="_Toc58327790"/>
      <w:bookmarkStart w:id="229" w:name="_Toc58333970"/>
      <w:bookmarkStart w:id="230" w:name="_Toc64448777"/>
      <w:bookmarkStart w:id="231" w:name="_Toc87860038"/>
      <w:r w:rsidRPr="00FF65A2">
        <w:t>Available data</w:t>
      </w:r>
      <w:bookmarkEnd w:id="227"/>
      <w:bookmarkEnd w:id="228"/>
      <w:bookmarkEnd w:id="229"/>
      <w:bookmarkEnd w:id="230"/>
      <w:bookmarkEnd w:id="231"/>
      <w:r w:rsidRPr="00FF65A2">
        <w:t xml:space="preserve"> </w:t>
      </w:r>
    </w:p>
    <w:p w14:paraId="42A61767" w14:textId="1A7F0536" w:rsidR="004B2589" w:rsidRDefault="004B2589" w:rsidP="004B2589">
      <w:pPr>
        <w:rPr>
          <w:lang w:eastAsia="en-AU" w:bidi="ar-SA"/>
        </w:rPr>
      </w:pPr>
      <w:r>
        <w:rPr>
          <w:lang w:eastAsia="en-AU" w:bidi="ar-SA"/>
        </w:rPr>
        <w:t xml:space="preserve">Flooding is one of the most common natural disasters internationally and is associated with increases of waterborne disease outbreaks </w:t>
      </w:r>
      <w:r w:rsidR="00657FDB">
        <w:rPr>
          <w:lang w:eastAsia="en-AU" w:bidi="ar-SA"/>
        </w:rPr>
        <w:t>(Boxall et al. 2009; Paterson et al. 2018)</w:t>
      </w:r>
      <w:r>
        <w:rPr>
          <w:lang w:eastAsia="en-AU" w:bidi="ar-SA"/>
        </w:rPr>
        <w:t xml:space="preserve">. The microbial contamination of agricultural soils is shown to increase after flooding </w:t>
      </w:r>
      <w:r w:rsidR="00657FDB">
        <w:rPr>
          <w:lang w:eastAsia="en-AU" w:bidi="ar-SA"/>
        </w:rPr>
        <w:t>(Casteel et al. 2006; Castro-Ibáñez et al. 2015)</w:t>
      </w:r>
      <w:r>
        <w:rPr>
          <w:lang w:eastAsia="en-AU" w:bidi="ar-SA"/>
        </w:rPr>
        <w:t xml:space="preserve">, and contamination from surrounding sites after heavy rain or flooding can also increase microbial contamination of produce and inputs such as irrigation water </w:t>
      </w:r>
      <w:r w:rsidR="00657FDB">
        <w:rPr>
          <w:lang w:eastAsia="en-AU" w:bidi="ar-SA"/>
        </w:rPr>
        <w:t>(Oliver et al. 2007)</w:t>
      </w:r>
      <w:r>
        <w:rPr>
          <w:lang w:eastAsia="en-AU" w:bidi="ar-SA"/>
        </w:rPr>
        <w:t xml:space="preserve">. Drought and resulting soil compaction can lead to increased runoff from surrounding grazing areas and higher loads of contamination during heavy rain or flooding </w:t>
      </w:r>
      <w:r w:rsidR="00657FDB">
        <w:rPr>
          <w:lang w:eastAsia="en-AU" w:bidi="ar-SA"/>
        </w:rPr>
        <w:t>(EFSA Panel on Biological Hazards 2014a)</w:t>
      </w:r>
      <w:r>
        <w:rPr>
          <w:lang w:eastAsia="en-AU" w:bidi="ar-SA"/>
        </w:rPr>
        <w:t>.</w:t>
      </w:r>
    </w:p>
    <w:p w14:paraId="78DCAAC6" w14:textId="77777777" w:rsidR="004B2589" w:rsidRDefault="004B2589" w:rsidP="004B2589">
      <w:pPr>
        <w:rPr>
          <w:lang w:eastAsia="en-AU" w:bidi="ar-SA"/>
        </w:rPr>
      </w:pPr>
    </w:p>
    <w:p w14:paraId="44905E66" w14:textId="308FD80F" w:rsidR="004B2589" w:rsidRPr="00465187" w:rsidRDefault="004B2589" w:rsidP="004B2589">
      <w:r>
        <w:t xml:space="preserve">Dust can also act as a vector for microorganisms and present a contamination risk, as reviewed by Gonzalez-Martin et al. </w:t>
      </w:r>
      <w:r w:rsidR="00657FDB">
        <w:t>(2014)</w:t>
      </w:r>
      <w:r>
        <w:t xml:space="preserve"> and Zhao et al. </w:t>
      </w:r>
      <w:r w:rsidR="00657FDB">
        <w:t>(2014)</w:t>
      </w:r>
      <w:r>
        <w:t xml:space="preserve">. </w:t>
      </w:r>
      <w:r w:rsidRPr="004422A2">
        <w:t>Frost protection is used on some crops during very cold weather and this technique could potentially</w:t>
      </w:r>
      <w:r w:rsidRPr="00465187">
        <w:t xml:space="preserve"> introduce contamination if pathogens were present in the water source and able to persist during frost events </w:t>
      </w:r>
      <w:r w:rsidR="00657FDB">
        <w:t>(Gutierrez-Rodriguez and Adhikari 2018)</w:t>
      </w:r>
      <w:r w:rsidRPr="00465187">
        <w:t>.</w:t>
      </w:r>
    </w:p>
    <w:p w14:paraId="71823B41" w14:textId="77777777" w:rsidR="004B2589" w:rsidRPr="00465187" w:rsidRDefault="004B2589" w:rsidP="004B2589"/>
    <w:p w14:paraId="2C282267" w14:textId="77777777" w:rsidR="004B2589" w:rsidRPr="00595830" w:rsidRDefault="004B2589" w:rsidP="004B2589">
      <w:pPr>
        <w:rPr>
          <w:lang w:eastAsia="en-AU" w:bidi="ar-SA"/>
        </w:rPr>
      </w:pPr>
      <w:r>
        <w:rPr>
          <w:lang w:eastAsia="en-AU" w:bidi="ar-SA"/>
        </w:rPr>
        <w:t>T</w:t>
      </w:r>
      <w:r w:rsidRPr="00465187">
        <w:rPr>
          <w:lang w:eastAsia="en-AU" w:bidi="ar-SA"/>
        </w:rPr>
        <w:t>he evidence spec</w:t>
      </w:r>
      <w:r>
        <w:rPr>
          <w:lang w:eastAsia="en-AU" w:bidi="ar-SA"/>
        </w:rPr>
        <w:t>ifically associated with the in-</w:t>
      </w:r>
      <w:r w:rsidRPr="00465187">
        <w:rPr>
          <w:lang w:eastAsia="en-AU" w:bidi="ar-SA"/>
        </w:rPr>
        <w:t>scope commodities and hazards is summarised</w:t>
      </w:r>
      <w:r>
        <w:rPr>
          <w:lang w:eastAsia="en-AU" w:bidi="ar-SA"/>
        </w:rPr>
        <w:t xml:space="preserve"> below</w:t>
      </w:r>
      <w:r w:rsidRPr="00465187">
        <w:rPr>
          <w:lang w:eastAsia="en-AU" w:bidi="ar-SA"/>
        </w:rPr>
        <w:t>.</w:t>
      </w:r>
    </w:p>
    <w:p w14:paraId="1ABC9194" w14:textId="77777777" w:rsidR="004B2589" w:rsidRDefault="004B2589" w:rsidP="004B2589">
      <w:pPr>
        <w:pStyle w:val="Heading4"/>
        <w:numPr>
          <w:ilvl w:val="3"/>
          <w:numId w:val="11"/>
        </w:numPr>
      </w:pPr>
      <w:r>
        <w:t>Leafy vegetables</w:t>
      </w:r>
    </w:p>
    <w:p w14:paraId="4F298B2B" w14:textId="77777777" w:rsidR="004B2589" w:rsidRPr="00465187" w:rsidRDefault="004B2589" w:rsidP="004B2589">
      <w:pPr>
        <w:rPr>
          <w:lang w:bidi="ar-SA"/>
        </w:rPr>
      </w:pPr>
      <w:r w:rsidRPr="00465187">
        <w:rPr>
          <w:lang w:bidi="ar-SA"/>
        </w:rPr>
        <w:t>Leafy vegetables in Australia can be grown in a variety of geographical locations either in the field or with protected cropping. As such, crops can be exposed to a variety of extreme weather events.</w:t>
      </w:r>
    </w:p>
    <w:p w14:paraId="07CCD780" w14:textId="77777777" w:rsidR="004B2589" w:rsidRPr="00465187" w:rsidRDefault="004B2589" w:rsidP="004B2589">
      <w:pPr>
        <w:rPr>
          <w:lang w:bidi="ar-SA"/>
        </w:rPr>
      </w:pPr>
    </w:p>
    <w:p w14:paraId="58740C09" w14:textId="672A88CE" w:rsidR="004B2589" w:rsidRPr="00465187" w:rsidRDefault="004B2589" w:rsidP="004B2589">
      <w:pPr>
        <w:rPr>
          <w:lang w:bidi="ar-SA"/>
        </w:rPr>
      </w:pPr>
      <w:r w:rsidRPr="00465187">
        <w:rPr>
          <w:lang w:bidi="ar-SA"/>
        </w:rPr>
        <w:t>It is well-established that flooding events increase the likelihood of microbial contamination of leafy vegetables.</w:t>
      </w:r>
      <w:r>
        <w:rPr>
          <w:lang w:bidi="ar-SA"/>
        </w:rPr>
        <w:t xml:space="preserve"> </w:t>
      </w:r>
      <w:r w:rsidR="00657FDB">
        <w:rPr>
          <w:lang w:bidi="ar-SA"/>
        </w:rPr>
        <w:t>Castro-Ibáñez et al.</w:t>
      </w:r>
      <w:r>
        <w:rPr>
          <w:lang w:bidi="ar-SA"/>
        </w:rPr>
        <w:t xml:space="preserve"> </w:t>
      </w:r>
      <w:r w:rsidR="00657FDB">
        <w:rPr>
          <w:lang w:bidi="ar-SA"/>
        </w:rPr>
        <w:t>(2015)</w:t>
      </w:r>
      <w:r w:rsidRPr="00465187">
        <w:rPr>
          <w:lang w:bidi="ar-SA"/>
        </w:rPr>
        <w:t xml:space="preserve"> reported high levels of coliforms and generic </w:t>
      </w:r>
      <w:r w:rsidRPr="00465187">
        <w:rPr>
          <w:i/>
          <w:lang w:bidi="ar-SA"/>
        </w:rPr>
        <w:t>E. coli</w:t>
      </w:r>
      <w:r w:rsidRPr="00465187">
        <w:rPr>
          <w:lang w:bidi="ar-SA"/>
        </w:rPr>
        <w:t xml:space="preserve"> and prevalence of </w:t>
      </w:r>
      <w:r w:rsidRPr="00465187">
        <w:rPr>
          <w:i/>
          <w:lang w:bidi="ar-SA"/>
        </w:rPr>
        <w:t>Salmonella</w:t>
      </w:r>
      <w:r w:rsidRPr="00465187">
        <w:rPr>
          <w:lang w:bidi="ar-SA"/>
        </w:rPr>
        <w:t xml:space="preserve"> spp. one week after a natural flooding event in lettuce fields in the south</w:t>
      </w:r>
      <w:r w:rsidRPr="00465187">
        <w:rPr>
          <w:lang w:bidi="ar-SA"/>
        </w:rPr>
        <w:noBreakHyphen/>
        <w:t xml:space="preserve">east of Spain. There was a low prevalence of non-O157 EHEC, but no </w:t>
      </w:r>
      <w:r>
        <w:rPr>
          <w:i/>
          <w:lang w:bidi="ar-SA"/>
        </w:rPr>
        <w:t>E. </w:t>
      </w:r>
      <w:r w:rsidRPr="00465187">
        <w:rPr>
          <w:i/>
          <w:lang w:bidi="ar-SA"/>
        </w:rPr>
        <w:t>coli</w:t>
      </w:r>
      <w:r w:rsidRPr="00465187">
        <w:rPr>
          <w:lang w:bidi="ar-SA"/>
        </w:rPr>
        <w:t xml:space="preserve"> O157:H7 or </w:t>
      </w:r>
      <w:r w:rsidRPr="00465187">
        <w:rPr>
          <w:i/>
          <w:lang w:bidi="ar-SA"/>
        </w:rPr>
        <w:t>L. monocytogenes</w:t>
      </w:r>
      <w:r w:rsidRPr="00465187">
        <w:rPr>
          <w:lang w:bidi="ar-SA"/>
        </w:rPr>
        <w:t xml:space="preserve"> were detected at that time point. All microbial contaminants had declined to</w:t>
      </w:r>
      <w:r>
        <w:rPr>
          <w:lang w:bidi="ar-SA"/>
        </w:rPr>
        <w:t xml:space="preserve"> normal or undetectable levels three</w:t>
      </w:r>
      <w:r w:rsidRPr="00465187">
        <w:rPr>
          <w:lang w:bidi="ar-SA"/>
        </w:rPr>
        <w:t xml:space="preserve"> weeks after the flooding, aside from </w:t>
      </w:r>
      <w:r w:rsidRPr="00465187">
        <w:rPr>
          <w:i/>
          <w:lang w:bidi="ar-SA"/>
        </w:rPr>
        <w:t>Salmonella</w:t>
      </w:r>
      <w:r w:rsidRPr="00465187">
        <w:rPr>
          <w:lang w:bidi="ar-SA"/>
        </w:rPr>
        <w:t xml:space="preserve"> spp.—which were no longer detected after five weeks—and two sporadic detections of </w:t>
      </w:r>
      <w:r w:rsidRPr="00465187">
        <w:rPr>
          <w:i/>
          <w:lang w:bidi="ar-SA"/>
        </w:rPr>
        <w:t>L. monocytogenes</w:t>
      </w:r>
      <w:r w:rsidRPr="00465187">
        <w:rPr>
          <w:lang w:bidi="ar-SA"/>
        </w:rPr>
        <w:t xml:space="preserve"> in the week </w:t>
      </w:r>
      <w:r>
        <w:rPr>
          <w:lang w:bidi="ar-SA"/>
        </w:rPr>
        <w:t>three</w:t>
      </w:r>
      <w:r w:rsidRPr="00465187">
        <w:rPr>
          <w:lang w:bidi="ar-SA"/>
        </w:rPr>
        <w:t xml:space="preserve"> samples. In a multi-country study, </w:t>
      </w:r>
      <w:r>
        <w:rPr>
          <w:lang w:bidi="ar-SA"/>
        </w:rPr>
        <w:t xml:space="preserve">Ceuppens et al. </w:t>
      </w:r>
      <w:r w:rsidR="00657FDB">
        <w:rPr>
          <w:lang w:bidi="ar-SA"/>
        </w:rPr>
        <w:t>(2015)</w:t>
      </w:r>
      <w:r>
        <w:rPr>
          <w:lang w:bidi="ar-SA"/>
        </w:rPr>
        <w:t xml:space="preserve"> </w:t>
      </w:r>
      <w:r w:rsidRPr="00465187">
        <w:rPr>
          <w:lang w:bidi="ar-SA"/>
        </w:rPr>
        <w:t xml:space="preserve">similarly found that flooding of fields increased the risk of detection of </w:t>
      </w:r>
      <w:r w:rsidRPr="00465187">
        <w:rPr>
          <w:i/>
          <w:lang w:bidi="ar-SA"/>
        </w:rPr>
        <w:t xml:space="preserve">Salmonella </w:t>
      </w:r>
      <w:r w:rsidRPr="00465187">
        <w:rPr>
          <w:lang w:bidi="ar-SA"/>
        </w:rPr>
        <w:t>spp. in leafy vegetables (lettuce, spinach and basil) when tested within one week of a flooding event.</w:t>
      </w:r>
    </w:p>
    <w:p w14:paraId="76FE9A7F" w14:textId="77777777" w:rsidR="004B2589" w:rsidRPr="00465187" w:rsidRDefault="004B2589" w:rsidP="004B2589">
      <w:pPr>
        <w:rPr>
          <w:lang w:bidi="ar-SA"/>
        </w:rPr>
      </w:pPr>
    </w:p>
    <w:p w14:paraId="2079E330" w14:textId="3251DB18" w:rsidR="004B2589" w:rsidRPr="00CE156D" w:rsidRDefault="004B2589" w:rsidP="004B2589">
      <w:pPr>
        <w:rPr>
          <w:lang w:bidi="ar-SA"/>
        </w:rPr>
      </w:pPr>
      <w:r w:rsidRPr="00465187">
        <w:rPr>
          <w:lang w:bidi="ar-SA"/>
        </w:rPr>
        <w:t xml:space="preserve">Several studies have investigated the effects of pathogen load, water and heat stress on colonisation of leafy vegetables by </w:t>
      </w:r>
      <w:r w:rsidRPr="00465187">
        <w:rPr>
          <w:i/>
          <w:lang w:bidi="ar-SA"/>
        </w:rPr>
        <w:t xml:space="preserve">Salmonella </w:t>
      </w:r>
      <w:r w:rsidRPr="00465187">
        <w:rPr>
          <w:lang w:bidi="ar-SA"/>
        </w:rPr>
        <w:t xml:space="preserve">and </w:t>
      </w:r>
      <w:r w:rsidRPr="00465187">
        <w:rPr>
          <w:i/>
          <w:lang w:bidi="ar-SA"/>
        </w:rPr>
        <w:t>E. coli</w:t>
      </w:r>
      <w:r w:rsidRPr="00465187">
        <w:rPr>
          <w:lang w:bidi="ar-SA"/>
        </w:rPr>
        <w:t xml:space="preserve">, with variable results. Ge et al. </w:t>
      </w:r>
      <w:r w:rsidR="00657FDB">
        <w:rPr>
          <w:lang w:bidi="ar-SA"/>
        </w:rPr>
        <w:t>(2012)</w:t>
      </w:r>
      <w:r w:rsidRPr="00465187">
        <w:rPr>
          <w:lang w:bidi="ar-SA"/>
        </w:rPr>
        <w:t xml:space="preserve"> </w:t>
      </w:r>
      <w:r w:rsidRPr="008C4387">
        <w:rPr>
          <w:lang w:bidi="ar-SA"/>
        </w:rPr>
        <w:t xml:space="preserve">found that levels of internalised </w:t>
      </w:r>
      <w:r w:rsidRPr="008C4387">
        <w:rPr>
          <w:i/>
          <w:lang w:bidi="ar-SA"/>
        </w:rPr>
        <w:t>S</w:t>
      </w:r>
      <w:r w:rsidRPr="008C4387">
        <w:rPr>
          <w:lang w:bidi="ar-SA"/>
        </w:rPr>
        <w:t>. Typhimurium in lettuce via root uptake from contaminated soil increased under drought conditions when soil levels were ≥10</w:t>
      </w:r>
      <w:r w:rsidRPr="008C4387">
        <w:rPr>
          <w:vertAlign w:val="superscript"/>
          <w:lang w:bidi="ar-SA"/>
        </w:rPr>
        <w:t>8</w:t>
      </w:r>
      <w:r w:rsidRPr="008C4387">
        <w:rPr>
          <w:lang w:bidi="ar-SA"/>
        </w:rPr>
        <w:t xml:space="preserve"> CFU/g, as well as under excess moisture conditions when soil levels were ≥10</w:t>
      </w:r>
      <w:r w:rsidRPr="008C4387">
        <w:rPr>
          <w:vertAlign w:val="superscript"/>
          <w:lang w:bidi="ar-SA"/>
        </w:rPr>
        <w:t>9</w:t>
      </w:r>
      <w:r w:rsidRPr="008C4387">
        <w:rPr>
          <w:lang w:bidi="ar-SA"/>
        </w:rPr>
        <w:t xml:space="preserve"> CFU/g. Internalised bacteria were detected in leaf tissue, but not in roots, with levels up to 2.5 log CFU/g under optimal irrigation conditions. In similar experiments,</w:t>
      </w:r>
      <w:r>
        <w:rPr>
          <w:lang w:bidi="ar-SA"/>
        </w:rPr>
        <w:t xml:space="preserve"> </w:t>
      </w:r>
      <w:r w:rsidR="00657FDB">
        <w:rPr>
          <w:lang w:bidi="ar-SA"/>
        </w:rPr>
        <w:t>Zhang et al.</w:t>
      </w:r>
      <w:r>
        <w:rPr>
          <w:lang w:bidi="ar-SA"/>
        </w:rPr>
        <w:t xml:space="preserve"> </w:t>
      </w:r>
      <w:r w:rsidR="00657FDB">
        <w:rPr>
          <w:lang w:bidi="ar-SA"/>
        </w:rPr>
        <w:t>(2016)</w:t>
      </w:r>
      <w:r w:rsidRPr="008C4387">
        <w:rPr>
          <w:lang w:bidi="ar-SA"/>
        </w:rPr>
        <w:t xml:space="preserve"> evaluated internalisation, through root uptake, of </w:t>
      </w:r>
      <w:r w:rsidRPr="008C4387">
        <w:rPr>
          <w:i/>
          <w:lang w:bidi="ar-SA"/>
        </w:rPr>
        <w:t>S</w:t>
      </w:r>
      <w:r w:rsidRPr="008C4387">
        <w:rPr>
          <w:lang w:bidi="ar-SA"/>
        </w:rPr>
        <w:t xml:space="preserve">. Infantis in lettuce grown under different levels of water stress (no drought control, mild drought, and severe drought). At high inoculum levels—a single application to the soil of irrigation water containing 8 log CFU/mL three days prior to harvest—the detection frequency and level of internalisation of </w:t>
      </w:r>
      <w:r w:rsidRPr="008C4387">
        <w:rPr>
          <w:i/>
          <w:lang w:bidi="ar-SA"/>
        </w:rPr>
        <w:t xml:space="preserve">Salmonella </w:t>
      </w:r>
      <w:r w:rsidRPr="008C4387">
        <w:rPr>
          <w:lang w:bidi="ar-SA"/>
        </w:rPr>
        <w:t xml:space="preserve">from roots into lettuce leaves were higher in the severe drought group, possibly due to physical damage to the roots caused by drought stress. Also, </w:t>
      </w:r>
      <w:r w:rsidR="00657FDB">
        <w:rPr>
          <w:lang w:bidi="ar-SA"/>
        </w:rPr>
        <w:t>Erickson et al.</w:t>
      </w:r>
      <w:r>
        <w:rPr>
          <w:lang w:bidi="ar-SA"/>
        </w:rPr>
        <w:t xml:space="preserve"> </w:t>
      </w:r>
      <w:r w:rsidR="00657FDB">
        <w:rPr>
          <w:lang w:bidi="ar-SA"/>
        </w:rPr>
        <w:t>(2014b)</w:t>
      </w:r>
      <w:r>
        <w:rPr>
          <w:lang w:bidi="ar-SA"/>
        </w:rPr>
        <w:t xml:space="preserve"> </w:t>
      </w:r>
      <w:r w:rsidRPr="008C4387">
        <w:rPr>
          <w:lang w:bidi="ar-SA"/>
        </w:rPr>
        <w:t xml:space="preserve">found that internalisation of </w:t>
      </w:r>
      <w:r w:rsidRPr="008C4387">
        <w:rPr>
          <w:i/>
          <w:lang w:bidi="ar-SA"/>
        </w:rPr>
        <w:t>E. coli</w:t>
      </w:r>
      <w:r w:rsidRPr="008C4387">
        <w:rPr>
          <w:lang w:bidi="ar-SA"/>
        </w:rPr>
        <w:t xml:space="preserve"> O157:H7 into roots of 4–6 week old lettuce, spinach and parsley plants was higher when the soil was saturated compared to when it was moistened—possibly reflecting greater survival of bacteria in the saturated soil than in the non-saturated soil. No significant differences in average levels of internalised </w:t>
      </w:r>
      <w:r w:rsidRPr="008C4387">
        <w:rPr>
          <w:i/>
          <w:lang w:bidi="ar-SA"/>
        </w:rPr>
        <w:t>E. coli</w:t>
      </w:r>
      <w:r w:rsidRPr="008C4387">
        <w:rPr>
          <w:lang w:bidi="ar-SA"/>
        </w:rPr>
        <w:t xml:space="preserve"> O157:H7 was observed between spinach, lettuce and parsley roots. In all three, translocation of bacteria from roots to leaves was rare. A subsequent attempt by</w:t>
      </w:r>
      <w:r>
        <w:rPr>
          <w:lang w:bidi="ar-SA"/>
        </w:rPr>
        <w:t xml:space="preserve"> </w:t>
      </w:r>
      <w:r w:rsidR="00657FDB">
        <w:rPr>
          <w:lang w:bidi="ar-SA"/>
        </w:rPr>
        <w:t>Erickson et al.</w:t>
      </w:r>
      <w:r>
        <w:rPr>
          <w:lang w:bidi="ar-SA"/>
        </w:rPr>
        <w:t xml:space="preserve"> </w:t>
      </w:r>
      <w:r w:rsidR="00657FDB">
        <w:rPr>
          <w:lang w:bidi="ar-SA"/>
        </w:rPr>
        <w:t>(2014a)</w:t>
      </w:r>
      <w:r w:rsidRPr="008C4387">
        <w:rPr>
          <w:lang w:bidi="ar-SA"/>
        </w:rPr>
        <w:t xml:space="preserve"> to maximize the exposure of germinating spinach and lettuce seeds to </w:t>
      </w:r>
      <w:r w:rsidRPr="008C4387">
        <w:rPr>
          <w:i/>
          <w:lang w:bidi="ar-SA"/>
        </w:rPr>
        <w:t>E. coli</w:t>
      </w:r>
      <w:r w:rsidRPr="008C4387">
        <w:rPr>
          <w:lang w:bidi="ar-SA"/>
        </w:rPr>
        <w:t xml:space="preserve"> O157:H7 by increasing the moisture content of soil did not increase the degree of internalisation of pathogens. In contrast, </w:t>
      </w:r>
      <w:r w:rsidR="00657FDB">
        <w:rPr>
          <w:lang w:bidi="ar-SA"/>
        </w:rPr>
        <w:t>Ge et al.</w:t>
      </w:r>
      <w:r>
        <w:rPr>
          <w:lang w:bidi="ar-SA"/>
        </w:rPr>
        <w:t xml:space="preserve"> </w:t>
      </w:r>
      <w:r w:rsidR="00657FDB">
        <w:rPr>
          <w:lang w:bidi="ar-SA"/>
        </w:rPr>
        <w:t>(2014)</w:t>
      </w:r>
      <w:r>
        <w:rPr>
          <w:lang w:bidi="ar-SA"/>
        </w:rPr>
        <w:t xml:space="preserve"> </w:t>
      </w:r>
      <w:r w:rsidRPr="008C4387">
        <w:rPr>
          <w:lang w:bidi="ar-SA"/>
        </w:rPr>
        <w:t xml:space="preserve">found no effect of water stress on </w:t>
      </w:r>
      <w:r w:rsidRPr="008C4387">
        <w:rPr>
          <w:i/>
          <w:lang w:bidi="ar-SA"/>
        </w:rPr>
        <w:t>S</w:t>
      </w:r>
      <w:r w:rsidRPr="008C4387">
        <w:rPr>
          <w:lang w:bidi="ar-SA"/>
        </w:rPr>
        <w:t>. Typhimur</w:t>
      </w:r>
      <w:r>
        <w:rPr>
          <w:lang w:bidi="ar-SA"/>
        </w:rPr>
        <w:t>ium internalisation in lettuce two</w:t>
      </w:r>
      <w:r w:rsidRPr="008C4387">
        <w:rPr>
          <w:lang w:bidi="ar-SA"/>
        </w:rPr>
        <w:t xml:space="preserve"> day</w:t>
      </w:r>
      <w:r>
        <w:rPr>
          <w:lang w:bidi="ar-SA"/>
        </w:rPr>
        <w:t>s after application of 2.3–6.3 L</w:t>
      </w:r>
      <w:r w:rsidRPr="008C4387">
        <w:rPr>
          <w:lang w:bidi="ar-SA"/>
        </w:rPr>
        <w:t xml:space="preserve">og CFU/plant to the leaf surface. Inoculum levels in that range also did not greatly affect the overall </w:t>
      </w:r>
      <w:r w:rsidRPr="00465187">
        <w:rPr>
          <w:lang w:bidi="ar-SA"/>
        </w:rPr>
        <w:t>levels of internalisation, w</w:t>
      </w:r>
      <w:r>
        <w:rPr>
          <w:lang w:bidi="ar-SA"/>
        </w:rPr>
        <w:t>hich were in the range 3.0–3.4 L</w:t>
      </w:r>
      <w:r w:rsidRPr="00465187">
        <w:rPr>
          <w:lang w:bidi="ar-SA"/>
        </w:rPr>
        <w:t xml:space="preserve">og CFU/g by plate count of homogenised, surface-sterilised leaves. Again, no internalised bacteria were found in root </w:t>
      </w:r>
      <w:r w:rsidRPr="00CE156D">
        <w:rPr>
          <w:lang w:bidi="ar-SA"/>
        </w:rPr>
        <w:t>tissue.</w:t>
      </w:r>
    </w:p>
    <w:p w14:paraId="7F0D7563" w14:textId="77777777" w:rsidR="004B2589" w:rsidRPr="00465187" w:rsidRDefault="004B2589" w:rsidP="004B2589">
      <w:pPr>
        <w:rPr>
          <w:lang w:bidi="ar-SA"/>
        </w:rPr>
      </w:pPr>
    </w:p>
    <w:p w14:paraId="425D45B6" w14:textId="69A39627" w:rsidR="004B2589" w:rsidRPr="00465187" w:rsidRDefault="004B2589" w:rsidP="004B2589">
      <w:pPr>
        <w:rPr>
          <w:lang w:bidi="ar-SA"/>
        </w:rPr>
      </w:pPr>
      <w:r w:rsidRPr="00465187">
        <w:rPr>
          <w:lang w:bidi="ar-SA"/>
        </w:rPr>
        <w:t xml:space="preserve">The work of Zhang et al. </w:t>
      </w:r>
      <w:r w:rsidR="00657FDB">
        <w:rPr>
          <w:lang w:bidi="ar-SA"/>
        </w:rPr>
        <w:t>(2009a)</w:t>
      </w:r>
      <w:r w:rsidRPr="00465187">
        <w:rPr>
          <w:lang w:bidi="ar-SA"/>
        </w:rPr>
        <w:t xml:space="preserve"> supports earlier studies that imply that internalisation of </w:t>
      </w:r>
      <w:r w:rsidRPr="00465187">
        <w:rPr>
          <w:i/>
          <w:lang w:bidi="ar-SA"/>
        </w:rPr>
        <w:t>E. coli</w:t>
      </w:r>
      <w:r w:rsidRPr="00465187">
        <w:rPr>
          <w:lang w:bidi="ar-SA"/>
        </w:rPr>
        <w:t xml:space="preserve"> O157:H7 is a rare event in lettuce plants, regardless of the heat or water stress the plants experience. In controlled environment experiments, heat stress during growth of lettuce did not promote or enhance internalisation of </w:t>
      </w:r>
      <w:r w:rsidRPr="00465187">
        <w:rPr>
          <w:i/>
          <w:lang w:bidi="ar-SA"/>
        </w:rPr>
        <w:t>E. coli</w:t>
      </w:r>
      <w:r w:rsidRPr="00465187">
        <w:rPr>
          <w:lang w:bidi="ar-SA"/>
        </w:rPr>
        <w:t xml:space="preserve"> O157:H7—it was not detected on any leaf surfaces or in any surface-sanitised macerated leaf samples, and was only detected in one of 144 root samples.</w:t>
      </w:r>
    </w:p>
    <w:p w14:paraId="0F481C94" w14:textId="77777777" w:rsidR="004B2589" w:rsidRDefault="004B2589" w:rsidP="004B2589">
      <w:pPr>
        <w:pStyle w:val="Heading4"/>
        <w:numPr>
          <w:ilvl w:val="3"/>
          <w:numId w:val="11"/>
        </w:numPr>
      </w:pPr>
      <w:r>
        <w:t>Berries</w:t>
      </w:r>
    </w:p>
    <w:p w14:paraId="5C7D1BDA" w14:textId="77777777" w:rsidR="004B2589" w:rsidRPr="00465187" w:rsidRDefault="004B2589" w:rsidP="004B2589">
      <w:pPr>
        <w:rPr>
          <w:lang w:bidi="ar-SA"/>
        </w:rPr>
      </w:pPr>
      <w:r w:rsidRPr="00465187">
        <w:rPr>
          <w:lang w:bidi="ar-SA"/>
        </w:rPr>
        <w:t>In Australia berries can be grown in open fields where they are exposed to the elements, or they can be grown under plastic tunnels that protect the crop from the weather.</w:t>
      </w:r>
    </w:p>
    <w:p w14:paraId="46A25BFA" w14:textId="77777777" w:rsidR="004B2589" w:rsidRPr="00465187" w:rsidRDefault="004B2589" w:rsidP="004B2589">
      <w:pPr>
        <w:rPr>
          <w:lang w:bidi="ar-SA"/>
        </w:rPr>
      </w:pPr>
    </w:p>
    <w:p w14:paraId="5DAF613B" w14:textId="0665E86E" w:rsidR="004B2589" w:rsidRDefault="004B2589" w:rsidP="004B2589">
      <w:pPr>
        <w:rPr>
          <w:lang w:bidi="ar-SA"/>
        </w:rPr>
      </w:pPr>
      <w:r w:rsidRPr="00465187">
        <w:rPr>
          <w:lang w:bidi="ar-SA"/>
        </w:rPr>
        <w:t>Frost protection can be used to protect crop losses during freezing temperatures. In Australia this technique is used by some strawberry growers (dependent on location)</w:t>
      </w:r>
      <w:r>
        <w:rPr>
          <w:lang w:bidi="ar-SA"/>
        </w:rPr>
        <w:t xml:space="preserve"> </w:t>
      </w:r>
      <w:r w:rsidR="00657FDB">
        <w:rPr>
          <w:lang w:bidi="ar-SA"/>
        </w:rPr>
        <w:t>(DAF QLD 2014)</w:t>
      </w:r>
      <w:r w:rsidRPr="00465187">
        <w:rPr>
          <w:lang w:bidi="ar-SA"/>
        </w:rPr>
        <w:t>. As blueberries and raspberries are generally grown under plastic tunnels or netting, and these provide some level of protection, frost protection is not commonly used for these types of berries in Australia</w:t>
      </w:r>
      <w:r>
        <w:rPr>
          <w:lang w:bidi="ar-SA"/>
        </w:rPr>
        <w:t xml:space="preserve">. </w:t>
      </w:r>
    </w:p>
    <w:p w14:paraId="2C32055A" w14:textId="77777777" w:rsidR="004B2589" w:rsidRDefault="004B2589" w:rsidP="004B2589">
      <w:pPr>
        <w:rPr>
          <w:lang w:bidi="ar-SA"/>
        </w:rPr>
      </w:pPr>
    </w:p>
    <w:p w14:paraId="16041D46" w14:textId="7E8DD718" w:rsidR="004B2589" w:rsidRPr="00465187" w:rsidRDefault="004B2589" w:rsidP="004B2589">
      <w:r w:rsidRPr="00465187">
        <w:rPr>
          <w:lang w:bidi="ar-SA"/>
        </w:rPr>
        <w:t xml:space="preserve">Frost protection generally involves overhead irrigation and uses </w:t>
      </w:r>
      <w:r>
        <w:rPr>
          <w:lang w:bidi="ar-SA"/>
        </w:rPr>
        <w:t>large</w:t>
      </w:r>
      <w:r w:rsidRPr="00465187">
        <w:rPr>
          <w:lang w:bidi="ar-SA"/>
        </w:rPr>
        <w:t xml:space="preserve"> quantities of water. As such, growers generally depend on surface water sources to protect their crops </w:t>
      </w:r>
      <w:r w:rsidR="00657FDB">
        <w:rPr>
          <w:lang w:bidi="ar-SA"/>
        </w:rPr>
        <w:t>(Conlan et al. 2018; DAF QLD 2014; Gutierrez-Rodriguez and Adhikari 2018)</w:t>
      </w:r>
      <w:r w:rsidRPr="00465187">
        <w:rPr>
          <w:lang w:bidi="ar-SA"/>
        </w:rPr>
        <w:t xml:space="preserve">. </w:t>
      </w:r>
      <w:r w:rsidRPr="00465187">
        <w:t xml:space="preserve">There is preliminary evidence that the use of contaminated water for frost protection of berries can lead to contamination of the berries. In a preliminary study by Cooney et al. </w:t>
      </w:r>
      <w:r w:rsidR="00657FDB">
        <w:t>(2016)</w:t>
      </w:r>
      <w:r w:rsidRPr="00465187">
        <w:rPr>
          <w:lang w:bidi="ar-SA"/>
        </w:rPr>
        <w:t xml:space="preserve"> strawberry plants were inoculated with </w:t>
      </w:r>
      <w:r w:rsidRPr="00465187">
        <w:rPr>
          <w:i/>
          <w:lang w:bidi="ar-SA"/>
        </w:rPr>
        <w:t xml:space="preserve">E. coli </w:t>
      </w:r>
      <w:r w:rsidRPr="00465187">
        <w:rPr>
          <w:lang w:bidi="ar-SA"/>
        </w:rPr>
        <w:t xml:space="preserve">and surrogates of </w:t>
      </w:r>
      <w:r w:rsidRPr="00465187">
        <w:rPr>
          <w:i/>
          <w:lang w:bidi="ar-SA"/>
        </w:rPr>
        <w:t>Salmonella</w:t>
      </w:r>
      <w:r w:rsidRPr="00465187">
        <w:rPr>
          <w:lang w:bidi="ar-SA"/>
        </w:rPr>
        <w:t xml:space="preserve"> </w:t>
      </w:r>
      <w:r w:rsidRPr="00465187">
        <w:rPr>
          <w:i/>
          <w:lang w:bidi="ar-SA"/>
        </w:rPr>
        <w:t>enterica</w:t>
      </w:r>
      <w:r w:rsidRPr="00465187">
        <w:rPr>
          <w:lang w:bidi="ar-SA"/>
        </w:rPr>
        <w:t xml:space="preserve">, </w:t>
      </w:r>
      <w:r w:rsidRPr="00465187">
        <w:rPr>
          <w:i/>
          <w:lang w:bidi="ar-SA"/>
        </w:rPr>
        <w:t xml:space="preserve">E. coli </w:t>
      </w:r>
      <w:r w:rsidRPr="00465187">
        <w:rPr>
          <w:lang w:bidi="ar-SA"/>
        </w:rPr>
        <w:t xml:space="preserve">O157:H7 and </w:t>
      </w:r>
      <w:r>
        <w:rPr>
          <w:i/>
          <w:lang w:bidi="ar-SA"/>
        </w:rPr>
        <w:t>L.</w:t>
      </w:r>
      <w:r w:rsidRPr="00465187">
        <w:rPr>
          <w:i/>
          <w:lang w:bidi="ar-SA"/>
        </w:rPr>
        <w:t> monocytogenes</w:t>
      </w:r>
      <w:r w:rsidRPr="00465187">
        <w:rPr>
          <w:lang w:bidi="ar-SA"/>
        </w:rPr>
        <w:t xml:space="preserve"> (av</w:t>
      </w:r>
      <w:r>
        <w:rPr>
          <w:lang w:bidi="ar-SA"/>
        </w:rPr>
        <w:t>erage inoculum of Log 4.5 CFU/mL</w:t>
      </w:r>
      <w:r w:rsidRPr="00465187">
        <w:rPr>
          <w:lang w:bidi="ar-SA"/>
        </w:rPr>
        <w:t>)</w:t>
      </w:r>
      <w:r w:rsidRPr="00465187">
        <w:rPr>
          <w:i/>
          <w:lang w:bidi="ar-SA"/>
        </w:rPr>
        <w:t xml:space="preserve"> </w:t>
      </w:r>
      <w:r w:rsidRPr="00465187">
        <w:rPr>
          <w:lang w:bidi="ar-SA"/>
        </w:rPr>
        <w:t xml:space="preserve">via the irrigation water used during frost protection. </w:t>
      </w:r>
      <w:r w:rsidRPr="00465187">
        <w:rPr>
          <w:i/>
          <w:lang w:bidi="ar-SA"/>
        </w:rPr>
        <w:t xml:space="preserve">E. coli </w:t>
      </w:r>
      <w:r>
        <w:rPr>
          <w:lang w:bidi="ar-SA"/>
        </w:rPr>
        <w:t xml:space="preserve">was detected 36 days post </w:t>
      </w:r>
      <w:r w:rsidRPr="00465187">
        <w:rPr>
          <w:lang w:bidi="ar-SA"/>
        </w:rPr>
        <w:t>inoculation, while all surrogate populations were at or below th</w:t>
      </w:r>
      <w:r>
        <w:rPr>
          <w:lang w:bidi="ar-SA"/>
        </w:rPr>
        <w:t xml:space="preserve">e level of detection after day four post </w:t>
      </w:r>
      <w:r w:rsidRPr="00465187">
        <w:rPr>
          <w:lang w:bidi="ar-SA"/>
        </w:rPr>
        <w:t xml:space="preserve">inoculation. In another preliminary study, Reed et al. </w:t>
      </w:r>
      <w:r w:rsidR="00657FDB">
        <w:rPr>
          <w:lang w:bidi="ar-SA"/>
        </w:rPr>
        <w:t>(2018a)</w:t>
      </w:r>
      <w:r w:rsidRPr="00465187">
        <w:rPr>
          <w:lang w:bidi="ar-SA"/>
        </w:rPr>
        <w:t xml:space="preserve"> inoculated blueberry blossoms </w:t>
      </w:r>
      <w:r w:rsidRPr="00465187">
        <w:t xml:space="preserve">with generic </w:t>
      </w:r>
      <w:r w:rsidRPr="00465187">
        <w:rPr>
          <w:i/>
        </w:rPr>
        <w:t>E. coli</w:t>
      </w:r>
      <w:r w:rsidRPr="00465187">
        <w:t>,</w:t>
      </w:r>
      <w:r w:rsidRPr="00465187">
        <w:rPr>
          <w:i/>
        </w:rPr>
        <w:t xml:space="preserve"> </w:t>
      </w:r>
      <w:r w:rsidRPr="00465187">
        <w:t>EcW778</w:t>
      </w:r>
      <w:r>
        <w:t xml:space="preserve"> (L</w:t>
      </w:r>
      <w:r w:rsidRPr="00465187">
        <w:t>og 5 CF</w:t>
      </w:r>
      <w:r>
        <w:t>U/mL</w:t>
      </w:r>
      <w:r w:rsidRPr="00465187">
        <w:t xml:space="preserve">), via the irrigation water used during freeze events. EcW778 was detected on blueberry samples at harvest </w:t>
      </w:r>
      <w:r>
        <w:t xml:space="preserve">75 days post </w:t>
      </w:r>
      <w:r w:rsidRPr="00465187">
        <w:t>inoculation and on swabs of the harvester and from the packinghouse. There is also preliminary evidence that rain events can increase pathogenic bacteria levels in surface water use</w:t>
      </w:r>
      <w:r w:rsidR="00207885">
        <w:t>d for irrigation of berries and</w:t>
      </w:r>
      <w:r w:rsidRPr="00465187">
        <w:t xml:space="preserve">/or frost protection </w:t>
      </w:r>
      <w:r w:rsidR="00657FDB">
        <w:t>(Carter et al. 2016)</w:t>
      </w:r>
      <w:r w:rsidRPr="00465187">
        <w:t xml:space="preserve">. </w:t>
      </w:r>
    </w:p>
    <w:p w14:paraId="36E3B629" w14:textId="77777777" w:rsidR="004B2589" w:rsidRPr="00465187" w:rsidRDefault="004B2589" w:rsidP="004B2589">
      <w:pPr>
        <w:rPr>
          <w:lang w:bidi="ar-SA"/>
        </w:rPr>
      </w:pPr>
    </w:p>
    <w:p w14:paraId="58D0116B" w14:textId="64F7E238" w:rsidR="004B2589" w:rsidRDefault="004B2589" w:rsidP="004B2589">
      <w:pPr>
        <w:rPr>
          <w:rFonts w:cs="Arial"/>
          <w:lang w:eastAsia="en-GB"/>
        </w:rPr>
      </w:pPr>
      <w:r w:rsidRPr="00465187">
        <w:t xml:space="preserve">Minor flood events in which the flood water does not contact the plants or fruit (grown in raised beds) has been shown not to significantly affect the microbiological contamination of strawberries </w:t>
      </w:r>
      <w:r w:rsidR="00657FDB">
        <w:rPr>
          <w:rFonts w:cs="Arial"/>
        </w:rPr>
        <w:t>(Delbeke et al. 2015)</w:t>
      </w:r>
      <w:r w:rsidRPr="00465187">
        <w:rPr>
          <w:rFonts w:cs="Arial"/>
        </w:rPr>
        <w:t xml:space="preserve">. </w:t>
      </w:r>
      <w:r w:rsidRPr="00465187">
        <w:t xml:space="preserve">This was confirmed in an </w:t>
      </w:r>
      <w:r w:rsidR="00207885">
        <w:t>experimental study by Shiraz et </w:t>
      </w:r>
      <w:r w:rsidRPr="00465187">
        <w:t xml:space="preserve">al. </w:t>
      </w:r>
      <w:r w:rsidR="00657FDB">
        <w:t>(2020)</w:t>
      </w:r>
      <w:r w:rsidRPr="00465187">
        <w:t>, in which strawberry beds were subjected to different level flood waters with varied concentration</w:t>
      </w:r>
      <w:r>
        <w:t>s</w:t>
      </w:r>
      <w:r w:rsidRPr="00465187">
        <w:t xml:space="preserve"> of generic </w:t>
      </w:r>
      <w:r w:rsidRPr="00465187">
        <w:rPr>
          <w:i/>
        </w:rPr>
        <w:t xml:space="preserve">E. coli </w:t>
      </w:r>
      <w:r w:rsidRPr="00465187">
        <w:t>(10</w:t>
      </w:r>
      <w:r w:rsidRPr="00465187">
        <w:rPr>
          <w:vertAlign w:val="superscript"/>
        </w:rPr>
        <w:t>2</w:t>
      </w:r>
      <w:r w:rsidRPr="00465187">
        <w:t xml:space="preserve"> CFU/L or 10</w:t>
      </w:r>
      <w:r w:rsidRPr="00465187">
        <w:rPr>
          <w:vertAlign w:val="superscript"/>
        </w:rPr>
        <w:t>6</w:t>
      </w:r>
      <w:r w:rsidRPr="00465187">
        <w:t xml:space="preserve"> CFU/L)</w:t>
      </w:r>
      <w:r w:rsidRPr="00465187">
        <w:rPr>
          <w:i/>
        </w:rPr>
        <w:t xml:space="preserve">. </w:t>
      </w:r>
      <w:r w:rsidRPr="00465187">
        <w:t>In this study</w:t>
      </w:r>
      <w:r>
        <w:t>,</w:t>
      </w:r>
      <w:r w:rsidRPr="00465187">
        <w:t xml:space="preserve"> the level of the flood water (strawberry fruit submerged versus only the plant) did not influence the outcome, as generic </w:t>
      </w:r>
      <w:r w:rsidRPr="00465187">
        <w:rPr>
          <w:i/>
        </w:rPr>
        <w:t xml:space="preserve">E. coli </w:t>
      </w:r>
      <w:r w:rsidRPr="00465187">
        <w:t xml:space="preserve">was not detected on any fruit samples. However, generic </w:t>
      </w:r>
      <w:r w:rsidRPr="00465187">
        <w:rPr>
          <w:i/>
        </w:rPr>
        <w:t xml:space="preserve">E. coli </w:t>
      </w:r>
      <w:r w:rsidRPr="00465187">
        <w:t xml:space="preserve">was still detected in the soil after 48 hours in beds flooded with </w:t>
      </w:r>
      <w:r>
        <w:t xml:space="preserve">a </w:t>
      </w:r>
      <w:r w:rsidRPr="00465187">
        <w:t>higher microbial load.</w:t>
      </w:r>
      <w:r w:rsidRPr="00465187">
        <w:rPr>
          <w:szCs w:val="22"/>
          <w:lang w:bidi="ar-SA"/>
        </w:rPr>
        <w:t xml:space="preserve"> </w:t>
      </w:r>
      <w:r w:rsidRPr="00465187">
        <w:rPr>
          <w:rFonts w:cs="Arial"/>
          <w:lang w:eastAsia="en-GB"/>
        </w:rPr>
        <w:t xml:space="preserve">This implies that even when the edible portion of strawberries did not come in direct contact with floodwater, there was </w:t>
      </w:r>
      <w:r>
        <w:rPr>
          <w:rFonts w:cs="Arial"/>
          <w:lang w:eastAsia="en-GB"/>
        </w:rPr>
        <w:t xml:space="preserve">the </w:t>
      </w:r>
      <w:r w:rsidRPr="00465187">
        <w:rPr>
          <w:rFonts w:cs="Arial"/>
          <w:lang w:eastAsia="en-GB"/>
        </w:rPr>
        <w:t xml:space="preserve">potential risk for them to pick up contaminants from the soil for up to two days after floodwater receded </w:t>
      </w:r>
      <w:r w:rsidR="00657FDB">
        <w:rPr>
          <w:rFonts w:cs="Arial"/>
          <w:lang w:eastAsia="en-GB"/>
        </w:rPr>
        <w:t>(Shiraz et al. 2020)</w:t>
      </w:r>
      <w:r w:rsidRPr="00465187">
        <w:rPr>
          <w:rFonts w:cs="Arial"/>
          <w:lang w:eastAsia="en-GB"/>
        </w:rPr>
        <w:t>.</w:t>
      </w:r>
    </w:p>
    <w:p w14:paraId="41391D7F" w14:textId="77777777" w:rsidR="004B2589" w:rsidRDefault="004B2589" w:rsidP="004B2589">
      <w:pPr>
        <w:pStyle w:val="Heading4"/>
        <w:numPr>
          <w:ilvl w:val="3"/>
          <w:numId w:val="11"/>
        </w:numPr>
      </w:pPr>
      <w:r>
        <w:t>Melons</w:t>
      </w:r>
    </w:p>
    <w:p w14:paraId="472D72FE" w14:textId="77777777" w:rsidR="004B2589" w:rsidRPr="00465187" w:rsidRDefault="004B2589" w:rsidP="004B2589">
      <w:pPr>
        <w:rPr>
          <w:lang w:bidi="ar-SA"/>
        </w:rPr>
      </w:pPr>
      <w:r w:rsidRPr="00465187">
        <w:rPr>
          <w:lang w:bidi="ar-SA"/>
        </w:rPr>
        <w:t xml:space="preserve">In Australia, rockmelons and watermelons are grown in a number of geographical regions </w:t>
      </w:r>
      <w:r>
        <w:rPr>
          <w:lang w:bidi="ar-SA"/>
        </w:rPr>
        <w:t>which can</w:t>
      </w:r>
      <w:r w:rsidRPr="00465187">
        <w:rPr>
          <w:lang w:bidi="ar-SA"/>
        </w:rPr>
        <w:t xml:space="preserve"> expose the fruit to diverse climates and growing environments that may influence the risk of microbial contamination. </w:t>
      </w:r>
    </w:p>
    <w:p w14:paraId="35A15CA8" w14:textId="77777777" w:rsidR="004B2589" w:rsidRPr="00465187" w:rsidRDefault="004B2589" w:rsidP="004B2589">
      <w:pPr>
        <w:rPr>
          <w:lang w:bidi="ar-SA"/>
        </w:rPr>
      </w:pPr>
      <w:r w:rsidRPr="00465187">
        <w:rPr>
          <w:lang w:bidi="ar-SA"/>
        </w:rPr>
        <w:t xml:space="preserve"> </w:t>
      </w:r>
    </w:p>
    <w:p w14:paraId="0A6C5F78" w14:textId="03C4CAAC" w:rsidR="004B2589" w:rsidRPr="00465187" w:rsidRDefault="004B2589" w:rsidP="004B2589">
      <w:r w:rsidRPr="00465187">
        <w:t xml:space="preserve">The contamination of rockmelons by </w:t>
      </w:r>
      <w:r w:rsidRPr="00465187">
        <w:rPr>
          <w:i/>
        </w:rPr>
        <w:t xml:space="preserve">Salmonella </w:t>
      </w:r>
      <w:r w:rsidRPr="00465187">
        <w:t>spp</w:t>
      </w:r>
      <w:r w:rsidRPr="00465187">
        <w:rPr>
          <w:i/>
        </w:rPr>
        <w:t xml:space="preserve">. </w:t>
      </w:r>
      <w:r w:rsidRPr="00465187">
        <w:t xml:space="preserve">after heavy rainfall was observed in a field trial that inoculated an attenuated </w:t>
      </w:r>
      <w:r w:rsidRPr="00465187">
        <w:rPr>
          <w:i/>
        </w:rPr>
        <w:t xml:space="preserve">S. </w:t>
      </w:r>
      <w:r w:rsidRPr="00465187">
        <w:t>Typhimurium</w:t>
      </w:r>
      <w:r w:rsidRPr="00465187">
        <w:rPr>
          <w:i/>
        </w:rPr>
        <w:t xml:space="preserve"> </w:t>
      </w:r>
      <w:r w:rsidRPr="00465187">
        <w:t xml:space="preserve">strain into furrow irrigation water applied to rockmelon fields </w:t>
      </w:r>
      <w:r w:rsidR="00657FDB">
        <w:t>(Lopez-Velasco et al. 2012)</w:t>
      </w:r>
      <w:r w:rsidRPr="00465187">
        <w:t xml:space="preserve">. Following an unusual two day rain event, the attenuated </w:t>
      </w:r>
      <w:r w:rsidRPr="00465187">
        <w:rPr>
          <w:i/>
        </w:rPr>
        <w:t xml:space="preserve">S. </w:t>
      </w:r>
      <w:r w:rsidRPr="00465187">
        <w:t>Typhimurium</w:t>
      </w:r>
      <w:r w:rsidRPr="00465187">
        <w:rPr>
          <w:i/>
        </w:rPr>
        <w:t xml:space="preserve"> </w:t>
      </w:r>
      <w:r w:rsidRPr="00465187">
        <w:t>strain was recovered from the rinds of 71% (15/21) of melons sampled from the centre of raised beds 43 days post inoculation. The authors attributed this to splash transference because in a trial the year before, with no rain event, only 21% (3/14) of rockmelons were contaminated 35 days post inoculation that had developed in contact with the soil in the furrows.</w:t>
      </w:r>
    </w:p>
    <w:p w14:paraId="7A97282D" w14:textId="77777777" w:rsidR="004B2589" w:rsidRPr="00465187" w:rsidRDefault="004B2589" w:rsidP="004B2589">
      <w:pPr>
        <w:pStyle w:val="ListParagraph"/>
      </w:pPr>
    </w:p>
    <w:p w14:paraId="4AB0EA66" w14:textId="77777777" w:rsidR="00210021" w:rsidRDefault="00210021">
      <w:pPr>
        <w:widowControl/>
      </w:pPr>
      <w:r>
        <w:br w:type="page"/>
      </w:r>
    </w:p>
    <w:p w14:paraId="13ED3F49" w14:textId="7201D0B7" w:rsidR="004B2589" w:rsidRPr="00465187" w:rsidRDefault="004B2589" w:rsidP="004B2589">
      <w:r w:rsidRPr="00465187">
        <w:t xml:space="preserve">The outbreak investigation following the 2018 Australian outbreak of listeriosis associated with rockmelons identified that extreme weather events including dust storms and heavy rainfall preceded the outbreak </w:t>
      </w:r>
      <w:r w:rsidR="00657FDB">
        <w:t>(NSW DPI 2018)</w:t>
      </w:r>
      <w:r w:rsidRPr="00465187">
        <w:t xml:space="preserve">. The report concluded that extreme weather events (heavy rainfall in December prior to harvest, followed by dust storms) could have been a significant contributing factor to the outbreak due to an increase of organic load and </w:t>
      </w:r>
      <w:r w:rsidRPr="00465187">
        <w:rPr>
          <w:i/>
        </w:rPr>
        <w:t xml:space="preserve">L. monocytogenes </w:t>
      </w:r>
      <w:r w:rsidRPr="00465187">
        <w:t>on the surface of rockmelons before harvest. The outbreak report stated that the combination of a 1 min</w:t>
      </w:r>
      <w:r>
        <w:t>ute</w:t>
      </w:r>
      <w:r w:rsidRPr="00465187">
        <w:t xml:space="preserve"> and 30-40</w:t>
      </w:r>
      <w:r>
        <w:t xml:space="preserve"> </w:t>
      </w:r>
      <w:r w:rsidRPr="00465187">
        <w:t>s</w:t>
      </w:r>
      <w:r>
        <w:t>econd</w:t>
      </w:r>
      <w:r w:rsidRPr="00465187">
        <w:t xml:space="preserve"> pre-wash and </w:t>
      </w:r>
      <w:r>
        <w:t>scrubbing step followed by a 35 </w:t>
      </w:r>
      <w:r w:rsidRPr="00465187">
        <w:t xml:space="preserve">second sanitising step of 100ppm chlorine sprays and scrubbing may not have been sufficient to remove all </w:t>
      </w:r>
      <w:r w:rsidRPr="00465187">
        <w:rPr>
          <w:i/>
        </w:rPr>
        <w:t xml:space="preserve">L. monocytogenes </w:t>
      </w:r>
      <w:r w:rsidRPr="00976DD2">
        <w:t xml:space="preserve">contamination </w:t>
      </w:r>
      <w:r w:rsidRPr="00465187">
        <w:t xml:space="preserve">resulting in levels high enough to cause illness in the immunocompromised. </w:t>
      </w:r>
    </w:p>
    <w:p w14:paraId="0FA18D98" w14:textId="77777777" w:rsidR="004B2589" w:rsidRPr="00465187" w:rsidRDefault="004B2589" w:rsidP="004B2589"/>
    <w:p w14:paraId="43C1AAEE" w14:textId="1C032F8E" w:rsidR="004B2589" w:rsidRDefault="004B2589" w:rsidP="004B2589">
      <w:r w:rsidRPr="00465187">
        <w:t xml:space="preserve">Given the reported limited efficacy of </w:t>
      </w:r>
      <w:r w:rsidRPr="00315A16">
        <w:t>sanitisers (</w:t>
      </w:r>
      <w:r>
        <w:t>see</w:t>
      </w:r>
      <w:r w:rsidRPr="00315A16">
        <w:rPr>
          <w:i/>
        </w:rPr>
        <w:t xml:space="preserve"> </w:t>
      </w:r>
      <w:r w:rsidRPr="00315A16">
        <w:t>Section 11.4) to remove</w:t>
      </w:r>
      <w:r w:rsidRPr="00465187">
        <w:t xml:space="preserve"> pathogens from the surface of rockmelons under optimised conditions in laboratory experiments, the presence of increased pathogen and organic matter loads from weather events in the field and the subsequent harvesting of affected fruit may present a higher risk of contamination. This may not be able to be adequately managed by the adjustment of </w:t>
      </w:r>
      <w:r>
        <w:t>postharvest</w:t>
      </w:r>
      <w:r w:rsidRPr="00465187">
        <w:t xml:space="preserve"> washing and sanitisation regimes alone.</w:t>
      </w:r>
    </w:p>
    <w:p w14:paraId="77C73477" w14:textId="77777777" w:rsidR="004B2589" w:rsidRDefault="004B2589" w:rsidP="00787E56">
      <w:pPr>
        <w:pStyle w:val="Heading3"/>
        <w:numPr>
          <w:ilvl w:val="2"/>
          <w:numId w:val="11"/>
        </w:numPr>
      </w:pPr>
      <w:bookmarkStart w:id="232" w:name="_Toc56693438"/>
      <w:bookmarkStart w:id="233" w:name="_Toc58327791"/>
      <w:bookmarkStart w:id="234" w:name="_Toc58333971"/>
      <w:bookmarkStart w:id="235" w:name="_Toc64448778"/>
      <w:bookmarkStart w:id="236" w:name="_Toc87860039"/>
      <w:r>
        <w:t>Conclusions, uncertainty, and data gaps</w:t>
      </w:r>
      <w:bookmarkEnd w:id="232"/>
      <w:bookmarkEnd w:id="233"/>
      <w:bookmarkEnd w:id="234"/>
      <w:bookmarkEnd w:id="235"/>
      <w:bookmarkEnd w:id="236"/>
    </w:p>
    <w:p w14:paraId="3034A86D" w14:textId="77777777" w:rsidR="004B2589" w:rsidRDefault="004B2589" w:rsidP="004B2589">
      <w:pPr>
        <w:rPr>
          <w:lang w:eastAsia="en-AU" w:bidi="ar-SA"/>
        </w:rPr>
      </w:pPr>
      <w:r w:rsidRPr="00FB6C16">
        <w:rPr>
          <w:i/>
          <w:lang w:eastAsia="en-AU" w:bidi="ar-SA"/>
        </w:rPr>
        <w:t>The risk factors associated with the occurrence of extreme weather events apply broadly to leafy vegetable, berry, and melon commodity sectors but may be better managed in some of the protected cropping systems.</w:t>
      </w:r>
      <w:r w:rsidRPr="00F60671">
        <w:rPr>
          <w:lang w:eastAsia="en-AU" w:bidi="ar-SA"/>
        </w:rPr>
        <w:t xml:space="preserve"> There is a low level of uncertainty and high level of confidence in this conclusion based on the general evidence for these factors to be associated with the transfer of pathogens and the available evidence for leafy vegetables, berries, and melons. </w:t>
      </w:r>
      <w:r w:rsidRPr="00F60671">
        <w:t>For viral pathogens, extreme weather events, such as flooding or heavy rain, that could transfer sewage to irrigation sources or fields are risk factors for all commodities.</w:t>
      </w:r>
    </w:p>
    <w:p w14:paraId="6F2E265A" w14:textId="77777777" w:rsidR="004B2589" w:rsidRDefault="004B2589" w:rsidP="004B2589">
      <w:pPr>
        <w:rPr>
          <w:lang w:eastAsia="en-AU" w:bidi="ar-SA"/>
        </w:rPr>
      </w:pPr>
    </w:p>
    <w:p w14:paraId="588232D8" w14:textId="77777777" w:rsidR="004B2589" w:rsidRPr="00F60671" w:rsidRDefault="004B2589" w:rsidP="004B2589">
      <w:pPr>
        <w:rPr>
          <w:lang w:eastAsia="en-AU"/>
        </w:rPr>
      </w:pPr>
      <w:r w:rsidRPr="00FB6C16">
        <w:rPr>
          <w:i/>
          <w:lang w:eastAsia="en-AU"/>
        </w:rPr>
        <w:t>Flooding, heavy rain, and dust storms represent a risk to all the commodities as they can increase the potential transfer of pathogens to the growing site or agricultural inputs.</w:t>
      </w:r>
      <w:r w:rsidRPr="0064726A">
        <w:rPr>
          <w:b/>
          <w:lang w:eastAsia="en-AU"/>
        </w:rPr>
        <w:t xml:space="preserve"> </w:t>
      </w:r>
      <w:r w:rsidRPr="00F60671">
        <w:rPr>
          <w:lang w:eastAsia="en-AU"/>
        </w:rPr>
        <w:t>There is a low level of uncertainty and high level of confidence in this conclusion based on the general evidence for these factors to be associated with the transfer of pathogens and the available evidence for leafy vegetables, berries, and melons. Depending on the level of contamination, the type of event, and the timing of events before harvest, the risk may be greater for berries, watermelons, and leafy vegetables that are not washed or sanitised after harvesting. However, high organic loads on produce can reduce the efficacy of water based sanitisers that are applied to leafy vegetables and rockmelons. This can result in a limited reduction in risk, or even possibly a risk increase if cross-contamination is facilitated due to ineffective application of washing or sanitisers. Furthermore</w:t>
      </w:r>
      <w:r>
        <w:rPr>
          <w:lang w:eastAsia="en-AU"/>
        </w:rPr>
        <w:t>,</w:t>
      </w:r>
      <w:r w:rsidRPr="00F60671">
        <w:rPr>
          <w:lang w:eastAsia="en-AU"/>
        </w:rPr>
        <w:t xml:space="preserve"> it is possible that increased surface roughness of some commodities may aid attachment of pathogens and organic matter resulting in an increased risk for those commodities. However, comparable studies describing the variation in likelihood of contamination of the different commodities as a result of certain extreme weather events and potential differences between commodities based on surface characteristics are lacking. As such, there is high uncertainty regarding how the type of extreme weather event or commodity will influence the likelihood of contamination.</w:t>
      </w:r>
    </w:p>
    <w:p w14:paraId="15E574E5" w14:textId="77777777" w:rsidR="004B2589" w:rsidRPr="00F60671" w:rsidRDefault="004B2589" w:rsidP="004B2589">
      <w:pPr>
        <w:rPr>
          <w:lang w:eastAsia="en-AU"/>
        </w:rPr>
      </w:pPr>
    </w:p>
    <w:p w14:paraId="1EC2224D" w14:textId="77777777" w:rsidR="004B2589" w:rsidRPr="00F60671" w:rsidRDefault="004B2589" w:rsidP="004B2589">
      <w:pPr>
        <w:rPr>
          <w:lang w:eastAsia="en-AU"/>
        </w:rPr>
      </w:pPr>
      <w:r w:rsidRPr="00FB6C16">
        <w:rPr>
          <w:i/>
          <w:lang w:eastAsia="en-AU"/>
        </w:rPr>
        <w:t>Extreme weather events that occur close to harvest are considered to pose an increased risk to leafy vegetables, berries and melons as pathogen levels are generally reported to decline in the primary production environment over time.</w:t>
      </w:r>
      <w:r w:rsidRPr="0064726A">
        <w:rPr>
          <w:b/>
          <w:lang w:eastAsia="en-AU"/>
        </w:rPr>
        <w:t xml:space="preserve"> </w:t>
      </w:r>
      <w:r w:rsidRPr="00F60671">
        <w:rPr>
          <w:lang w:eastAsia="en-AU"/>
        </w:rPr>
        <w:t>However, there is great variation in the reported rates of declines of various pathogens in different medi</w:t>
      </w:r>
      <w:r>
        <w:rPr>
          <w:lang w:eastAsia="en-AU"/>
        </w:rPr>
        <w:t>a</w:t>
      </w:r>
      <w:r w:rsidRPr="00F60671">
        <w:rPr>
          <w:lang w:eastAsia="en-AU"/>
        </w:rPr>
        <w:t xml:space="preserve"> such as water or soil. There is a lack of studies considering the complex interaction between environmental factors, specifically in the Australian context, and how they may influence the likelihood of contamination or influence the rate of decline of pathogens in the field following an extreme weather event. Furthermore only a small number of studies for a </w:t>
      </w:r>
      <w:r>
        <w:rPr>
          <w:lang w:eastAsia="en-AU"/>
        </w:rPr>
        <w:t>few</w:t>
      </w:r>
      <w:r w:rsidRPr="00F60671">
        <w:rPr>
          <w:lang w:eastAsia="en-AU"/>
        </w:rPr>
        <w:t xml:space="preserve"> pathogens have provided direct evidence of the potential for contamination following extreme weather events and provide limited data regarding subsequent survival on the surface of produce, soil or water that is affected. Therefore, there is a high uncertainty regarding how the length of time between a particular extreme weather event and harvest will influence the rate of decline of different pathogens in the field or on the surface of different commodities.</w:t>
      </w:r>
    </w:p>
    <w:p w14:paraId="18AAA4CA" w14:textId="77777777" w:rsidR="004B2589" w:rsidRPr="00F60671" w:rsidRDefault="004B2589" w:rsidP="004B2589">
      <w:pPr>
        <w:rPr>
          <w:lang w:eastAsia="en-AU" w:bidi="ar-SA"/>
        </w:rPr>
      </w:pPr>
    </w:p>
    <w:p w14:paraId="6580916D" w14:textId="77777777" w:rsidR="004B2589" w:rsidRPr="0064726A" w:rsidRDefault="004B2589" w:rsidP="004B2589">
      <w:pPr>
        <w:rPr>
          <w:b/>
          <w:lang w:eastAsia="en-AU"/>
        </w:rPr>
      </w:pPr>
      <w:r w:rsidRPr="00FB6C16">
        <w:rPr>
          <w:i/>
          <w:lang w:eastAsia="en-AU"/>
        </w:rPr>
        <w:t xml:space="preserve">It is also plausible that there may be potential for internalisation as a result of flooding, heavy rain, or dust storms that involve contamination at high levels and that cover or submerge </w:t>
      </w:r>
      <w:r w:rsidRPr="00EA3556">
        <w:rPr>
          <w:i/>
          <w:lang w:eastAsia="en-AU"/>
        </w:rPr>
        <w:t>substantial amounts of the commodities.</w:t>
      </w:r>
      <w:r w:rsidRPr="00EA3556">
        <w:rPr>
          <w:lang w:eastAsia="en-AU"/>
        </w:rPr>
        <w:t xml:space="preserve"> This assumption is based on extrapolating evidence discussed in sections that report the internalisation of pathogens into the edible portions of lettuce via roots (see Sections 9.5.1.1 and 9.6.1.1), internalisation via exposure to damaged areas of plants of rockmelons (see Section 9.5.1.3), or internalisation via submersion during washing for leafy vegetables and rockmelons (see Section 11.4.1). Therefore, there is high uncertainly and low confidence in this assumption as direct evidence of</w:t>
      </w:r>
      <w:r w:rsidRPr="00F60671">
        <w:rPr>
          <w:lang w:eastAsia="en-AU"/>
        </w:rPr>
        <w:t xml:space="preserve"> flooding or dust storms leading to internalisation of pathogens into the edible portions of plants is not available nor are studies that have investigated the potential. Also, there is a lack of data for spinach, parsley, watermelons and berries regarding submerged product. The internalisation of pathogens into leafy vegetables and strawberries has been reported via roots exposed </w:t>
      </w:r>
      <w:r w:rsidRPr="00F83701">
        <w:rPr>
          <w:lang w:eastAsia="en-AU"/>
        </w:rPr>
        <w:t xml:space="preserve">to contaminated irrigation water or soil, but this has not been observed for rockmelons. </w:t>
      </w:r>
    </w:p>
    <w:p w14:paraId="1057FDB5" w14:textId="77777777" w:rsidR="004B2589" w:rsidRDefault="004B2589" w:rsidP="004B2589">
      <w:pPr>
        <w:rPr>
          <w:lang w:eastAsia="en-AU" w:bidi="ar-SA"/>
        </w:rPr>
      </w:pPr>
    </w:p>
    <w:p w14:paraId="1AACCCF1" w14:textId="77777777" w:rsidR="004B2589" w:rsidRDefault="004B2589" w:rsidP="004B2589">
      <w:r w:rsidRPr="00FB6C16">
        <w:rPr>
          <w:i/>
          <w:color w:val="000000" w:themeColor="text1"/>
        </w:rPr>
        <w:t>T</w:t>
      </w:r>
      <w:r w:rsidRPr="00FB6C16">
        <w:rPr>
          <w:i/>
        </w:rPr>
        <w:t>he use of contaminated water to protect against frost has been identified as a risk factor applying to berries or other crops that employ overhead irrigation to protect against frost</w:t>
      </w:r>
      <w:r w:rsidRPr="006D62D1">
        <w:t>.</w:t>
      </w:r>
      <w:r>
        <w:t xml:space="preserve"> It is established by the preliminary evidence presented above </w:t>
      </w:r>
      <w:r w:rsidRPr="00315A16">
        <w:t>and in Section 9.6, that the</w:t>
      </w:r>
      <w:r>
        <w:t xml:space="preserve"> use of contaminated water applied to the surface of leafy greens, berries, or melons particularly close to time of harvest, will increase the risk of contamination of the edible parts of those commodities. However, there is variation and limited evidence regarding the subsequent survival, decline, or growth of pathogens on the surface of produce following the application of contaminated water, particularly in regard to freezing events.</w:t>
      </w:r>
    </w:p>
    <w:p w14:paraId="723EF843" w14:textId="77777777" w:rsidR="004B2589" w:rsidRDefault="004B2589" w:rsidP="004B2589">
      <w:pPr>
        <w:rPr>
          <w:lang w:eastAsia="en-AU" w:bidi="ar-SA"/>
        </w:rPr>
      </w:pPr>
    </w:p>
    <w:p w14:paraId="3D986D60" w14:textId="4394BDF5" w:rsidR="00286019" w:rsidRDefault="004B2589" w:rsidP="004B2589">
      <w:pPr>
        <w:rPr>
          <w:color w:val="000000" w:themeColor="text1"/>
        </w:rPr>
      </w:pPr>
      <w:r>
        <w:rPr>
          <w:color w:val="000000" w:themeColor="text1"/>
        </w:rPr>
        <w:t>P</w:t>
      </w:r>
      <w:r w:rsidRPr="00AE0D99">
        <w:rPr>
          <w:color w:val="000000" w:themeColor="text1"/>
        </w:rPr>
        <w:t xml:space="preserve">revious expert scientific reports have identified </w:t>
      </w:r>
      <w:r>
        <w:rPr>
          <w:color w:val="000000" w:themeColor="text1"/>
        </w:rPr>
        <w:t>extreme weather</w:t>
      </w:r>
      <w:r w:rsidRPr="00E767DA">
        <w:rPr>
          <w:color w:val="000000" w:themeColor="text1"/>
        </w:rPr>
        <w:t xml:space="preserve"> events</w:t>
      </w:r>
      <w:r w:rsidRPr="00AE0D99">
        <w:rPr>
          <w:color w:val="000000" w:themeColor="text1"/>
        </w:rPr>
        <w:t xml:space="preserve"> as</w:t>
      </w:r>
      <w:r>
        <w:rPr>
          <w:color w:val="000000" w:themeColor="text1"/>
        </w:rPr>
        <w:t xml:space="preserve"> important risk factors that can</w:t>
      </w:r>
      <w:r w:rsidRPr="00AE0D99">
        <w:rPr>
          <w:color w:val="000000" w:themeColor="text1"/>
        </w:rPr>
        <w:t xml:space="preserve"> contribute to microbiological contamina</w:t>
      </w:r>
      <w:r>
        <w:rPr>
          <w:color w:val="000000" w:themeColor="text1"/>
        </w:rPr>
        <w:t>tion of the in-scope commodity sectors</w:t>
      </w:r>
      <w:r w:rsidRPr="00AE0D99">
        <w:rPr>
          <w:color w:val="000000" w:themeColor="text1"/>
        </w:rPr>
        <w:t xml:space="preserve"> </w:t>
      </w:r>
      <w:r w:rsidR="00657FDB">
        <w:rPr>
          <w:color w:val="000000" w:themeColor="text1"/>
        </w:rPr>
        <w:t>(EFSA Panel on Biological Hazards 2014a, 2014b, 2014c; FAO/WHO 2008b, 2011)</w:t>
      </w:r>
      <w:r w:rsidRPr="00AE0D99">
        <w:rPr>
          <w:color w:val="000000" w:themeColor="text1"/>
        </w:rPr>
        <w:t>.</w:t>
      </w:r>
    </w:p>
    <w:p w14:paraId="16B5DDF9" w14:textId="7CA3AFA8" w:rsidR="004B2589" w:rsidRPr="00A05D91" w:rsidRDefault="004B2589" w:rsidP="00787E56">
      <w:pPr>
        <w:pStyle w:val="Heading3"/>
        <w:numPr>
          <w:ilvl w:val="2"/>
          <w:numId w:val="11"/>
        </w:numPr>
      </w:pPr>
      <w:bookmarkStart w:id="237" w:name="_Toc56693439"/>
      <w:bookmarkStart w:id="238" w:name="_Toc58327792"/>
      <w:bookmarkStart w:id="239" w:name="_Toc58333972"/>
      <w:bookmarkStart w:id="240" w:name="_Toc64448779"/>
      <w:bookmarkStart w:id="241" w:name="_Toc87860040"/>
      <w:r>
        <w:t>Mitigation measures</w:t>
      </w:r>
      <w:bookmarkEnd w:id="237"/>
      <w:bookmarkEnd w:id="238"/>
      <w:bookmarkEnd w:id="239"/>
      <w:bookmarkEnd w:id="240"/>
      <w:bookmarkEnd w:id="241"/>
    </w:p>
    <w:p w14:paraId="5A11533A" w14:textId="0CFCDD81" w:rsidR="004B2589" w:rsidRPr="00A05D91" w:rsidRDefault="004B2589" w:rsidP="004B2589">
      <w:pPr>
        <w:rPr>
          <w:lang w:eastAsia="en-AU" w:bidi="ar-SA"/>
        </w:rPr>
      </w:pPr>
      <w:r>
        <w:rPr>
          <w:lang w:eastAsia="en-AU" w:bidi="ar-SA"/>
        </w:rPr>
        <w:t>D</w:t>
      </w:r>
      <w:r w:rsidRPr="00A05D91">
        <w:rPr>
          <w:lang w:eastAsia="en-AU" w:bidi="ar-SA"/>
        </w:rPr>
        <w:t>iffering recommendations are provided regarding how commodities affected by flooding</w:t>
      </w:r>
      <w:r w:rsidRPr="00A05D91">
        <w:rPr>
          <w:vertAlign w:val="superscript"/>
          <w:lang w:eastAsia="en-AU" w:bidi="ar-SA"/>
        </w:rPr>
        <w:footnoteReference w:id="15"/>
      </w:r>
      <w:r w:rsidRPr="00A05D91">
        <w:rPr>
          <w:lang w:eastAsia="en-AU" w:bidi="ar-SA"/>
        </w:rPr>
        <w:t xml:space="preserve"> should be handled following the event. Extreme weather events that occur close to harvest are considered the greatest risk, as pathogen levels have generally been reported to decline in the primary production environment over time. However, rates of decline can vary between pathogens and inputs such as soil or water </w:t>
      </w:r>
      <w:r w:rsidR="00657FDB">
        <w:rPr>
          <w:lang w:eastAsia="en-AU" w:bidi="ar-SA"/>
        </w:rPr>
        <w:t>(Castro-Ibáñez et al. 2015; EFSA Panel on Biological Hazards 2014a; Won et al. 2013b)</w:t>
      </w:r>
      <w:r w:rsidRPr="00A05D91">
        <w:rPr>
          <w:lang w:eastAsia="en-AU" w:bidi="ar-SA"/>
        </w:rPr>
        <w:t>. This provides some evidence for recommendations that specify that, if a flood event affects the edible parts of fresh fruit and vegetables within a specified time before harvest, the produce should not be consumed as raw product.</w:t>
      </w:r>
    </w:p>
    <w:p w14:paraId="65B2B3A1" w14:textId="77777777" w:rsidR="004B2589" w:rsidRPr="00A05D91" w:rsidRDefault="004B2589" w:rsidP="004B2589">
      <w:pPr>
        <w:rPr>
          <w:lang w:eastAsia="en-AU" w:bidi="ar-SA"/>
        </w:rPr>
      </w:pPr>
    </w:p>
    <w:p w14:paraId="13A22658" w14:textId="3C1B02D4" w:rsidR="004B2589" w:rsidRDefault="004B2589" w:rsidP="004B2589">
      <w:pPr>
        <w:rPr>
          <w:lang w:eastAsia="en-AU" w:bidi="ar-SA"/>
        </w:rPr>
      </w:pPr>
      <w:r w:rsidRPr="00A05D91">
        <w:rPr>
          <w:lang w:eastAsia="en-AU" w:bidi="ar-SA"/>
        </w:rPr>
        <w:t xml:space="preserve">Some recommendations specify testing of affected produce and enhancing </w:t>
      </w:r>
      <w:r>
        <w:rPr>
          <w:lang w:eastAsia="en-AU" w:bidi="ar-SA"/>
        </w:rPr>
        <w:t>postharvest</w:t>
      </w:r>
      <w:r w:rsidRPr="00A05D91">
        <w:rPr>
          <w:lang w:eastAsia="en-AU" w:bidi="ar-SA"/>
        </w:rPr>
        <w:t xml:space="preserve"> washing or sanitisation. However, the use of sanitisers and washing alone to ensure product safety after these events </w:t>
      </w:r>
      <w:r>
        <w:rPr>
          <w:lang w:eastAsia="en-AU" w:bidi="ar-SA"/>
        </w:rPr>
        <w:t>is not recommended</w:t>
      </w:r>
      <w:r w:rsidRPr="00A05D91">
        <w:rPr>
          <w:lang w:eastAsia="en-AU" w:bidi="ar-SA"/>
        </w:rPr>
        <w:t xml:space="preserve"> because these interventions have limited efficacy for removing pathogens from the surface of produce, and the efficacy of some </w:t>
      </w:r>
      <w:r w:rsidRPr="006855B1">
        <w:rPr>
          <w:lang w:eastAsia="en-AU" w:bidi="ar-SA"/>
        </w:rPr>
        <w:t>sanitisers can be reduced by higher organic loads that may be deposited after flooding (see Section 11.4.1). There</w:t>
      </w:r>
      <w:r w:rsidRPr="00A05D91">
        <w:rPr>
          <w:lang w:eastAsia="en-AU" w:bidi="ar-SA"/>
        </w:rPr>
        <w:t xml:space="preserve"> is no practical method to recondition the edible parts of commodities affected by floodwater that is potentially contaminated with sewage, chemicals, heavy metals, pathogenic microorganisms or other contaminants to ensure product safety </w:t>
      </w:r>
      <w:r w:rsidR="00657FDB">
        <w:rPr>
          <w:lang w:eastAsia="en-AU" w:bidi="ar-SA"/>
        </w:rPr>
        <w:t>(FDA 2011)</w:t>
      </w:r>
      <w:r w:rsidRPr="00A05D91">
        <w:rPr>
          <w:lang w:eastAsia="en-AU" w:bidi="ar-SA"/>
        </w:rPr>
        <w:t>.</w:t>
      </w:r>
    </w:p>
    <w:p w14:paraId="4EA5C54D" w14:textId="77777777" w:rsidR="004B2589" w:rsidRDefault="004B2589" w:rsidP="004B2589">
      <w:pPr>
        <w:rPr>
          <w:lang w:eastAsia="en-AU" w:bidi="ar-SA"/>
        </w:rPr>
      </w:pPr>
    </w:p>
    <w:p w14:paraId="488EF1D0" w14:textId="5CCBC834" w:rsidR="004B2589" w:rsidRDefault="004B2589" w:rsidP="00286019">
      <w:pPr>
        <w:spacing w:after="120"/>
      </w:pPr>
      <w:r>
        <w:t xml:space="preserve">In general, the mitigation recommendations provided by other agencies, organisations and peak industry bodies are similar across the in-scope commodity sectors </w:t>
      </w:r>
      <w:r w:rsidR="00657FDB">
        <w:t>(EFSA Panel on Biological Hazards 2014a, 2014b, 2014c; FAO/WHO 2008b; FPSC A-NZ 2019; IFPA et al. 2006; NSW DPI 2019)</w:t>
      </w:r>
      <w:r>
        <w:t xml:space="preserve"> and include:</w:t>
      </w:r>
    </w:p>
    <w:p w14:paraId="2EDFA669" w14:textId="77777777" w:rsidR="004B2589" w:rsidRPr="00A05D91" w:rsidRDefault="004B2589" w:rsidP="004B2589">
      <w:pPr>
        <w:numPr>
          <w:ilvl w:val="0"/>
          <w:numId w:val="29"/>
        </w:numPr>
        <w:rPr>
          <w:lang w:eastAsia="en-AU" w:bidi="ar-SA"/>
        </w:rPr>
      </w:pPr>
      <w:r w:rsidRPr="00A05D91">
        <w:rPr>
          <w:lang w:eastAsia="en-AU" w:bidi="ar-SA"/>
        </w:rPr>
        <w:t>Environmental risk assessments to be undertaken within one week of harvest to assess on-site and surrounding off-site microbial, chemical or physical factors that may affect product safety in the field</w:t>
      </w:r>
    </w:p>
    <w:p w14:paraId="54FFC88F" w14:textId="77777777" w:rsidR="004B2589" w:rsidRPr="00A05D91" w:rsidRDefault="004B2589" w:rsidP="004B2589">
      <w:pPr>
        <w:numPr>
          <w:ilvl w:val="0"/>
          <w:numId w:val="29"/>
        </w:numPr>
        <w:rPr>
          <w:lang w:eastAsia="en-AU" w:bidi="ar-SA"/>
        </w:rPr>
      </w:pPr>
      <w:r w:rsidRPr="00A05D91">
        <w:rPr>
          <w:lang w:eastAsia="en-AU" w:bidi="ar-SA"/>
        </w:rPr>
        <w:t>Include extreme weather events and damage t</w:t>
      </w:r>
      <w:r>
        <w:rPr>
          <w:lang w:eastAsia="en-AU" w:bidi="ar-SA"/>
        </w:rPr>
        <w:t>o crops in preplanting and pre</w:t>
      </w:r>
      <w:r w:rsidRPr="00A05D91">
        <w:rPr>
          <w:lang w:eastAsia="en-AU" w:bidi="ar-SA"/>
        </w:rPr>
        <w:t>harvest risk assessments, and include factors that may affect subsequent washing and sanitisation efficacy, such as increased organic loads from flood, dust/soil or damaged produce</w:t>
      </w:r>
    </w:p>
    <w:p w14:paraId="73BDFB8D" w14:textId="77777777" w:rsidR="004B2589" w:rsidRPr="00A05D91" w:rsidRDefault="004B2589" w:rsidP="004B2589">
      <w:pPr>
        <w:numPr>
          <w:ilvl w:val="0"/>
          <w:numId w:val="29"/>
        </w:numPr>
        <w:rPr>
          <w:lang w:eastAsia="en-AU" w:bidi="ar-SA"/>
        </w:rPr>
      </w:pPr>
      <w:r w:rsidRPr="00A05D91">
        <w:rPr>
          <w:lang w:eastAsia="en-AU" w:bidi="ar-SA"/>
        </w:rPr>
        <w:t>Ensure good drainage of fields and use wind breaks where possible</w:t>
      </w:r>
    </w:p>
    <w:p w14:paraId="5EE2C210" w14:textId="2D5E90D3" w:rsidR="00286019" w:rsidRDefault="004B2589" w:rsidP="004B2589">
      <w:pPr>
        <w:numPr>
          <w:ilvl w:val="0"/>
          <w:numId w:val="29"/>
        </w:numPr>
        <w:rPr>
          <w:lang w:eastAsia="en-AU" w:bidi="ar-SA"/>
        </w:rPr>
      </w:pPr>
      <w:r w:rsidRPr="00A05D91">
        <w:rPr>
          <w:lang w:eastAsia="en-AU" w:bidi="ar-SA"/>
        </w:rPr>
        <w:t>Limit cross-contamination via equipment or personnel between affected and non</w:t>
      </w:r>
      <w:r w:rsidRPr="00A05D91">
        <w:rPr>
          <w:lang w:eastAsia="en-AU" w:bidi="ar-SA"/>
        </w:rPr>
        <w:noBreakHyphen/>
        <w:t>affected fields</w:t>
      </w:r>
      <w:r w:rsidR="00FA4F4A">
        <w:rPr>
          <w:lang w:eastAsia="en-AU" w:bidi="ar-SA"/>
        </w:rPr>
        <w:t>.</w:t>
      </w:r>
    </w:p>
    <w:p w14:paraId="5A6835C0" w14:textId="6069C4BF" w:rsidR="004B2589" w:rsidRPr="00A05D91" w:rsidRDefault="004B2589" w:rsidP="00286019">
      <w:pPr>
        <w:ind w:left="720"/>
        <w:rPr>
          <w:lang w:eastAsia="en-AU" w:bidi="ar-SA"/>
        </w:rPr>
      </w:pPr>
    </w:p>
    <w:p w14:paraId="1D86CA41" w14:textId="77777777" w:rsidR="004B2589" w:rsidRPr="00A05D91" w:rsidRDefault="004B2589" w:rsidP="00286019">
      <w:pPr>
        <w:spacing w:after="120"/>
        <w:rPr>
          <w:lang w:eastAsia="en-AU" w:bidi="ar-SA"/>
        </w:rPr>
      </w:pPr>
      <w:r w:rsidRPr="00A05D91">
        <w:rPr>
          <w:lang w:eastAsia="en-AU" w:bidi="ar-SA"/>
        </w:rPr>
        <w:t>Differing recommendations have been provided regarding produce handling after flooding:</w:t>
      </w:r>
    </w:p>
    <w:p w14:paraId="5709D795" w14:textId="6E22BE57" w:rsidR="004B2589" w:rsidRPr="00A05D91" w:rsidRDefault="004B2589" w:rsidP="004B2589">
      <w:pPr>
        <w:numPr>
          <w:ilvl w:val="0"/>
          <w:numId w:val="23"/>
        </w:numPr>
        <w:rPr>
          <w:lang w:eastAsia="en-AU" w:bidi="ar-SA"/>
        </w:rPr>
      </w:pPr>
      <w:r w:rsidRPr="00A05D91">
        <w:rPr>
          <w:lang w:eastAsia="en-AU" w:bidi="ar-SA"/>
        </w:rPr>
        <w:t xml:space="preserve">The Queensland Government advises that, if flooding or heavy rain occur, the harvest of melons and cucurbits should be postponed and decisions made regarding the need for enhanced </w:t>
      </w:r>
      <w:r>
        <w:rPr>
          <w:lang w:eastAsia="en-AU" w:bidi="ar-SA"/>
        </w:rPr>
        <w:t>postharvest</w:t>
      </w:r>
      <w:r w:rsidRPr="00A05D91">
        <w:rPr>
          <w:lang w:eastAsia="en-AU" w:bidi="ar-SA"/>
        </w:rPr>
        <w:t xml:space="preserve"> washing or sanitisation </w:t>
      </w:r>
      <w:r w:rsidR="00657FDB">
        <w:rPr>
          <w:lang w:eastAsia="en-AU" w:bidi="ar-SA"/>
        </w:rPr>
        <w:t>(DAF QLD 2016)</w:t>
      </w:r>
    </w:p>
    <w:p w14:paraId="2FA06345" w14:textId="6EBEBC02" w:rsidR="004B2589" w:rsidRPr="00A05D91" w:rsidRDefault="004B2589" w:rsidP="004B2589">
      <w:pPr>
        <w:numPr>
          <w:ilvl w:val="0"/>
          <w:numId w:val="23"/>
        </w:numPr>
        <w:rPr>
          <w:lang w:eastAsia="en-AU" w:bidi="ar-SA"/>
        </w:rPr>
      </w:pPr>
      <w:r w:rsidRPr="00A05D91">
        <w:rPr>
          <w:lang w:eastAsia="en-AU" w:bidi="ar-SA"/>
        </w:rPr>
        <w:t xml:space="preserve">The Fresh Produce Safety Centre Australia &amp; New Zealand’s </w:t>
      </w:r>
      <w:r w:rsidRPr="00A05D91">
        <w:rPr>
          <w:i/>
          <w:lang w:eastAsia="en-AU" w:bidi="ar-SA"/>
        </w:rPr>
        <w:t>Guidelines for Fresh Produce Food Safety 2019</w:t>
      </w:r>
      <w:r w:rsidRPr="00A05D91">
        <w:rPr>
          <w:lang w:eastAsia="en-AU" w:bidi="ar-SA"/>
        </w:rPr>
        <w:t xml:space="preserve"> recommend testing and use of a pathogen reduction treatment (e.g. washing with sanitiser) </w:t>
      </w:r>
      <w:r>
        <w:rPr>
          <w:lang w:eastAsia="en-AU" w:bidi="ar-SA"/>
        </w:rPr>
        <w:t>postharvest</w:t>
      </w:r>
      <w:r w:rsidRPr="00A05D91">
        <w:rPr>
          <w:lang w:eastAsia="en-AU" w:bidi="ar-SA"/>
        </w:rPr>
        <w:t xml:space="preserve"> if flood water contacts the harvestable part of produce </w:t>
      </w:r>
      <w:r w:rsidR="00657FDB">
        <w:rPr>
          <w:lang w:eastAsia="en-AU" w:bidi="ar-SA"/>
        </w:rPr>
        <w:t>(FPSC A-NZ 2019)</w:t>
      </w:r>
    </w:p>
    <w:p w14:paraId="370D1660" w14:textId="0AB5FA93" w:rsidR="004B2589" w:rsidRPr="00A05D91" w:rsidRDefault="004B2589" w:rsidP="004B2589">
      <w:pPr>
        <w:numPr>
          <w:ilvl w:val="0"/>
          <w:numId w:val="23"/>
        </w:numPr>
        <w:rPr>
          <w:lang w:eastAsia="en-AU" w:bidi="ar-SA"/>
        </w:rPr>
      </w:pPr>
      <w:r w:rsidRPr="00A05D91">
        <w:rPr>
          <w:lang w:eastAsia="en-AU" w:bidi="ar-SA"/>
        </w:rPr>
        <w:t xml:space="preserve">The FDA’s Guidance for Industry: </w:t>
      </w:r>
      <w:r w:rsidRPr="00A05D91">
        <w:rPr>
          <w:i/>
          <w:lang w:eastAsia="en-AU" w:bidi="ar-SA"/>
        </w:rPr>
        <w:t>Evaluating the Safety of Flood-affected Food Crops for Human Consumption 2011</w:t>
      </w:r>
      <w:r w:rsidRPr="00A05D91">
        <w:rPr>
          <w:lang w:eastAsia="en-AU" w:bidi="ar-SA"/>
        </w:rPr>
        <w:t xml:space="preserve"> </w:t>
      </w:r>
      <w:r w:rsidR="00657FDB">
        <w:rPr>
          <w:lang w:eastAsia="en-AU" w:bidi="ar-SA"/>
        </w:rPr>
        <w:t>(FDA 2011)</w:t>
      </w:r>
      <w:r w:rsidRPr="00A05D91">
        <w:rPr>
          <w:lang w:eastAsia="en-AU" w:bidi="ar-SA"/>
        </w:rPr>
        <w:t xml:space="preserve"> states:</w:t>
      </w:r>
    </w:p>
    <w:p w14:paraId="0C201F38" w14:textId="77777777" w:rsidR="004B2589" w:rsidRPr="00A05D91" w:rsidRDefault="004B2589" w:rsidP="004B2589">
      <w:pPr>
        <w:ind w:left="720"/>
        <w:rPr>
          <w:lang w:eastAsia="en-AU" w:bidi="ar-SA"/>
        </w:rPr>
      </w:pPr>
      <w:r w:rsidRPr="00A05D91">
        <w:rPr>
          <w:i/>
          <w:lang w:eastAsia="en-AU" w:bidi="ar-SA"/>
        </w:rPr>
        <w:t>‘If the edible portion of a crop is exposed to flood waters, it is considered adulterated under section 402(a)(4) (21 U.S.C. 342(a)(4)) of the Federal Food, Drug, and Cosmetic Act and should not enter human food channels. There is no practical method of reconditioning the edible portion of a crop that will provide a reasonable assurance of human food safety. Therefore, the FDA recommends that these crops be disposed of in a manner that ensures they are kept separate from crops that have not been flood damaged to avoid adulterating "clean" crops’</w:t>
      </w:r>
      <w:r w:rsidRPr="00A05D91">
        <w:rPr>
          <w:lang w:eastAsia="en-AU" w:bidi="ar-SA"/>
        </w:rPr>
        <w:t>.</w:t>
      </w:r>
    </w:p>
    <w:p w14:paraId="475A5F9D" w14:textId="7AB1209F" w:rsidR="004B2589" w:rsidRPr="00A05D91" w:rsidRDefault="004B2589" w:rsidP="004B2589">
      <w:pPr>
        <w:ind w:left="720"/>
        <w:rPr>
          <w:lang w:eastAsia="en-AU" w:bidi="ar-SA"/>
        </w:rPr>
      </w:pPr>
      <w:r w:rsidRPr="00A05D91">
        <w:rPr>
          <w:lang w:eastAsia="en-AU" w:bidi="ar-SA"/>
        </w:rPr>
        <w:t xml:space="preserve">For crops in which the flood waters did not contact the edible portion of the crops, the FDA recommends that growers should evaluate the safety of the crops for human consumption </w:t>
      </w:r>
      <w:r w:rsidR="00657FDB">
        <w:rPr>
          <w:lang w:eastAsia="en-AU" w:bidi="ar-SA"/>
        </w:rPr>
        <w:t>(FDA 2011)</w:t>
      </w:r>
    </w:p>
    <w:p w14:paraId="7112F3AE" w14:textId="77777777" w:rsidR="004B2589" w:rsidRPr="00A05D91" w:rsidRDefault="004B2589" w:rsidP="004B2589">
      <w:pPr>
        <w:numPr>
          <w:ilvl w:val="0"/>
          <w:numId w:val="23"/>
        </w:numPr>
        <w:rPr>
          <w:lang w:eastAsia="en-AU" w:bidi="ar-SA"/>
        </w:rPr>
      </w:pPr>
      <w:r w:rsidRPr="00A05D91">
        <w:rPr>
          <w:lang w:eastAsia="en-AU" w:bidi="ar-SA"/>
        </w:rPr>
        <w:t>The European Commission recommends that:</w:t>
      </w:r>
    </w:p>
    <w:p w14:paraId="7F1B5EC1" w14:textId="355B721C" w:rsidR="004B2589" w:rsidRDefault="004B2589" w:rsidP="004B2589">
      <w:pPr>
        <w:ind w:left="720"/>
        <w:rPr>
          <w:lang w:eastAsia="en-AU" w:bidi="ar-SA"/>
        </w:rPr>
      </w:pPr>
      <w:r w:rsidRPr="00A05D91">
        <w:rPr>
          <w:i/>
          <w:lang w:eastAsia="en-AU" w:bidi="ar-SA"/>
        </w:rPr>
        <w:t xml:space="preserve">‘Fresh fruit and vegetables for which the edible part has come into contact with flood waters close to harvest (less than two weeks) should not be consumed as raw product. If the flooding event takes place more than two weeks before harvest or if these products are processed, a case-by-case (site-specific) risk assessment should be performed’ </w:t>
      </w:r>
      <w:r w:rsidR="00657FDB">
        <w:rPr>
          <w:lang w:eastAsia="en-AU" w:bidi="ar-SA"/>
        </w:rPr>
        <w:t>(European Commission 2017)</w:t>
      </w:r>
      <w:r w:rsidRPr="00A05D91">
        <w:rPr>
          <w:lang w:eastAsia="en-AU" w:bidi="ar-SA"/>
        </w:rPr>
        <w:t>.</w:t>
      </w:r>
    </w:p>
    <w:p w14:paraId="10356694" w14:textId="77777777" w:rsidR="00EC19BD" w:rsidRPr="00A05D91" w:rsidRDefault="00EC19BD" w:rsidP="004B2589">
      <w:pPr>
        <w:ind w:left="720"/>
        <w:rPr>
          <w:i/>
          <w:lang w:eastAsia="en-AU" w:bidi="ar-SA"/>
        </w:rPr>
      </w:pPr>
    </w:p>
    <w:p w14:paraId="571BA9B4" w14:textId="77777777" w:rsidR="004B2589" w:rsidRPr="00DF1A2B" w:rsidRDefault="004B2589" w:rsidP="004B2589">
      <w:pPr>
        <w:pStyle w:val="Heading2"/>
        <w:numPr>
          <w:ilvl w:val="1"/>
          <w:numId w:val="11"/>
        </w:numPr>
      </w:pPr>
      <w:bookmarkStart w:id="242" w:name="_Toc45275348"/>
      <w:bookmarkStart w:id="243" w:name="_Toc56693440"/>
      <w:bookmarkStart w:id="244" w:name="_Toc58327793"/>
      <w:bookmarkStart w:id="245" w:name="_Toc58333973"/>
      <w:bookmarkStart w:id="246" w:name="_Toc64448780"/>
      <w:bookmarkStart w:id="247" w:name="_Toc87860041"/>
      <w:r w:rsidRPr="00DF1A2B">
        <w:t>Seeds and seedlings</w:t>
      </w:r>
      <w:bookmarkEnd w:id="242"/>
      <w:bookmarkEnd w:id="243"/>
      <w:bookmarkEnd w:id="244"/>
      <w:bookmarkEnd w:id="245"/>
      <w:bookmarkEnd w:id="246"/>
      <w:bookmarkEnd w:id="247"/>
      <w:r w:rsidRPr="00DF1A2B">
        <w:t xml:space="preserve"> </w:t>
      </w:r>
    </w:p>
    <w:p w14:paraId="5B4A4531" w14:textId="2FC1FE5A" w:rsidR="004B2589" w:rsidRPr="00DF1A2B" w:rsidRDefault="004B2589" w:rsidP="004B2589">
      <w:pPr>
        <w:rPr>
          <w:lang w:eastAsia="en-AU" w:bidi="ar-SA"/>
        </w:rPr>
      </w:pPr>
      <w:r w:rsidRPr="00DF1A2B">
        <w:rPr>
          <w:lang w:eastAsia="en-AU" w:bidi="ar-SA"/>
        </w:rPr>
        <w:t xml:space="preserve">Seeds or seedlings can be acquired on or off farm from a variety of sources. If seeds or seedlings are contaminated this can lead to the introduction of contamination to a farm, retention of the contaminant by the seed/plant and potential transfer to the final produce </w:t>
      </w:r>
      <w:r w:rsidR="00657FDB">
        <w:rPr>
          <w:lang w:eastAsia="en-AU" w:bidi="ar-SA"/>
        </w:rPr>
        <w:t>(FAO/WHO 2008b)</w:t>
      </w:r>
      <w:r w:rsidRPr="00DF1A2B">
        <w:rPr>
          <w:lang w:eastAsia="en-AU" w:bidi="ar-SA"/>
        </w:rPr>
        <w:t>.</w:t>
      </w:r>
    </w:p>
    <w:p w14:paraId="4B4D4ABB" w14:textId="77777777" w:rsidR="004B2589" w:rsidRPr="00DF1A2B" w:rsidRDefault="004B2589" w:rsidP="00787E56">
      <w:pPr>
        <w:pStyle w:val="Heading3"/>
        <w:numPr>
          <w:ilvl w:val="2"/>
          <w:numId w:val="11"/>
        </w:numPr>
      </w:pPr>
      <w:bookmarkStart w:id="248" w:name="_Toc56693441"/>
      <w:bookmarkStart w:id="249" w:name="_Toc58327794"/>
      <w:bookmarkStart w:id="250" w:name="_Toc58333974"/>
      <w:bookmarkStart w:id="251" w:name="_Toc64448781"/>
      <w:bookmarkStart w:id="252" w:name="_Toc87860042"/>
      <w:bookmarkStart w:id="253" w:name="_Toc45275350"/>
      <w:r w:rsidRPr="00DF1A2B">
        <w:t>Available data</w:t>
      </w:r>
      <w:bookmarkEnd w:id="248"/>
      <w:bookmarkEnd w:id="249"/>
      <w:bookmarkEnd w:id="250"/>
      <w:bookmarkEnd w:id="251"/>
      <w:bookmarkEnd w:id="252"/>
    </w:p>
    <w:p w14:paraId="6F38D148" w14:textId="77777777" w:rsidR="004B2589" w:rsidRDefault="004B2589" w:rsidP="004B2589">
      <w:r>
        <w:rPr>
          <w:lang w:eastAsia="en-AU" w:bidi="ar-SA"/>
        </w:rPr>
        <w:t xml:space="preserve">Sprouted seeds are frequently implicated in cases of foodborne illness and, as mentioned previously, were not included in the scope of this assessment as Standard </w:t>
      </w:r>
      <w:r>
        <w:t xml:space="preserve">4.2.6 </w:t>
      </w:r>
      <w:r w:rsidRPr="00CC177F">
        <w:rPr>
          <w:i/>
        </w:rPr>
        <w:t>Production and Processing Standard for Seed Sprouts</w:t>
      </w:r>
      <w:r>
        <w:t xml:space="preserve"> of the Code</w:t>
      </w:r>
      <w:r>
        <w:rPr>
          <w:rStyle w:val="FootnoteReference"/>
        </w:rPr>
        <w:footnoteReference w:id="16"/>
      </w:r>
      <w:r>
        <w:t xml:space="preserve"> requires sprout processors to implement effective management of inputs and limit contamination during the primary production of seed sprouts. </w:t>
      </w:r>
    </w:p>
    <w:p w14:paraId="71C19FD4" w14:textId="77777777" w:rsidR="004B2589" w:rsidRDefault="004B2589" w:rsidP="004B2589"/>
    <w:p w14:paraId="2C1D7EC7" w14:textId="77C39598" w:rsidR="004B2589" w:rsidRDefault="004B2589" w:rsidP="004B2589">
      <w:pPr>
        <w:rPr>
          <w:rFonts w:cs="Arial"/>
          <w:szCs w:val="22"/>
        </w:rPr>
      </w:pPr>
      <w:r>
        <w:t xml:space="preserve">The introduction of Standard 4.2.6 was supported by evidence that </w:t>
      </w:r>
      <w:r w:rsidRPr="00547371">
        <w:rPr>
          <w:rFonts w:cs="Arial"/>
          <w:szCs w:val="22"/>
        </w:rPr>
        <w:t xml:space="preserve">demonstrated the growth of </w:t>
      </w:r>
      <w:r w:rsidRPr="00547371">
        <w:rPr>
          <w:rFonts w:cs="Arial"/>
          <w:i/>
          <w:szCs w:val="22"/>
        </w:rPr>
        <w:t>Salmonella</w:t>
      </w:r>
      <w:r w:rsidRPr="00547371">
        <w:rPr>
          <w:rFonts w:cs="Arial"/>
          <w:szCs w:val="22"/>
        </w:rPr>
        <w:t xml:space="preserve"> </w:t>
      </w:r>
      <w:r>
        <w:rPr>
          <w:rFonts w:cs="Arial"/>
          <w:szCs w:val="22"/>
        </w:rPr>
        <w:t xml:space="preserve">spp. </w:t>
      </w:r>
      <w:r w:rsidRPr="00547371">
        <w:rPr>
          <w:rFonts w:cs="Arial"/>
          <w:szCs w:val="22"/>
        </w:rPr>
        <w:t xml:space="preserve">and </w:t>
      </w:r>
      <w:r w:rsidRPr="00547371">
        <w:rPr>
          <w:rFonts w:cs="Arial"/>
          <w:i/>
          <w:szCs w:val="22"/>
        </w:rPr>
        <w:t>E. coli</w:t>
      </w:r>
      <w:r w:rsidRPr="00547371">
        <w:rPr>
          <w:rFonts w:cs="Arial"/>
          <w:szCs w:val="22"/>
        </w:rPr>
        <w:t xml:space="preserve"> O157:H7</w:t>
      </w:r>
      <w:r>
        <w:rPr>
          <w:rFonts w:cs="Arial"/>
          <w:szCs w:val="22"/>
        </w:rPr>
        <w:t xml:space="preserve"> during the germinating process of sprout seeds </w:t>
      </w:r>
      <w:r w:rsidR="00657FDB">
        <w:rPr>
          <w:rFonts w:cs="Arial"/>
          <w:szCs w:val="22"/>
        </w:rPr>
        <w:t>(Charkowski et al. 2002; Fu et al. 2008; Gandhi et al. 2001; Howard and Hutcheson 2003; Liao 2008; Liu and Schaffner 2007; Montville and Schaffner 2005; Palmai and Buchanan 2002; Pao et al. 2005; Stewart et al. 2001a; Stewart et al. 2001b)</w:t>
      </w:r>
      <w:r>
        <w:rPr>
          <w:rFonts w:cs="Arial"/>
          <w:szCs w:val="22"/>
        </w:rPr>
        <w:t>. S</w:t>
      </w:r>
      <w:r w:rsidRPr="00547371">
        <w:rPr>
          <w:rFonts w:cs="Arial"/>
          <w:szCs w:val="22"/>
        </w:rPr>
        <w:t xml:space="preserve">tudies </w:t>
      </w:r>
      <w:r>
        <w:rPr>
          <w:rFonts w:cs="Arial"/>
          <w:szCs w:val="22"/>
        </w:rPr>
        <w:t>have also reported</w:t>
      </w:r>
      <w:r w:rsidRPr="00547371">
        <w:rPr>
          <w:rFonts w:cs="Arial"/>
          <w:szCs w:val="22"/>
        </w:rPr>
        <w:t xml:space="preserve"> that </w:t>
      </w:r>
      <w:r w:rsidRPr="00547371">
        <w:rPr>
          <w:rFonts w:cs="Arial"/>
          <w:i/>
          <w:szCs w:val="22"/>
        </w:rPr>
        <w:t>Salmonella</w:t>
      </w:r>
      <w:r w:rsidRPr="00547371">
        <w:rPr>
          <w:rFonts w:cs="Arial"/>
          <w:szCs w:val="22"/>
        </w:rPr>
        <w:t xml:space="preserve"> spp. and </w:t>
      </w:r>
      <w:r w:rsidRPr="00547371">
        <w:rPr>
          <w:rFonts w:cs="Arial"/>
          <w:i/>
          <w:szCs w:val="22"/>
        </w:rPr>
        <w:t>E. coli</w:t>
      </w:r>
      <w:r w:rsidRPr="00547371">
        <w:rPr>
          <w:rFonts w:cs="Arial"/>
          <w:szCs w:val="22"/>
        </w:rPr>
        <w:t xml:space="preserve"> O157:H7 can become internalised in the tissue of seed sprouts during germination</w:t>
      </w:r>
      <w:r>
        <w:rPr>
          <w:rFonts w:cs="Arial"/>
          <w:szCs w:val="22"/>
        </w:rPr>
        <w:t xml:space="preserve"> </w:t>
      </w:r>
      <w:r w:rsidR="00657FDB">
        <w:rPr>
          <w:rFonts w:cs="Arial"/>
          <w:szCs w:val="22"/>
        </w:rPr>
        <w:t>(Warriner et al. 2003)</w:t>
      </w:r>
      <w:r>
        <w:rPr>
          <w:rFonts w:cs="Arial"/>
          <w:szCs w:val="22"/>
        </w:rPr>
        <w:t xml:space="preserve">, and that biofilms could form on the sprout surface </w:t>
      </w:r>
      <w:r w:rsidR="00657FDB">
        <w:rPr>
          <w:rFonts w:cs="Arial"/>
          <w:szCs w:val="22"/>
        </w:rPr>
        <w:t>(Fett 2000; Fett and Cooke 2003; Warriner et al. 2003)</w:t>
      </w:r>
      <w:r>
        <w:rPr>
          <w:rFonts w:cs="Arial"/>
          <w:szCs w:val="22"/>
        </w:rPr>
        <w:t xml:space="preserve">. Moreover several studies </w:t>
      </w:r>
      <w:r w:rsidRPr="00547371">
        <w:rPr>
          <w:rFonts w:cs="Arial"/>
          <w:szCs w:val="22"/>
        </w:rPr>
        <w:t>have shown that levels of bacterial pathogens in spent irrigation water during the germinating process is strongly correlated to levels found in the contaminated seed sprouts</w:t>
      </w:r>
      <w:r>
        <w:rPr>
          <w:rFonts w:cs="Arial"/>
          <w:szCs w:val="22"/>
        </w:rPr>
        <w:t xml:space="preserve"> </w:t>
      </w:r>
      <w:r w:rsidR="00657FDB">
        <w:rPr>
          <w:rFonts w:cs="Arial"/>
          <w:szCs w:val="22"/>
        </w:rPr>
        <w:t>(Howard and Hutcheson 2003; Johnston et al. 2005b; Liu and Schaffner 2007; Stewart et al. 2001b)</w:t>
      </w:r>
      <w:r>
        <w:rPr>
          <w:rFonts w:cs="Arial"/>
          <w:szCs w:val="22"/>
        </w:rPr>
        <w:t>. Although care must be taken in extrapolating outcomes regarding the contamination of seed sprouts to other fresh produce, this indicates areas of potential concern for other crops raised from seeds and seedlings.</w:t>
      </w:r>
    </w:p>
    <w:p w14:paraId="02956E64" w14:textId="77777777" w:rsidR="004B2589" w:rsidRDefault="004B2589" w:rsidP="004B2589">
      <w:pPr>
        <w:rPr>
          <w:rFonts w:cs="Arial"/>
          <w:szCs w:val="22"/>
        </w:rPr>
      </w:pPr>
    </w:p>
    <w:p w14:paraId="39B89A7E" w14:textId="2E0F7177" w:rsidR="00286019" w:rsidRDefault="004B2589" w:rsidP="004B2589">
      <w:pPr>
        <w:rPr>
          <w:rFonts w:cs="Arial"/>
          <w:szCs w:val="22"/>
        </w:rPr>
      </w:pPr>
      <w:r>
        <w:rPr>
          <w:rFonts w:cs="Arial"/>
          <w:szCs w:val="22"/>
        </w:rPr>
        <w:t>The available data for the in-scope commodities is summarised below.</w:t>
      </w:r>
    </w:p>
    <w:bookmarkEnd w:id="253"/>
    <w:p w14:paraId="7A0B9509" w14:textId="77777777" w:rsidR="004B2589" w:rsidRDefault="004B2589" w:rsidP="004B2589">
      <w:pPr>
        <w:pStyle w:val="Heading4"/>
        <w:numPr>
          <w:ilvl w:val="3"/>
          <w:numId w:val="11"/>
        </w:numPr>
      </w:pPr>
      <w:r>
        <w:t>Leafy vegetables</w:t>
      </w:r>
    </w:p>
    <w:p w14:paraId="29617321" w14:textId="77777777" w:rsidR="004B2589" w:rsidRDefault="004B2589" w:rsidP="004B2589">
      <w:pPr>
        <w:rPr>
          <w:lang w:bidi="ar-SA"/>
        </w:rPr>
      </w:pPr>
      <w:r>
        <w:rPr>
          <w:lang w:bidi="ar-SA"/>
        </w:rPr>
        <w:t>The production of seeds for leafy vegetables generally occurs in agricultural areas and involves the use of various agricultural inputs. Seeds are generally sowed directly into the soil, but the use of transplanted seedlings is also practiced by the industry. Seedlings are generally produced in greenhouses or tunnels. If exposed to contaminated inputs, seeds and seedlings maybe contaminated by microbial pathogens.</w:t>
      </w:r>
    </w:p>
    <w:p w14:paraId="1A8A9261" w14:textId="77777777" w:rsidR="004B2589" w:rsidRDefault="004B2589" w:rsidP="004B2589">
      <w:pPr>
        <w:rPr>
          <w:lang w:bidi="ar-SA"/>
        </w:rPr>
      </w:pPr>
    </w:p>
    <w:p w14:paraId="511E6176" w14:textId="77777777" w:rsidR="004B2589" w:rsidRDefault="004B2589" w:rsidP="004B2589">
      <w:r>
        <w:rPr>
          <w:lang w:bidi="ar-SA"/>
        </w:rPr>
        <w:t>T</w:t>
      </w:r>
      <w:r w:rsidRPr="00165742">
        <w:rPr>
          <w:lang w:bidi="ar-SA"/>
        </w:rPr>
        <w:t>here is little information available about the prevalence and levels of pathogen</w:t>
      </w:r>
      <w:r>
        <w:rPr>
          <w:lang w:bidi="ar-SA"/>
        </w:rPr>
        <w:t>s on</w:t>
      </w:r>
      <w:r w:rsidRPr="00165742">
        <w:rPr>
          <w:lang w:bidi="ar-SA"/>
        </w:rPr>
        <w:t xml:space="preserve"> naturally contaminated </w:t>
      </w:r>
      <w:r w:rsidRPr="00461FE8">
        <w:rPr>
          <w:lang w:bidi="ar-SA"/>
        </w:rPr>
        <w:t xml:space="preserve">seeds </w:t>
      </w:r>
      <w:r w:rsidRPr="00461FE8">
        <w:t>of leafy vegetables.</w:t>
      </w:r>
      <w:r w:rsidRPr="00461FE8">
        <w:rPr>
          <w:lang w:bidi="ar-SA"/>
        </w:rPr>
        <w:t xml:space="preserve"> </w:t>
      </w:r>
      <w:r w:rsidRPr="00461FE8">
        <w:t xml:space="preserve">In greenhouse and growth chamber experiments it has been found that pathogens </w:t>
      </w:r>
      <w:r>
        <w:t>can bind strongly to</w:t>
      </w:r>
      <w:r w:rsidRPr="00461FE8">
        <w:t xml:space="preserve"> seeds of leafy vegetables</w:t>
      </w:r>
      <w:r>
        <w:t>;</w:t>
      </w:r>
      <w:r w:rsidRPr="00461FE8">
        <w:t xml:space="preserve"> can persist through prolonged periods of seed storage</w:t>
      </w:r>
      <w:r>
        <w:t xml:space="preserve">; and, in some instances, can </w:t>
      </w:r>
      <w:r w:rsidRPr="00461FE8">
        <w:t>colonise internal tissues and the surface of seedlings</w:t>
      </w:r>
      <w:r>
        <w:t xml:space="preserve"> during germination and early seedling growth.</w:t>
      </w:r>
    </w:p>
    <w:p w14:paraId="158DDDFC" w14:textId="77777777" w:rsidR="004B2589" w:rsidRDefault="004B2589" w:rsidP="004B2589"/>
    <w:p w14:paraId="7E89D885" w14:textId="4D9C6DA9" w:rsidR="004B2589" w:rsidRDefault="00657FDB" w:rsidP="004B2589">
      <w:pPr>
        <w:rPr>
          <w:lang w:bidi="ar-SA"/>
        </w:rPr>
      </w:pPr>
      <w:r>
        <w:t>Cui et al.</w:t>
      </w:r>
      <w:r w:rsidR="004B2589">
        <w:t xml:space="preserve"> </w:t>
      </w:r>
      <w:r>
        <w:t>(2017)</w:t>
      </w:r>
      <w:r w:rsidR="004B2589">
        <w:t xml:space="preserve"> found that the attachment of </w:t>
      </w:r>
      <w:r w:rsidR="004B2589" w:rsidRPr="00C04F0A">
        <w:rPr>
          <w:lang w:bidi="ar-SA"/>
        </w:rPr>
        <w:t xml:space="preserve">selected </w:t>
      </w:r>
      <w:r w:rsidR="004B2589" w:rsidRPr="008C670E">
        <w:rPr>
          <w:i/>
          <w:lang w:bidi="ar-SA"/>
        </w:rPr>
        <w:t xml:space="preserve">Salmonella </w:t>
      </w:r>
      <w:r w:rsidR="004B2589">
        <w:rPr>
          <w:lang w:bidi="ar-SA"/>
        </w:rPr>
        <w:t xml:space="preserve">spp. </w:t>
      </w:r>
      <w:r w:rsidR="004B2589" w:rsidRPr="00C04F0A">
        <w:rPr>
          <w:lang w:bidi="ar-SA"/>
        </w:rPr>
        <w:t xml:space="preserve">and </w:t>
      </w:r>
      <w:r w:rsidR="004B2589">
        <w:rPr>
          <w:lang w:bidi="ar-SA"/>
        </w:rPr>
        <w:t>EHEC</w:t>
      </w:r>
      <w:r w:rsidR="004B2589" w:rsidRPr="00C04F0A">
        <w:rPr>
          <w:lang w:bidi="ar-SA"/>
        </w:rPr>
        <w:t xml:space="preserve"> strains to</w:t>
      </w:r>
      <w:r w:rsidR="004B2589">
        <w:rPr>
          <w:lang w:bidi="ar-SA"/>
        </w:rPr>
        <w:t xml:space="preserve"> lettuce (and other vegetable) seeds increased in line with the level of pathogens they were exposed to, and reported the binding of up to ca. 5 log CFU/g bacteria on lettuce seeds. </w:t>
      </w:r>
      <w:r w:rsidR="004B2589" w:rsidRPr="000B0699">
        <w:rPr>
          <w:lang w:bidi="ar-SA"/>
        </w:rPr>
        <w:t xml:space="preserve">Significantly more </w:t>
      </w:r>
      <w:r w:rsidR="004B2589">
        <w:rPr>
          <w:lang w:bidi="ar-SA"/>
        </w:rPr>
        <w:t>bacterial</w:t>
      </w:r>
      <w:r w:rsidR="004B2589" w:rsidRPr="000B0699">
        <w:rPr>
          <w:lang w:bidi="ar-SA"/>
        </w:rPr>
        <w:t xml:space="preserve"> cells attached to mechanically damaged seeds than to intact seeds</w:t>
      </w:r>
      <w:r w:rsidR="004B2589">
        <w:rPr>
          <w:lang w:bidi="ar-SA"/>
        </w:rPr>
        <w:t xml:space="preserve">, and </w:t>
      </w:r>
      <w:r w:rsidR="004B2589" w:rsidRPr="000B0699">
        <w:rPr>
          <w:lang w:bidi="ar-SA"/>
        </w:rPr>
        <w:t xml:space="preserve">fungicide treatment </w:t>
      </w:r>
      <w:r w:rsidR="004B2589">
        <w:rPr>
          <w:lang w:bidi="ar-SA"/>
        </w:rPr>
        <w:t>had little e</w:t>
      </w:r>
      <w:r w:rsidR="004B2589" w:rsidRPr="000B0699">
        <w:rPr>
          <w:lang w:bidi="ar-SA"/>
        </w:rPr>
        <w:t xml:space="preserve">ffect </w:t>
      </w:r>
      <w:r w:rsidR="004B2589">
        <w:rPr>
          <w:lang w:bidi="ar-SA"/>
        </w:rPr>
        <w:t xml:space="preserve">on </w:t>
      </w:r>
      <w:r w:rsidR="004B2589" w:rsidRPr="000B0699">
        <w:rPr>
          <w:lang w:bidi="ar-SA"/>
        </w:rPr>
        <w:t xml:space="preserve">the </w:t>
      </w:r>
      <w:r w:rsidR="004B2589">
        <w:rPr>
          <w:lang w:bidi="ar-SA"/>
        </w:rPr>
        <w:t>attachment of most</w:t>
      </w:r>
      <w:r w:rsidR="004B2589" w:rsidRPr="000B0699">
        <w:rPr>
          <w:lang w:bidi="ar-SA"/>
        </w:rPr>
        <w:t xml:space="preserve"> bacterial strains to </w:t>
      </w:r>
      <w:r w:rsidR="004B2589">
        <w:rPr>
          <w:lang w:bidi="ar-SA"/>
        </w:rPr>
        <w:t xml:space="preserve">lettuce </w:t>
      </w:r>
      <w:r w:rsidR="004B2589" w:rsidRPr="000B0699">
        <w:rPr>
          <w:lang w:bidi="ar-SA"/>
        </w:rPr>
        <w:t>seeds.</w:t>
      </w:r>
      <w:r w:rsidR="004B2589">
        <w:rPr>
          <w:lang w:bidi="ar-SA"/>
        </w:rPr>
        <w:t xml:space="preserve"> </w:t>
      </w:r>
      <w:r>
        <w:rPr>
          <w:lang w:bidi="ar-SA"/>
        </w:rPr>
        <w:t>Erickson et al.</w:t>
      </w:r>
      <w:r w:rsidR="004B2589">
        <w:rPr>
          <w:lang w:bidi="ar-SA"/>
        </w:rPr>
        <w:t xml:space="preserve"> </w:t>
      </w:r>
      <w:r>
        <w:rPr>
          <w:lang w:bidi="ar-SA"/>
        </w:rPr>
        <w:t>(2014a)</w:t>
      </w:r>
      <w:r w:rsidR="004B2589">
        <w:rPr>
          <w:lang w:bidi="ar-SA"/>
        </w:rPr>
        <w:t xml:space="preserve"> observed binding of 2.79 </w:t>
      </w:r>
      <w:r w:rsidR="004B2589">
        <w:rPr>
          <w:rFonts w:cs="Arial"/>
          <w:lang w:bidi="ar-SA"/>
        </w:rPr>
        <w:t>±</w:t>
      </w:r>
      <w:r w:rsidR="004B2589">
        <w:rPr>
          <w:lang w:bidi="ar-SA"/>
        </w:rPr>
        <w:t xml:space="preserve"> 0.32 L</w:t>
      </w:r>
      <w:r w:rsidR="004B2589" w:rsidRPr="001F2A80">
        <w:rPr>
          <w:lang w:bidi="ar-SA"/>
        </w:rPr>
        <w:t>og CFU/g</w:t>
      </w:r>
      <w:r w:rsidR="004B2589">
        <w:rPr>
          <w:lang w:bidi="ar-SA"/>
        </w:rPr>
        <w:t xml:space="preserve"> </w:t>
      </w:r>
      <w:r w:rsidR="004B2589">
        <w:rPr>
          <w:i/>
          <w:lang w:bidi="ar-SA"/>
        </w:rPr>
        <w:t>E. </w:t>
      </w:r>
      <w:r w:rsidR="004B2589" w:rsidRPr="001F2A80">
        <w:rPr>
          <w:i/>
          <w:lang w:bidi="ar-SA"/>
        </w:rPr>
        <w:t>coli</w:t>
      </w:r>
      <w:r w:rsidR="004B2589">
        <w:rPr>
          <w:lang w:bidi="ar-SA"/>
        </w:rPr>
        <w:t> </w:t>
      </w:r>
      <w:r w:rsidR="004B2589" w:rsidRPr="001F2A80">
        <w:rPr>
          <w:lang w:bidi="ar-SA"/>
        </w:rPr>
        <w:t>O157:H7</w:t>
      </w:r>
      <w:r w:rsidR="004B2589">
        <w:rPr>
          <w:lang w:bidi="ar-SA"/>
        </w:rPr>
        <w:t xml:space="preserve"> to spinach seeds soaked for 5 minutes in a 4 Log CFU/ml bacterial</w:t>
      </w:r>
      <w:r w:rsidR="004B2589" w:rsidRPr="001F2A80">
        <w:rPr>
          <w:lang w:bidi="ar-SA"/>
        </w:rPr>
        <w:t xml:space="preserve"> </w:t>
      </w:r>
      <w:r w:rsidR="004B2589">
        <w:rPr>
          <w:lang w:bidi="ar-SA"/>
        </w:rPr>
        <w:t>suspension and dried overnight at room temperature in a laminar flow hood.</w:t>
      </w:r>
    </w:p>
    <w:p w14:paraId="09446D91" w14:textId="77777777" w:rsidR="004B2589" w:rsidRDefault="004B2589" w:rsidP="004B2589">
      <w:pPr>
        <w:rPr>
          <w:lang w:bidi="ar-SA"/>
        </w:rPr>
      </w:pPr>
    </w:p>
    <w:p w14:paraId="212C01E9" w14:textId="2AA21E67" w:rsidR="004B2589" w:rsidRDefault="004B2589" w:rsidP="004B2589">
      <w:pPr>
        <w:rPr>
          <w:lang w:bidi="ar-SA"/>
        </w:rPr>
      </w:pPr>
      <w:r>
        <w:rPr>
          <w:lang w:bidi="ar-SA"/>
        </w:rPr>
        <w:t xml:space="preserve">Long-term survival of strains of </w:t>
      </w:r>
      <w:r w:rsidRPr="001F2A80">
        <w:rPr>
          <w:i/>
          <w:lang w:bidi="ar-SA"/>
        </w:rPr>
        <w:t>Salmonella</w:t>
      </w:r>
      <w:r w:rsidRPr="001F2A80">
        <w:rPr>
          <w:lang w:bidi="ar-SA"/>
        </w:rPr>
        <w:t xml:space="preserve"> </w:t>
      </w:r>
      <w:r>
        <w:rPr>
          <w:lang w:bidi="ar-SA"/>
        </w:rPr>
        <w:t xml:space="preserve">spp. </w:t>
      </w:r>
      <w:r w:rsidRPr="001F2A80">
        <w:rPr>
          <w:lang w:bidi="ar-SA"/>
        </w:rPr>
        <w:t xml:space="preserve">and </w:t>
      </w:r>
      <w:r w:rsidRPr="001F2A80">
        <w:rPr>
          <w:i/>
          <w:lang w:bidi="ar-SA"/>
        </w:rPr>
        <w:t>E. coli</w:t>
      </w:r>
      <w:r w:rsidRPr="001F2A80">
        <w:rPr>
          <w:lang w:bidi="ar-SA"/>
        </w:rPr>
        <w:t xml:space="preserve"> O157:H7 </w:t>
      </w:r>
      <w:r>
        <w:rPr>
          <w:lang w:bidi="ar-SA"/>
        </w:rPr>
        <w:t xml:space="preserve">on lettuce seeds was described by </w:t>
      </w:r>
      <w:r w:rsidR="00657FDB">
        <w:rPr>
          <w:lang w:bidi="ar-SA"/>
        </w:rPr>
        <w:t>van der Linden et al.</w:t>
      </w:r>
      <w:r>
        <w:rPr>
          <w:lang w:bidi="ar-SA"/>
        </w:rPr>
        <w:t xml:space="preserve"> </w:t>
      </w:r>
      <w:r w:rsidR="00657FDB">
        <w:rPr>
          <w:lang w:bidi="ar-SA"/>
        </w:rPr>
        <w:t>(2013)</w:t>
      </w:r>
      <w:r>
        <w:rPr>
          <w:lang w:bidi="ar-SA"/>
        </w:rPr>
        <w:t>. Seeds inoculated</w:t>
      </w:r>
      <w:r w:rsidR="00207885">
        <w:rPr>
          <w:lang w:bidi="ar-SA"/>
        </w:rPr>
        <w:t xml:space="preserve"> with between 7.75 and 8.63 Log </w:t>
      </w:r>
      <w:r>
        <w:rPr>
          <w:lang w:bidi="ar-SA"/>
        </w:rPr>
        <w:t>CFU/g (dry weight seed) were stored for up to two years in the dark at room temperature. After 48 weeks, contamination levels had decreased by 1.05 Log CFU/g (</w:t>
      </w:r>
      <w:r w:rsidRPr="005F7DA1">
        <w:rPr>
          <w:i/>
          <w:lang w:bidi="ar-SA"/>
        </w:rPr>
        <w:t>S</w:t>
      </w:r>
      <w:r w:rsidR="00207885">
        <w:rPr>
          <w:lang w:bidi="ar-SA"/>
        </w:rPr>
        <w:t>. </w:t>
      </w:r>
      <w:r>
        <w:rPr>
          <w:lang w:bidi="ar-SA"/>
        </w:rPr>
        <w:t>Thompson); 1.62 Log CFU/g (</w:t>
      </w:r>
      <w:r w:rsidRPr="005F7DA1">
        <w:rPr>
          <w:i/>
          <w:lang w:bidi="ar-SA"/>
        </w:rPr>
        <w:t>S</w:t>
      </w:r>
      <w:r>
        <w:rPr>
          <w:lang w:bidi="ar-SA"/>
        </w:rPr>
        <w:t xml:space="preserve">. Typhimurium); and 4.31 Log and 4.70 Log CFU/g (for the two </w:t>
      </w:r>
      <w:r w:rsidRPr="00F41BE7">
        <w:rPr>
          <w:i/>
          <w:lang w:bidi="ar-SA"/>
        </w:rPr>
        <w:t>E. coli</w:t>
      </w:r>
      <w:r>
        <w:rPr>
          <w:lang w:bidi="ar-SA"/>
        </w:rPr>
        <w:t xml:space="preserve"> O157:H7 strains). After 2 years storage, high levels of contamination (7.35±0.06 Log CFU/g) remained on </w:t>
      </w:r>
      <w:r w:rsidRPr="005F7DA1">
        <w:rPr>
          <w:i/>
          <w:lang w:bidi="ar-SA"/>
        </w:rPr>
        <w:t>S</w:t>
      </w:r>
      <w:r>
        <w:rPr>
          <w:lang w:bidi="ar-SA"/>
        </w:rPr>
        <w:t xml:space="preserve">. </w:t>
      </w:r>
      <w:r w:rsidRPr="005F7DA1">
        <w:rPr>
          <w:lang w:bidi="ar-SA"/>
        </w:rPr>
        <w:t>Typhimurium</w:t>
      </w:r>
      <w:r>
        <w:rPr>
          <w:lang w:bidi="ar-SA"/>
        </w:rPr>
        <w:t xml:space="preserve"> contaminated seeds, while </w:t>
      </w:r>
      <w:r w:rsidRPr="00305BE6">
        <w:rPr>
          <w:i/>
          <w:lang w:bidi="ar-SA"/>
        </w:rPr>
        <w:t>E.</w:t>
      </w:r>
      <w:r w:rsidR="00207885">
        <w:rPr>
          <w:i/>
          <w:lang w:bidi="ar-SA"/>
        </w:rPr>
        <w:t> </w:t>
      </w:r>
      <w:r w:rsidRPr="00305BE6">
        <w:rPr>
          <w:i/>
          <w:lang w:bidi="ar-SA"/>
        </w:rPr>
        <w:t>coli</w:t>
      </w:r>
      <w:r w:rsidR="00207885">
        <w:rPr>
          <w:lang w:bidi="ar-SA"/>
        </w:rPr>
        <w:t> </w:t>
      </w:r>
      <w:r>
        <w:rPr>
          <w:lang w:bidi="ar-SA"/>
        </w:rPr>
        <w:t xml:space="preserve">O157:H7 could only be detected by enrichment (&lt;1.3 Log CFU/g). </w:t>
      </w:r>
      <w:r w:rsidRPr="00305BE6">
        <w:rPr>
          <w:i/>
          <w:lang w:bidi="ar-SA"/>
        </w:rPr>
        <w:t>Salmonella</w:t>
      </w:r>
      <w:r>
        <w:rPr>
          <w:lang w:bidi="ar-SA"/>
        </w:rPr>
        <w:t xml:space="preserve"> spp. could be recovered from every individual seed tested, while </w:t>
      </w:r>
      <w:r w:rsidRPr="00305BE6">
        <w:rPr>
          <w:i/>
          <w:lang w:bidi="ar-SA"/>
        </w:rPr>
        <w:t>E. coli</w:t>
      </w:r>
      <w:r>
        <w:rPr>
          <w:lang w:bidi="ar-SA"/>
        </w:rPr>
        <w:t xml:space="preserve"> O157:H7 could only be recovered from 4–14% of the seeds, depending on the recovery method used.</w:t>
      </w:r>
    </w:p>
    <w:p w14:paraId="3051FDE5" w14:textId="77777777" w:rsidR="004B2589" w:rsidRDefault="004B2589" w:rsidP="004B2589">
      <w:pPr>
        <w:rPr>
          <w:lang w:bidi="ar-SA"/>
        </w:rPr>
      </w:pPr>
    </w:p>
    <w:p w14:paraId="54860126" w14:textId="42DE187D" w:rsidR="004B2589" w:rsidRDefault="004B2589" w:rsidP="004B2589">
      <w:pPr>
        <w:rPr>
          <w:lang w:bidi="ar-SA"/>
        </w:rPr>
      </w:pPr>
      <w:r>
        <w:rPr>
          <w:lang w:bidi="ar-SA"/>
        </w:rPr>
        <w:t xml:space="preserve">Several studies have demonstrated the contamination of leafy vegetable seedlings grown from contaminated seed. </w:t>
      </w:r>
      <w:r w:rsidR="00657FDB">
        <w:rPr>
          <w:lang w:bidi="ar-SA"/>
        </w:rPr>
        <w:t>Habteselassie et al.</w:t>
      </w:r>
      <w:r>
        <w:rPr>
          <w:lang w:bidi="ar-SA"/>
        </w:rPr>
        <w:t xml:space="preserve"> </w:t>
      </w:r>
      <w:r w:rsidR="00657FDB">
        <w:rPr>
          <w:lang w:bidi="ar-SA"/>
        </w:rPr>
        <w:t>(2010)</w:t>
      </w:r>
      <w:r w:rsidRPr="00941F4D">
        <w:rPr>
          <w:lang w:bidi="ar-SA"/>
        </w:rPr>
        <w:t xml:space="preserve"> </w:t>
      </w:r>
      <w:r>
        <w:rPr>
          <w:lang w:bidi="ar-SA"/>
        </w:rPr>
        <w:t>o</w:t>
      </w:r>
      <w:r w:rsidRPr="003B2CC5">
        <w:rPr>
          <w:lang w:bidi="ar-SA"/>
        </w:rPr>
        <w:t>bserved</w:t>
      </w:r>
      <w:r>
        <w:rPr>
          <w:lang w:bidi="ar-SA"/>
        </w:rPr>
        <w:t xml:space="preserve"> </w:t>
      </w:r>
      <w:r w:rsidRPr="003B2CC5">
        <w:rPr>
          <w:lang w:bidi="ar-SA"/>
        </w:rPr>
        <w:t>rapid colonisation of lettuce seedlings</w:t>
      </w:r>
      <w:r>
        <w:rPr>
          <w:lang w:bidi="ar-SA"/>
        </w:rPr>
        <w:t>—particularly in the root zone—</w:t>
      </w:r>
      <w:r w:rsidRPr="003B2CC5">
        <w:rPr>
          <w:lang w:bidi="ar-SA"/>
        </w:rPr>
        <w:t xml:space="preserve">when seeds </w:t>
      </w:r>
      <w:r>
        <w:rPr>
          <w:lang w:bidi="ar-SA"/>
        </w:rPr>
        <w:t>contaminated</w:t>
      </w:r>
      <w:r w:rsidRPr="003B2CC5">
        <w:rPr>
          <w:lang w:bidi="ar-SA"/>
        </w:rPr>
        <w:t xml:space="preserve"> with </w:t>
      </w:r>
      <w:r>
        <w:rPr>
          <w:lang w:bidi="ar-SA"/>
        </w:rPr>
        <w:t xml:space="preserve">a bioluminescent derivative of </w:t>
      </w:r>
      <w:r w:rsidRPr="00F41BE7">
        <w:rPr>
          <w:i/>
          <w:lang w:bidi="ar-SA"/>
        </w:rPr>
        <w:t>E. coli</w:t>
      </w:r>
      <w:r w:rsidRPr="003B2CC5">
        <w:rPr>
          <w:lang w:bidi="ar-SA"/>
        </w:rPr>
        <w:t xml:space="preserve"> </w:t>
      </w:r>
      <w:r>
        <w:rPr>
          <w:lang w:bidi="ar-SA"/>
        </w:rPr>
        <w:t>O157:H7 were germinated in agar plugs in a growth chamber. Initial bacterial levels of 6.49 Log CFU/g</w:t>
      </w:r>
      <w:r w:rsidRPr="00E7047B">
        <w:rPr>
          <w:lang w:bidi="ar-SA"/>
        </w:rPr>
        <w:t xml:space="preserve"> </w:t>
      </w:r>
      <w:r>
        <w:rPr>
          <w:lang w:bidi="ar-SA"/>
        </w:rPr>
        <w:t>(seed) increased to 7.31 L</w:t>
      </w:r>
      <w:r w:rsidRPr="00E7047B">
        <w:rPr>
          <w:lang w:bidi="ar-SA"/>
        </w:rPr>
        <w:t>og CFU/g</w:t>
      </w:r>
      <w:r>
        <w:rPr>
          <w:lang w:bidi="ar-SA"/>
        </w:rPr>
        <w:t xml:space="preserve"> in seedlings </w:t>
      </w:r>
      <w:r w:rsidRPr="00E7047B">
        <w:rPr>
          <w:lang w:bidi="ar-SA"/>
        </w:rPr>
        <w:t>7 days after seeding</w:t>
      </w:r>
      <w:r>
        <w:rPr>
          <w:lang w:bidi="ar-SA"/>
        </w:rPr>
        <w:t xml:space="preserve">, and persisted for the 14 days of the experiment. Similarly, </w:t>
      </w:r>
      <w:r w:rsidR="00657FDB">
        <w:rPr>
          <w:lang w:bidi="ar-SA"/>
        </w:rPr>
        <w:t>van der Linden et al.</w:t>
      </w:r>
      <w:r>
        <w:rPr>
          <w:lang w:bidi="ar-SA"/>
        </w:rPr>
        <w:t xml:space="preserve"> </w:t>
      </w:r>
      <w:r w:rsidR="00657FDB">
        <w:rPr>
          <w:lang w:bidi="ar-SA"/>
        </w:rPr>
        <w:t>(2013)</w:t>
      </w:r>
      <w:r>
        <w:rPr>
          <w:lang w:bidi="ar-SA"/>
        </w:rPr>
        <w:t xml:space="preserve"> observed </w:t>
      </w:r>
      <w:r w:rsidRPr="00807478">
        <w:rPr>
          <w:i/>
          <w:lang w:bidi="ar-SA"/>
        </w:rPr>
        <w:t>S</w:t>
      </w:r>
      <w:r>
        <w:rPr>
          <w:lang w:bidi="ar-SA"/>
        </w:rPr>
        <w:t>. Typhimurium levels averaging almos</w:t>
      </w:r>
      <w:r w:rsidR="00207885">
        <w:rPr>
          <w:lang w:bidi="ar-SA"/>
        </w:rPr>
        <w:t>t 5 Log CFU/g on seedlings 3–11 </w:t>
      </w:r>
      <w:r>
        <w:rPr>
          <w:lang w:bidi="ar-SA"/>
        </w:rPr>
        <w:t xml:space="preserve">days after germination from dehulled contaminated seeds that had been stored for two years. In the same set of experiments, seedlings from </w:t>
      </w:r>
      <w:r w:rsidRPr="005415EB">
        <w:rPr>
          <w:i/>
          <w:lang w:bidi="ar-SA"/>
        </w:rPr>
        <w:t>E. coli</w:t>
      </w:r>
      <w:r>
        <w:rPr>
          <w:lang w:bidi="ar-SA"/>
        </w:rPr>
        <w:t xml:space="preserve"> O157:H7 contaminated seeds carried up to ca. 4.4 Log CFU/g after germination. </w:t>
      </w:r>
      <w:r w:rsidR="00657FDB">
        <w:rPr>
          <w:lang w:bidi="ar-SA"/>
        </w:rPr>
        <w:t>Cui et al.</w:t>
      </w:r>
      <w:r>
        <w:rPr>
          <w:lang w:bidi="ar-SA"/>
        </w:rPr>
        <w:t xml:space="preserve"> </w:t>
      </w:r>
      <w:r w:rsidR="00657FDB">
        <w:rPr>
          <w:lang w:bidi="ar-SA"/>
        </w:rPr>
        <w:t>(2018)</w:t>
      </w:r>
      <w:r>
        <w:rPr>
          <w:lang w:bidi="ar-SA"/>
        </w:rPr>
        <w:t xml:space="preserve"> observed similar seedling contamination dynamics and </w:t>
      </w:r>
      <w:r w:rsidRPr="005415EB">
        <w:rPr>
          <w:lang w:bidi="ar-SA"/>
        </w:rPr>
        <w:t xml:space="preserve">loads, and noted bacterial strain and plant tissue type differences in adhesion and growth of </w:t>
      </w:r>
      <w:r w:rsidRPr="005415EB">
        <w:rPr>
          <w:i/>
          <w:lang w:bidi="ar-SA"/>
        </w:rPr>
        <w:t>Salmonella</w:t>
      </w:r>
      <w:r w:rsidRPr="005415EB">
        <w:rPr>
          <w:lang w:bidi="ar-SA"/>
        </w:rPr>
        <w:t xml:space="preserve"> </w:t>
      </w:r>
      <w:r>
        <w:rPr>
          <w:lang w:bidi="ar-SA"/>
        </w:rPr>
        <w:t xml:space="preserve">spp. </w:t>
      </w:r>
      <w:r w:rsidRPr="005415EB">
        <w:rPr>
          <w:lang w:bidi="ar-SA"/>
        </w:rPr>
        <w:t>and EHEC cells attached to lettuce seeds</w:t>
      </w:r>
      <w:r w:rsidRPr="008C60D7">
        <w:rPr>
          <w:lang w:bidi="ar-SA"/>
        </w:rPr>
        <w:t xml:space="preserve"> during germination</w:t>
      </w:r>
      <w:r w:rsidRPr="008C670E">
        <w:rPr>
          <w:lang w:bidi="ar-SA"/>
        </w:rPr>
        <w:t xml:space="preserve"> </w:t>
      </w:r>
      <w:r>
        <w:rPr>
          <w:lang w:bidi="ar-SA"/>
        </w:rPr>
        <w:t>on an artificial growth medium.</w:t>
      </w:r>
    </w:p>
    <w:p w14:paraId="3C8BF2B5" w14:textId="2127D879" w:rsidR="004B2589" w:rsidRDefault="004B2589" w:rsidP="004B2589">
      <w:pPr>
        <w:rPr>
          <w:lang w:bidi="ar-SA"/>
        </w:rPr>
      </w:pPr>
      <w:r>
        <w:rPr>
          <w:lang w:bidi="ar-SA"/>
        </w:rPr>
        <w:t xml:space="preserve">Internalisation of pathogens in seedlings grown from contaminated seeds appears to be dependent on the bacterial species and strain; plant species and cultivar; and possibly the levels of contamination on the </w:t>
      </w:r>
      <w:r w:rsidRPr="004F139F">
        <w:rPr>
          <w:lang w:bidi="ar-SA"/>
        </w:rPr>
        <w:t xml:space="preserve">seeds. </w:t>
      </w:r>
      <w:r w:rsidR="00657FDB">
        <w:rPr>
          <w:lang w:bidi="ar-SA"/>
        </w:rPr>
        <w:t>Erickson et al.</w:t>
      </w:r>
      <w:r>
        <w:rPr>
          <w:lang w:bidi="ar-SA"/>
        </w:rPr>
        <w:t xml:space="preserve"> </w:t>
      </w:r>
      <w:r w:rsidR="00657FDB">
        <w:rPr>
          <w:lang w:bidi="ar-SA"/>
        </w:rPr>
        <w:t>(2014a)</w:t>
      </w:r>
      <w:r>
        <w:rPr>
          <w:lang w:bidi="ar-SA"/>
        </w:rPr>
        <w:t xml:space="preserve"> detected no pathogen internalisation in spinach seedlings grown from contaminated seeds. However, </w:t>
      </w:r>
      <w:r>
        <w:rPr>
          <w:i/>
          <w:lang w:bidi="ar-SA"/>
        </w:rPr>
        <w:t>L. </w:t>
      </w:r>
      <w:r w:rsidRPr="00F41BE7">
        <w:rPr>
          <w:i/>
          <w:lang w:bidi="ar-SA"/>
        </w:rPr>
        <w:t>monocytogenes</w:t>
      </w:r>
      <w:r w:rsidRPr="00F41BE7">
        <w:rPr>
          <w:lang w:bidi="ar-SA"/>
        </w:rPr>
        <w:t xml:space="preserve"> has been show</w:t>
      </w:r>
      <w:r>
        <w:rPr>
          <w:lang w:bidi="ar-SA"/>
        </w:rPr>
        <w:t>n to colonise lettuce seedlings—on the surface and internally—</w:t>
      </w:r>
      <w:r w:rsidRPr="00F41BE7">
        <w:rPr>
          <w:lang w:bidi="ar-SA"/>
        </w:rPr>
        <w:t>when present on seeds</w:t>
      </w:r>
      <w:r>
        <w:rPr>
          <w:lang w:bidi="ar-SA"/>
        </w:rPr>
        <w:t xml:space="preserve"> </w:t>
      </w:r>
      <w:r w:rsidR="00657FDB">
        <w:rPr>
          <w:lang w:bidi="ar-SA"/>
        </w:rPr>
        <w:t>(Shenoy et al. 2017)</w:t>
      </w:r>
      <w:r>
        <w:rPr>
          <w:lang w:bidi="ar-SA"/>
        </w:rPr>
        <w:t>.</w:t>
      </w:r>
      <w:r w:rsidRPr="00F41BE7">
        <w:rPr>
          <w:lang w:bidi="ar-SA"/>
        </w:rPr>
        <w:t xml:space="preserve"> </w:t>
      </w:r>
      <w:r>
        <w:rPr>
          <w:lang w:bidi="ar-SA"/>
        </w:rPr>
        <w:t>When</w:t>
      </w:r>
      <w:r w:rsidRPr="00F41BE7" w:rsidDel="00044754">
        <w:rPr>
          <w:lang w:bidi="ar-SA"/>
        </w:rPr>
        <w:t xml:space="preserve"> </w:t>
      </w:r>
      <w:r w:rsidRPr="00F41BE7">
        <w:rPr>
          <w:lang w:bidi="ar-SA"/>
        </w:rPr>
        <w:t xml:space="preserve">lettuce seeds </w:t>
      </w:r>
      <w:r>
        <w:rPr>
          <w:lang w:bidi="ar-SA"/>
        </w:rPr>
        <w:t xml:space="preserve">were </w:t>
      </w:r>
      <w:r w:rsidRPr="00F41BE7">
        <w:rPr>
          <w:lang w:bidi="ar-SA"/>
        </w:rPr>
        <w:t>artificially contaminated for 30 minutes in 10</w:t>
      </w:r>
      <w:r w:rsidRPr="00F41BE7">
        <w:rPr>
          <w:vertAlign w:val="superscript"/>
          <w:lang w:bidi="ar-SA"/>
        </w:rPr>
        <w:t>8</w:t>
      </w:r>
      <w:r w:rsidRPr="00F41BE7">
        <w:rPr>
          <w:lang w:bidi="ar-SA"/>
        </w:rPr>
        <w:t xml:space="preserve"> CFU/mL bacterial suspension</w:t>
      </w:r>
      <w:r>
        <w:rPr>
          <w:lang w:bidi="ar-SA"/>
        </w:rPr>
        <w:t>, l</w:t>
      </w:r>
      <w:r w:rsidRPr="00F41BE7">
        <w:rPr>
          <w:lang w:bidi="ar-SA"/>
        </w:rPr>
        <w:t xml:space="preserve">evels of </w:t>
      </w:r>
      <w:r>
        <w:rPr>
          <w:i/>
          <w:lang w:bidi="ar-SA"/>
        </w:rPr>
        <w:t>L. </w:t>
      </w:r>
      <w:r w:rsidRPr="00F41BE7">
        <w:rPr>
          <w:i/>
          <w:lang w:bidi="ar-SA"/>
        </w:rPr>
        <w:t>monocytogenes</w:t>
      </w:r>
      <w:r>
        <w:rPr>
          <w:lang w:bidi="ar-SA"/>
        </w:rPr>
        <w:t xml:space="preserve"> reached ≥ 7.0 L</w:t>
      </w:r>
      <w:r w:rsidRPr="00F41BE7">
        <w:rPr>
          <w:lang w:bidi="ar-SA"/>
        </w:rPr>
        <w:t xml:space="preserve">og CFU/g </w:t>
      </w:r>
      <w:r>
        <w:rPr>
          <w:lang w:bidi="ar-SA"/>
        </w:rPr>
        <w:t>three days post</w:t>
      </w:r>
      <w:r>
        <w:rPr>
          <w:lang w:bidi="ar-SA"/>
        </w:rPr>
        <w:noBreakHyphen/>
      </w:r>
      <w:r w:rsidRPr="00F41BE7">
        <w:rPr>
          <w:lang w:bidi="ar-SA"/>
        </w:rPr>
        <w:t>germination—irrespective of lettuce cultivar or bacterial strain used—</w:t>
      </w:r>
      <w:r>
        <w:rPr>
          <w:lang w:bidi="ar-SA"/>
        </w:rPr>
        <w:t>when</w:t>
      </w:r>
      <w:r w:rsidRPr="00F41BE7">
        <w:rPr>
          <w:lang w:bidi="ar-SA"/>
        </w:rPr>
        <w:t xml:space="preserve"> grown in soft-top agar in greenhouse con</w:t>
      </w:r>
      <w:r>
        <w:rPr>
          <w:lang w:bidi="ar-SA"/>
        </w:rPr>
        <w:t>ditions. Levels remained ≥ 5.0 L</w:t>
      </w:r>
      <w:r w:rsidRPr="00F41BE7">
        <w:rPr>
          <w:lang w:bidi="ar-SA"/>
        </w:rPr>
        <w:t xml:space="preserve">og CFU/g for the entire period of cultivation, up to harvest (more than 60 days). However, in potting mix and soil growth media, contamination persisted for significantly shorter periods of time (up to 45 days in commercial potting mix). </w:t>
      </w:r>
      <w:r>
        <w:rPr>
          <w:lang w:bidi="ar-SA"/>
        </w:rPr>
        <w:t>I</w:t>
      </w:r>
      <w:r w:rsidRPr="00F41BE7">
        <w:rPr>
          <w:lang w:bidi="ar-SA"/>
        </w:rPr>
        <w:t xml:space="preserve">nternalised bacteria were found in both intra- and inter-cellular locations </w:t>
      </w:r>
      <w:r>
        <w:rPr>
          <w:lang w:bidi="ar-SA"/>
        </w:rPr>
        <w:t>in all major tissue types in 20</w:t>
      </w:r>
      <w:r>
        <w:rPr>
          <w:lang w:bidi="ar-SA"/>
        </w:rPr>
        <w:noBreakHyphen/>
      </w:r>
      <w:r w:rsidRPr="00F41BE7">
        <w:rPr>
          <w:lang w:bidi="ar-SA"/>
        </w:rPr>
        <w:t>day-old plants grown in commercial potting mix.</w:t>
      </w:r>
    </w:p>
    <w:p w14:paraId="5FEAECA8" w14:textId="77777777" w:rsidR="004B2589" w:rsidRDefault="004B2589" w:rsidP="004B2589">
      <w:pPr>
        <w:rPr>
          <w:lang w:bidi="ar-SA"/>
        </w:rPr>
      </w:pPr>
    </w:p>
    <w:p w14:paraId="5285E03E" w14:textId="35CFE09E" w:rsidR="004B2589" w:rsidRPr="003A75FD" w:rsidRDefault="004B2589" w:rsidP="004B2589">
      <w:pPr>
        <w:rPr>
          <w:lang w:bidi="ar-SA"/>
        </w:rPr>
      </w:pPr>
      <w:r w:rsidRPr="0040428D">
        <w:t xml:space="preserve">Some studies show that pathogens can persist on or in the edible portion of leafy vegetable seedlings for several weeks. </w:t>
      </w:r>
      <w:r w:rsidR="00657FDB">
        <w:rPr>
          <w:lang w:bidi="ar-SA"/>
        </w:rPr>
        <w:t>Standing et al.</w:t>
      </w:r>
      <w:r>
        <w:rPr>
          <w:lang w:bidi="ar-SA"/>
        </w:rPr>
        <w:t xml:space="preserve"> </w:t>
      </w:r>
      <w:r w:rsidR="00657FDB">
        <w:rPr>
          <w:lang w:bidi="ar-SA"/>
        </w:rPr>
        <w:t>(2013)</w:t>
      </w:r>
      <w:r w:rsidRPr="0040428D">
        <w:rPr>
          <w:lang w:bidi="ar-SA"/>
        </w:rPr>
        <w:t xml:space="preserve"> observed the uptake, internalisation and persistence of </w:t>
      </w:r>
      <w:r w:rsidRPr="0040428D">
        <w:rPr>
          <w:i/>
          <w:lang w:bidi="ar-SA"/>
        </w:rPr>
        <w:t>E. coli</w:t>
      </w:r>
      <w:r w:rsidRPr="0040428D">
        <w:rPr>
          <w:lang w:bidi="ar-SA"/>
        </w:rPr>
        <w:t xml:space="preserve"> O157:H7, </w:t>
      </w:r>
      <w:r w:rsidRPr="0040428D">
        <w:rPr>
          <w:i/>
          <w:lang w:bidi="ar-SA"/>
        </w:rPr>
        <w:t>S</w:t>
      </w:r>
      <w:r w:rsidRPr="0040428D">
        <w:rPr>
          <w:lang w:bidi="ar-SA"/>
        </w:rPr>
        <w:t xml:space="preserve">. Typhimurium and </w:t>
      </w:r>
      <w:r w:rsidRPr="0040428D">
        <w:rPr>
          <w:i/>
          <w:lang w:bidi="ar-SA"/>
        </w:rPr>
        <w:t>L. monocytogenes</w:t>
      </w:r>
      <w:r w:rsidRPr="0040428D">
        <w:rPr>
          <w:lang w:bidi="ar-SA"/>
        </w:rPr>
        <w:t xml:space="preserve"> in lettuce seedlings watered daily with nutrient solution</w:t>
      </w:r>
      <w:r>
        <w:rPr>
          <w:lang w:bidi="ar-SA"/>
        </w:rPr>
        <w:t xml:space="preserve"> inoculated with 10</w:t>
      </w:r>
      <w:r w:rsidRPr="00D61725">
        <w:rPr>
          <w:vertAlign w:val="superscript"/>
          <w:lang w:bidi="ar-SA"/>
        </w:rPr>
        <w:t>5</w:t>
      </w:r>
      <w:r>
        <w:rPr>
          <w:lang w:bidi="ar-SA"/>
        </w:rPr>
        <w:t> CFU/mL of the respective pathogens under laboratory conditions. Maximum average levels of pathogens in surface-sterilised leaves of seedlings were: 4.53 L</w:t>
      </w:r>
      <w:r w:rsidRPr="00E6222B">
        <w:rPr>
          <w:lang w:bidi="ar-SA"/>
        </w:rPr>
        <w:t>og CFU/g</w:t>
      </w:r>
      <w:r>
        <w:rPr>
          <w:lang w:bidi="ar-SA"/>
        </w:rPr>
        <w:t xml:space="preserve"> (</w:t>
      </w:r>
      <w:r w:rsidRPr="0028070C">
        <w:rPr>
          <w:i/>
          <w:lang w:bidi="ar-SA"/>
        </w:rPr>
        <w:t>E. coli</w:t>
      </w:r>
      <w:r>
        <w:rPr>
          <w:lang w:bidi="ar-SA"/>
        </w:rPr>
        <w:t xml:space="preserve"> O157:H7); 3.46 L</w:t>
      </w:r>
      <w:r w:rsidRPr="00E6222B">
        <w:rPr>
          <w:lang w:bidi="ar-SA"/>
        </w:rPr>
        <w:t>og CFU/g</w:t>
      </w:r>
      <w:r>
        <w:rPr>
          <w:lang w:bidi="ar-SA"/>
        </w:rPr>
        <w:t xml:space="preserve"> (</w:t>
      </w:r>
      <w:r w:rsidRPr="00E6222B">
        <w:rPr>
          <w:i/>
          <w:lang w:bidi="ar-SA"/>
        </w:rPr>
        <w:t>L.</w:t>
      </w:r>
      <w:r>
        <w:rPr>
          <w:i/>
          <w:lang w:bidi="ar-SA"/>
        </w:rPr>
        <w:t> </w:t>
      </w:r>
      <w:r w:rsidRPr="00E6222B">
        <w:rPr>
          <w:i/>
          <w:lang w:bidi="ar-SA"/>
        </w:rPr>
        <w:t>monocytogenes</w:t>
      </w:r>
      <w:r>
        <w:rPr>
          <w:lang w:bidi="ar-SA"/>
        </w:rPr>
        <w:t>)</w:t>
      </w:r>
      <w:r w:rsidRPr="00E6222B">
        <w:rPr>
          <w:lang w:bidi="ar-SA"/>
        </w:rPr>
        <w:t xml:space="preserve">; </w:t>
      </w:r>
      <w:r>
        <w:rPr>
          <w:lang w:bidi="ar-SA"/>
        </w:rPr>
        <w:t>and 1.35 L</w:t>
      </w:r>
      <w:r w:rsidRPr="00E6222B">
        <w:rPr>
          <w:lang w:bidi="ar-SA"/>
        </w:rPr>
        <w:t>og CFU/g</w:t>
      </w:r>
      <w:r>
        <w:rPr>
          <w:lang w:bidi="ar-SA"/>
        </w:rPr>
        <w:t xml:space="preserve"> (</w:t>
      </w:r>
      <w:r w:rsidRPr="0028070C">
        <w:rPr>
          <w:i/>
          <w:lang w:bidi="ar-SA"/>
        </w:rPr>
        <w:t>S</w:t>
      </w:r>
      <w:r>
        <w:rPr>
          <w:lang w:bidi="ar-SA"/>
        </w:rPr>
        <w:t>. Typhimurium)</w:t>
      </w:r>
      <w:r w:rsidRPr="00E6222B">
        <w:rPr>
          <w:lang w:bidi="ar-SA"/>
        </w:rPr>
        <w:t>.</w:t>
      </w:r>
      <w:r>
        <w:rPr>
          <w:lang w:bidi="ar-SA"/>
        </w:rPr>
        <w:t xml:space="preserve"> </w:t>
      </w:r>
      <w:r w:rsidRPr="00E6222B">
        <w:rPr>
          <w:i/>
          <w:lang w:bidi="ar-SA"/>
        </w:rPr>
        <w:t>E. coli</w:t>
      </w:r>
      <w:r>
        <w:rPr>
          <w:lang w:bidi="ar-SA"/>
        </w:rPr>
        <w:t xml:space="preserve"> </w:t>
      </w:r>
      <w:r w:rsidRPr="0040428D">
        <w:rPr>
          <w:lang w:bidi="ar-SA"/>
        </w:rPr>
        <w:t>O157:H7</w:t>
      </w:r>
      <w:r>
        <w:rPr>
          <w:lang w:bidi="ar-SA"/>
        </w:rPr>
        <w:t xml:space="preserve"> and </w:t>
      </w:r>
      <w:r w:rsidRPr="0028070C">
        <w:rPr>
          <w:i/>
          <w:lang w:bidi="ar-SA"/>
        </w:rPr>
        <w:t>S</w:t>
      </w:r>
      <w:r>
        <w:rPr>
          <w:lang w:bidi="ar-SA"/>
        </w:rPr>
        <w:t>. Typhimurium</w:t>
      </w:r>
      <w:r w:rsidRPr="00E6222B" w:rsidDel="00044754">
        <w:rPr>
          <w:i/>
          <w:lang w:bidi="ar-SA"/>
        </w:rPr>
        <w:t xml:space="preserve"> </w:t>
      </w:r>
      <w:r>
        <w:rPr>
          <w:lang w:bidi="ar-SA"/>
        </w:rPr>
        <w:t xml:space="preserve">remained detectable after 28 days of seedling growth, while </w:t>
      </w:r>
      <w:r>
        <w:rPr>
          <w:i/>
          <w:lang w:bidi="ar-SA"/>
        </w:rPr>
        <w:t>L. </w:t>
      </w:r>
      <w:r w:rsidRPr="00E6222B">
        <w:rPr>
          <w:i/>
          <w:lang w:bidi="ar-SA"/>
        </w:rPr>
        <w:t>monocytogenes</w:t>
      </w:r>
      <w:r>
        <w:rPr>
          <w:lang w:bidi="ar-SA"/>
        </w:rPr>
        <w:t xml:space="preserve"> was not detected after more than 14 days. It is not clear, from the description of the experimental methods provided, whether internalisation occurred through roots, leaves or both. However, </w:t>
      </w:r>
      <w:r w:rsidR="00657FDB">
        <w:rPr>
          <w:lang w:bidi="ar-SA"/>
        </w:rPr>
        <w:t>Wong et al.</w:t>
      </w:r>
      <w:r>
        <w:rPr>
          <w:lang w:bidi="ar-SA"/>
        </w:rPr>
        <w:t xml:space="preserve"> </w:t>
      </w:r>
      <w:r w:rsidR="00657FDB">
        <w:rPr>
          <w:lang w:bidi="ar-SA"/>
        </w:rPr>
        <w:t>(2019)</w:t>
      </w:r>
      <w:r>
        <w:rPr>
          <w:lang w:bidi="ar-SA"/>
        </w:rPr>
        <w:t xml:space="preserve"> observed internalisation of a range of </w:t>
      </w:r>
      <w:r w:rsidRPr="00B30088">
        <w:rPr>
          <w:i/>
          <w:lang w:bidi="ar-SA"/>
        </w:rPr>
        <w:t>Salmonella</w:t>
      </w:r>
      <w:r>
        <w:rPr>
          <w:lang w:bidi="ar-SA"/>
        </w:rPr>
        <w:t xml:space="preserve"> serovars in lettuce seedlings </w:t>
      </w:r>
      <w:r w:rsidRPr="00B30088">
        <w:rPr>
          <w:lang w:bidi="ar-SA"/>
        </w:rPr>
        <w:t>inoculated by immersion</w:t>
      </w:r>
      <w:r>
        <w:rPr>
          <w:lang w:bidi="ar-SA"/>
        </w:rPr>
        <w:t xml:space="preserve"> of the leaves of the plants</w:t>
      </w:r>
      <w:r w:rsidRPr="00B30088">
        <w:rPr>
          <w:lang w:bidi="ar-SA"/>
        </w:rPr>
        <w:t xml:space="preserve"> in cell suspensions</w:t>
      </w:r>
      <w:r>
        <w:rPr>
          <w:lang w:bidi="ar-SA"/>
        </w:rPr>
        <w:t>. Laser scanning confocal microscopy showed that cells or cellular aggregates were located within stomata, in surface depressions adjacent to stomata, or on random leaf surface locations on seedlings that were successfully colonised. The a</w:t>
      </w:r>
      <w:r w:rsidRPr="00B1067B">
        <w:rPr>
          <w:lang w:bidi="ar-SA"/>
        </w:rPr>
        <w:t>bility</w:t>
      </w:r>
      <w:r>
        <w:rPr>
          <w:lang w:bidi="ar-SA"/>
        </w:rPr>
        <w:t xml:space="preserve"> to colonise and persist on seedlings over the five days of the experiment showed plant </w:t>
      </w:r>
      <w:r w:rsidRPr="00B1067B">
        <w:rPr>
          <w:lang w:bidi="ar-SA"/>
        </w:rPr>
        <w:t>cultivar</w:t>
      </w:r>
      <w:r>
        <w:rPr>
          <w:lang w:bidi="ar-SA"/>
        </w:rPr>
        <w:t xml:space="preserve"> and </w:t>
      </w:r>
      <w:r w:rsidRPr="00B30088">
        <w:rPr>
          <w:i/>
          <w:lang w:bidi="ar-SA"/>
        </w:rPr>
        <w:t>Salmonella</w:t>
      </w:r>
      <w:r>
        <w:rPr>
          <w:lang w:bidi="ar-SA"/>
        </w:rPr>
        <w:t xml:space="preserve"> strain variability.</w:t>
      </w:r>
    </w:p>
    <w:p w14:paraId="74F883FC" w14:textId="77777777" w:rsidR="004B2589" w:rsidRPr="00807208" w:rsidRDefault="004B2589" w:rsidP="004B2589">
      <w:pPr>
        <w:pStyle w:val="Heading4"/>
        <w:numPr>
          <w:ilvl w:val="3"/>
          <w:numId w:val="11"/>
        </w:numPr>
      </w:pPr>
      <w:r>
        <w:t>Berries</w:t>
      </w:r>
    </w:p>
    <w:p w14:paraId="7CEC561A" w14:textId="77777777" w:rsidR="004B2589" w:rsidRDefault="004B2589" w:rsidP="004B2589">
      <w:pPr>
        <w:rPr>
          <w:lang w:bidi="ar-SA"/>
        </w:rPr>
      </w:pPr>
      <w:r>
        <w:rPr>
          <w:color w:val="000000" w:themeColor="text1"/>
        </w:rPr>
        <w:t>In Australia</w:t>
      </w:r>
      <w:r w:rsidRPr="00525BD9">
        <w:rPr>
          <w:color w:val="000000" w:themeColor="text1"/>
        </w:rPr>
        <w:t xml:space="preserve"> berries are generally propagated from </w:t>
      </w:r>
      <w:r>
        <w:rPr>
          <w:color w:val="000000" w:themeColor="text1"/>
        </w:rPr>
        <w:t>vegetative propagules</w:t>
      </w:r>
      <w:r w:rsidRPr="00525BD9">
        <w:rPr>
          <w:color w:val="000000" w:themeColor="text1"/>
        </w:rPr>
        <w:t xml:space="preserve"> (e.g. strawberry runners or from cuttings)</w:t>
      </w:r>
      <w:r>
        <w:rPr>
          <w:color w:val="000000" w:themeColor="text1"/>
        </w:rPr>
        <w:t>. The plants can be propagated by the grower or purchased,</w:t>
      </w:r>
      <w:r w:rsidRPr="000D26A7">
        <w:rPr>
          <w:lang w:bidi="ar-SA"/>
        </w:rPr>
        <w:t xml:space="preserve"> </w:t>
      </w:r>
      <w:r>
        <w:rPr>
          <w:lang w:bidi="ar-SA"/>
        </w:rPr>
        <w:t xml:space="preserve">and if exposed to contaminated inputs may introduce microbial pathogens. </w:t>
      </w:r>
    </w:p>
    <w:p w14:paraId="11B01185" w14:textId="77777777" w:rsidR="004B2589" w:rsidRDefault="004B2589" w:rsidP="004B2589">
      <w:pPr>
        <w:rPr>
          <w:lang w:bidi="ar-SA"/>
        </w:rPr>
      </w:pPr>
    </w:p>
    <w:p w14:paraId="2A9CC85A" w14:textId="1F73EB2C" w:rsidR="004B2589" w:rsidRDefault="004B2589" w:rsidP="004B2589">
      <w:pPr>
        <w:rPr>
          <w:lang w:bidi="ar-SA"/>
        </w:rPr>
      </w:pPr>
      <w:r>
        <w:rPr>
          <w:lang w:bidi="ar-SA"/>
        </w:rPr>
        <w:t>Experimental or epidemiological information assessing the contamination of HAV, NoV or STEC</w:t>
      </w:r>
      <w:r w:rsidRPr="00CB1A97">
        <w:rPr>
          <w:i/>
          <w:lang w:bidi="ar-SA"/>
        </w:rPr>
        <w:t xml:space="preserve"> </w:t>
      </w:r>
      <w:r>
        <w:rPr>
          <w:lang w:bidi="ar-SA"/>
        </w:rPr>
        <w:t xml:space="preserve">in strawberry, blueberry or raspberry plants due to propagation and the potential for persistence of contamination and/or transfer to edible produce was not identified in the literature. </w:t>
      </w:r>
    </w:p>
    <w:p w14:paraId="5BBEDE8A" w14:textId="77777777" w:rsidR="004B2589" w:rsidRDefault="004B2589" w:rsidP="004B2589">
      <w:pPr>
        <w:pStyle w:val="Heading4"/>
        <w:numPr>
          <w:ilvl w:val="3"/>
          <w:numId w:val="11"/>
        </w:numPr>
      </w:pPr>
      <w:r>
        <w:t>Melons</w:t>
      </w:r>
    </w:p>
    <w:p w14:paraId="446C36AA" w14:textId="77777777" w:rsidR="004B2589" w:rsidRPr="00DF1A2B" w:rsidRDefault="004B2589" w:rsidP="004B2589">
      <w:pPr>
        <w:rPr>
          <w:lang w:bidi="ar-SA"/>
        </w:rPr>
      </w:pPr>
      <w:r w:rsidRPr="00DF1A2B">
        <w:rPr>
          <w:lang w:bidi="ar-SA"/>
        </w:rPr>
        <w:t>Rockmelons and watermelons in Australia are grown both from seeds and seedlings that can be purchased or produced in areas outside of the principal production fields, and if exposed to contaminated inputs may introduce microbial pathogens.</w:t>
      </w:r>
    </w:p>
    <w:p w14:paraId="0679EC22" w14:textId="77777777" w:rsidR="004B2589" w:rsidRPr="00DF1A2B" w:rsidRDefault="004B2589" w:rsidP="004B2589">
      <w:pPr>
        <w:rPr>
          <w:lang w:bidi="ar-SA"/>
        </w:rPr>
      </w:pPr>
    </w:p>
    <w:p w14:paraId="0E6475B3" w14:textId="77777777" w:rsidR="004B2589" w:rsidRPr="00C45AD4" w:rsidRDefault="004B2589" w:rsidP="004B2589">
      <w:pPr>
        <w:rPr>
          <w:lang w:bidi="ar-SA"/>
        </w:rPr>
      </w:pPr>
      <w:r w:rsidRPr="00DF1A2B">
        <w:rPr>
          <w:lang w:bidi="ar-SA"/>
        </w:rPr>
        <w:t xml:space="preserve">Experimental or epidemiological information assessing the contamination or persistence of </w:t>
      </w:r>
      <w:r w:rsidRPr="00DF1A2B">
        <w:rPr>
          <w:i/>
          <w:lang w:bidi="ar-SA"/>
        </w:rPr>
        <w:t>L. monocytogenes</w:t>
      </w:r>
      <w:r w:rsidRPr="00DF1A2B">
        <w:rPr>
          <w:lang w:bidi="ar-SA"/>
        </w:rPr>
        <w:t xml:space="preserve"> or </w:t>
      </w:r>
      <w:r w:rsidRPr="00DF1A2B">
        <w:rPr>
          <w:i/>
          <w:lang w:bidi="ar-SA"/>
        </w:rPr>
        <w:t xml:space="preserve">Salmonella </w:t>
      </w:r>
      <w:r>
        <w:rPr>
          <w:lang w:bidi="ar-SA"/>
        </w:rPr>
        <w:t xml:space="preserve">spp. </w:t>
      </w:r>
      <w:r w:rsidRPr="00DF1A2B">
        <w:rPr>
          <w:lang w:bidi="ar-SA"/>
        </w:rPr>
        <w:t>on rockmelon or watermelon seeds or seedlings and the potential for transfer to edible produce was not identified in the literature.</w:t>
      </w:r>
    </w:p>
    <w:p w14:paraId="3F0400FC" w14:textId="77777777" w:rsidR="004B2589" w:rsidRDefault="004B2589" w:rsidP="00787E56">
      <w:pPr>
        <w:pStyle w:val="Heading3"/>
        <w:numPr>
          <w:ilvl w:val="2"/>
          <w:numId w:val="11"/>
        </w:numPr>
      </w:pPr>
      <w:bookmarkStart w:id="254" w:name="_Toc56693442"/>
      <w:bookmarkStart w:id="255" w:name="_Toc58327795"/>
      <w:bookmarkStart w:id="256" w:name="_Toc58333975"/>
      <w:bookmarkStart w:id="257" w:name="_Toc64448782"/>
      <w:bookmarkStart w:id="258" w:name="_Toc87860043"/>
      <w:r>
        <w:t>Conclusions, uncertainty, and data gaps</w:t>
      </w:r>
      <w:bookmarkEnd w:id="254"/>
      <w:bookmarkEnd w:id="255"/>
      <w:bookmarkEnd w:id="256"/>
      <w:bookmarkEnd w:id="257"/>
      <w:bookmarkEnd w:id="258"/>
    </w:p>
    <w:p w14:paraId="17A69CCA" w14:textId="77777777" w:rsidR="004B2589" w:rsidRDefault="004B2589" w:rsidP="004B2589">
      <w:pPr>
        <w:rPr>
          <w:lang w:bidi="ar-SA"/>
        </w:rPr>
      </w:pPr>
      <w:r>
        <w:rPr>
          <w:lang w:eastAsia="en-AU" w:bidi="ar-SA"/>
        </w:rPr>
        <w:t xml:space="preserve">The evidence presented above </w:t>
      </w:r>
      <w:r>
        <w:t>indicates</w:t>
      </w:r>
      <w:r w:rsidRPr="00461FE8">
        <w:t xml:space="preserve"> that pathogens </w:t>
      </w:r>
      <w:r>
        <w:t>can bind strongly to</w:t>
      </w:r>
      <w:r w:rsidRPr="00461FE8">
        <w:t xml:space="preserve"> seeds of leafy vegetables</w:t>
      </w:r>
      <w:r>
        <w:t>;</w:t>
      </w:r>
      <w:r w:rsidRPr="00461FE8">
        <w:t xml:space="preserve"> can persist through prolonged periods of seed storage</w:t>
      </w:r>
      <w:r>
        <w:t xml:space="preserve">; and, in some instances, can </w:t>
      </w:r>
      <w:r w:rsidRPr="00461FE8">
        <w:t>colonise internal tissues and the surface of seedlings</w:t>
      </w:r>
      <w:r>
        <w:t xml:space="preserve"> during germination and early seedling growth. </w:t>
      </w:r>
      <w:r>
        <w:rPr>
          <w:lang w:bidi="ar-SA"/>
        </w:rPr>
        <w:t xml:space="preserve">The internalisation of pathogens into seedlings grown from contaminated seeds appears to be dependent on the bacterial species and strain; leafy vegetable species and cultivar; and possibly the levels of contamination on the </w:t>
      </w:r>
      <w:r w:rsidRPr="004F139F">
        <w:rPr>
          <w:lang w:bidi="ar-SA"/>
        </w:rPr>
        <w:t>seeds.</w:t>
      </w:r>
    </w:p>
    <w:p w14:paraId="6DD9B1AB" w14:textId="77777777" w:rsidR="004B2589" w:rsidRDefault="004B2589" w:rsidP="004B2589">
      <w:pPr>
        <w:rPr>
          <w:lang w:bidi="ar-SA"/>
        </w:rPr>
      </w:pPr>
    </w:p>
    <w:p w14:paraId="5381E77A" w14:textId="4D9E454C" w:rsidR="004B2589" w:rsidRDefault="004B2589" w:rsidP="004B2589">
      <w:r w:rsidRPr="00FB6C16">
        <w:rPr>
          <w:i/>
        </w:rPr>
        <w:t>It is possible that the internalisation and persistence in the edible part of the plant resulting from contaminated seed could represent a risk factor for some leafy vegetables.</w:t>
      </w:r>
      <w:r w:rsidRPr="0064726A">
        <w:rPr>
          <w:b/>
        </w:rPr>
        <w:t xml:space="preserve"> </w:t>
      </w:r>
      <w:r w:rsidRPr="00E12D79">
        <w:t>There is medium uncertainty and confidence in this conclusion based on the evidence available provided for leafy vegetables</w:t>
      </w:r>
      <w:r w:rsidRPr="0064726A">
        <w:t>. However, due to a lack of studies investigating both the potential for contamination via the seed and subsequent internalisation into the fruits of berries and melons, it is not possible to determine whether this risk factor applies to these commodities</w:t>
      </w:r>
      <w:r w:rsidRPr="0064726A">
        <w:rPr>
          <w:b/>
        </w:rPr>
        <w:t xml:space="preserve">. </w:t>
      </w:r>
      <w:r w:rsidRPr="00E12D79">
        <w:t xml:space="preserve">Notably, </w:t>
      </w:r>
      <w:r>
        <w:t>because</w:t>
      </w:r>
      <w:r w:rsidRPr="00E12D79" w:rsidDel="008051CC">
        <w:t xml:space="preserve"> </w:t>
      </w:r>
      <w:r w:rsidRPr="00E12D79">
        <w:t>blueberries</w:t>
      </w:r>
      <w:r>
        <w:t>,</w:t>
      </w:r>
      <w:r w:rsidRPr="00E12D79">
        <w:t xml:space="preserve"> raspberries</w:t>
      </w:r>
      <w:r>
        <w:t>, and strawberries are rarely grown from seed</w:t>
      </w:r>
      <w:r w:rsidRPr="00E12D79">
        <w:t xml:space="preserve">, and </w:t>
      </w:r>
      <w:r>
        <w:t xml:space="preserve">potentially </w:t>
      </w:r>
      <w:r w:rsidRPr="00E12D79">
        <w:t xml:space="preserve">the distance required to translocate from seed to fruit during germination and subsequent growth of melons </w:t>
      </w:r>
      <w:r w:rsidRPr="00786521">
        <w:t xml:space="preserve">reduce the </w:t>
      </w:r>
      <w:r>
        <w:t>likelihood</w:t>
      </w:r>
      <w:r w:rsidRPr="00786521">
        <w:t xml:space="preserve"> of internal contamination via the seed</w:t>
      </w:r>
      <w:r>
        <w:t xml:space="preserve"> for these commodities</w:t>
      </w:r>
      <w:r w:rsidRPr="00786521">
        <w:t>. However, there is little information available determining the prevalence and levels of pathogens on naturally contaminated seeds of any commodity. As such, the exposure to pathogens could be due to the seed itself or attributed to contaminated inputs that then contact the seed; these other inputs are discussed in other sections.</w:t>
      </w:r>
      <w:r>
        <w:t xml:space="preserve"> </w:t>
      </w:r>
    </w:p>
    <w:p w14:paraId="01938847" w14:textId="77777777" w:rsidR="00FA4F4A" w:rsidRDefault="00FA4F4A">
      <w:pPr>
        <w:widowControl/>
        <w:rPr>
          <w:b/>
          <w:bCs/>
          <w:color w:val="000000" w:themeColor="text1"/>
          <w:lang w:eastAsia="en-AU" w:bidi="ar-SA"/>
        </w:rPr>
      </w:pPr>
      <w:bookmarkStart w:id="259" w:name="_Toc56693443"/>
      <w:bookmarkStart w:id="260" w:name="_Toc58327796"/>
      <w:bookmarkStart w:id="261" w:name="_Toc58333976"/>
      <w:bookmarkStart w:id="262" w:name="_Toc64448783"/>
      <w:r>
        <w:br w:type="page"/>
      </w:r>
    </w:p>
    <w:p w14:paraId="399A24FD" w14:textId="47B839F0" w:rsidR="004B2589" w:rsidRDefault="004B2589" w:rsidP="00787E56">
      <w:pPr>
        <w:pStyle w:val="Heading3"/>
        <w:numPr>
          <w:ilvl w:val="2"/>
          <w:numId w:val="11"/>
        </w:numPr>
      </w:pPr>
      <w:bookmarkStart w:id="263" w:name="_Toc87860044"/>
      <w:r>
        <w:t>Mitigation measures</w:t>
      </w:r>
      <w:bookmarkEnd w:id="259"/>
      <w:bookmarkEnd w:id="260"/>
      <w:bookmarkEnd w:id="261"/>
      <w:bookmarkEnd w:id="262"/>
      <w:bookmarkEnd w:id="263"/>
    </w:p>
    <w:p w14:paraId="6989C670" w14:textId="77777777" w:rsidR="004B2589" w:rsidRDefault="004B2589" w:rsidP="00286019">
      <w:pPr>
        <w:spacing w:after="120"/>
      </w:pPr>
      <w:r>
        <w:t xml:space="preserve">No specific recommendations for the in-scope commodity sectors were identified. However, pertinent requirements do apply for seed sprouts, in recognition of the potential for foodborne pathogens present on seeds to survive and grow through the germination and seedling growth stages. Standard 4.2.6 </w:t>
      </w:r>
      <w:r w:rsidRPr="00CC177F">
        <w:rPr>
          <w:i/>
        </w:rPr>
        <w:t>Production and Processing Standard for Seed Sprouts</w:t>
      </w:r>
      <w:r>
        <w:t xml:space="preserve"> of the Australia New Zealand Food Standards Code</w:t>
      </w:r>
      <w:r>
        <w:rPr>
          <w:rStyle w:val="FootnoteReference"/>
        </w:rPr>
        <w:footnoteReference w:id="17"/>
      </w:r>
      <w:r>
        <w:t xml:space="preserve"> requires sprout processors to:</w:t>
      </w:r>
    </w:p>
    <w:p w14:paraId="2E0E25E2" w14:textId="77777777" w:rsidR="004B2589" w:rsidRPr="00156B3A" w:rsidRDefault="004B2589" w:rsidP="004B2589">
      <w:pPr>
        <w:pStyle w:val="ListParagraph"/>
        <w:numPr>
          <w:ilvl w:val="0"/>
          <w:numId w:val="23"/>
        </w:numPr>
        <w:shd w:val="clear" w:color="auto" w:fill="FFFFFF"/>
        <w:rPr>
          <w:rFonts w:cs="Arial"/>
          <w:color w:val="000000"/>
          <w:lang w:eastAsia="en-GB"/>
        </w:rPr>
      </w:pPr>
      <w:r>
        <w:rPr>
          <w:rFonts w:cs="Arial"/>
          <w:color w:val="000000"/>
          <w:lang w:eastAsia="en-GB"/>
        </w:rPr>
        <w:t>C</w:t>
      </w:r>
      <w:r w:rsidRPr="00156B3A">
        <w:rPr>
          <w:rFonts w:cs="Arial"/>
          <w:color w:val="000000"/>
          <w:lang w:eastAsia="en-GB"/>
        </w:rPr>
        <w:t>omply with the general food safety management requirements.</w:t>
      </w:r>
    </w:p>
    <w:p w14:paraId="6FD01382" w14:textId="77777777" w:rsidR="004B2589" w:rsidRPr="00156B3A" w:rsidRDefault="004B2589" w:rsidP="004B2589">
      <w:pPr>
        <w:pStyle w:val="ListParagraph"/>
        <w:numPr>
          <w:ilvl w:val="0"/>
          <w:numId w:val="23"/>
        </w:numPr>
        <w:shd w:val="clear" w:color="auto" w:fill="FFFFFF"/>
        <w:rPr>
          <w:rFonts w:cs="Arial"/>
          <w:color w:val="000000"/>
          <w:lang w:eastAsia="en-GB"/>
        </w:rPr>
      </w:pPr>
      <w:r>
        <w:rPr>
          <w:rFonts w:cs="Arial"/>
          <w:color w:val="000000"/>
          <w:lang w:eastAsia="en-GB"/>
        </w:rPr>
        <w:t>N</w:t>
      </w:r>
      <w:r w:rsidRPr="00156B3A">
        <w:rPr>
          <w:rFonts w:cs="Arial"/>
          <w:color w:val="000000"/>
          <w:lang w:eastAsia="en-GB"/>
        </w:rPr>
        <w:t>ot produce or process seed sprouts if the processor ought reasonably know or suspect that the seed is of a nature or in a condition that would mak</w:t>
      </w:r>
      <w:r>
        <w:rPr>
          <w:rFonts w:cs="Arial"/>
          <w:color w:val="000000"/>
          <w:lang w:eastAsia="en-GB"/>
        </w:rPr>
        <w:t>e the seed sprouts unacceptable</w:t>
      </w:r>
    </w:p>
    <w:p w14:paraId="1C895C36" w14:textId="77777777" w:rsidR="004B2589" w:rsidRPr="00156B3A" w:rsidRDefault="004B2589" w:rsidP="004B2589">
      <w:pPr>
        <w:pStyle w:val="ListParagraph"/>
        <w:numPr>
          <w:ilvl w:val="0"/>
          <w:numId w:val="23"/>
        </w:numPr>
        <w:shd w:val="clear" w:color="auto" w:fill="FFFFFF"/>
        <w:rPr>
          <w:rFonts w:cs="Arial"/>
          <w:color w:val="000000"/>
          <w:lang w:eastAsia="en-GB"/>
        </w:rPr>
      </w:pPr>
      <w:r>
        <w:rPr>
          <w:rFonts w:cs="Arial"/>
          <w:color w:val="000000"/>
          <w:lang w:eastAsia="en-GB"/>
        </w:rPr>
        <w:t>T</w:t>
      </w:r>
      <w:r w:rsidRPr="00156B3A">
        <w:rPr>
          <w:rFonts w:cs="Arial"/>
          <w:color w:val="000000"/>
          <w:lang w:eastAsia="en-GB"/>
        </w:rPr>
        <w:t>ake all reasonable measures to ensure inputs do not mak</w:t>
      </w:r>
      <w:r>
        <w:rPr>
          <w:rFonts w:cs="Arial"/>
          <w:color w:val="000000"/>
          <w:lang w:eastAsia="en-GB"/>
        </w:rPr>
        <w:t>e the seed sprouts unacceptable</w:t>
      </w:r>
    </w:p>
    <w:p w14:paraId="5CA3525E" w14:textId="77777777" w:rsidR="004B2589" w:rsidRDefault="004B2589" w:rsidP="004B2589">
      <w:pPr>
        <w:pStyle w:val="ListParagraph"/>
        <w:numPr>
          <w:ilvl w:val="0"/>
          <w:numId w:val="23"/>
        </w:numPr>
        <w:shd w:val="clear" w:color="auto" w:fill="FFFFFF"/>
        <w:rPr>
          <w:rFonts w:cs="Arial"/>
          <w:color w:val="000000"/>
          <w:lang w:eastAsia="en-GB"/>
        </w:rPr>
      </w:pPr>
      <w:r>
        <w:rPr>
          <w:rFonts w:cs="Arial"/>
          <w:color w:val="000000"/>
          <w:lang w:eastAsia="en-GB"/>
        </w:rPr>
        <w:t>I</w:t>
      </w:r>
      <w:r w:rsidRPr="00156B3A">
        <w:rPr>
          <w:rFonts w:cs="Arial"/>
          <w:color w:val="000000"/>
          <w:lang w:eastAsia="en-GB"/>
        </w:rPr>
        <w:t>mplement effective decontamination processes prior to sale or</w:t>
      </w:r>
      <w:r>
        <w:rPr>
          <w:rFonts w:cs="Arial"/>
          <w:color w:val="000000"/>
          <w:lang w:eastAsia="en-GB"/>
        </w:rPr>
        <w:t xml:space="preserve"> supply of seed sprouts</w:t>
      </w:r>
    </w:p>
    <w:p w14:paraId="009BB652" w14:textId="77777777" w:rsidR="004B2589" w:rsidRDefault="004B2589" w:rsidP="004B2589">
      <w:pPr>
        <w:pStyle w:val="ListParagraph"/>
        <w:numPr>
          <w:ilvl w:val="0"/>
          <w:numId w:val="23"/>
        </w:numPr>
        <w:shd w:val="clear" w:color="auto" w:fill="FFFFFF"/>
        <w:rPr>
          <w:rFonts w:cs="Arial"/>
          <w:color w:val="000000"/>
          <w:lang w:eastAsia="en-GB"/>
        </w:rPr>
      </w:pPr>
      <w:r>
        <w:rPr>
          <w:rFonts w:cs="Arial"/>
          <w:color w:val="000000"/>
          <w:lang w:eastAsia="en-GB"/>
        </w:rPr>
        <w:t>Have one step forward and one step back traceability</w:t>
      </w:r>
    </w:p>
    <w:p w14:paraId="70AE16EB" w14:textId="77777777" w:rsidR="004B2589" w:rsidRDefault="004B2589" w:rsidP="004B2589">
      <w:pPr>
        <w:pStyle w:val="ListParagraph"/>
        <w:numPr>
          <w:ilvl w:val="0"/>
          <w:numId w:val="23"/>
        </w:numPr>
        <w:shd w:val="clear" w:color="auto" w:fill="FFFFFF"/>
        <w:rPr>
          <w:rFonts w:cs="Arial"/>
          <w:color w:val="000000"/>
          <w:lang w:eastAsia="en-GB"/>
        </w:rPr>
      </w:pPr>
      <w:r>
        <w:rPr>
          <w:rFonts w:cs="Arial"/>
          <w:color w:val="000000"/>
          <w:lang w:eastAsia="en-GB"/>
        </w:rPr>
        <w:t>N</w:t>
      </w:r>
      <w:r w:rsidRPr="00156B3A">
        <w:rPr>
          <w:rFonts w:cs="Arial"/>
          <w:color w:val="000000"/>
          <w:lang w:eastAsia="en-GB"/>
        </w:rPr>
        <w:t>ot sell or supply seed sprouts for human consumption if the sprout processor ought reasonably know or reasonably suspect that the seed sprouts are unacceptable.</w:t>
      </w:r>
    </w:p>
    <w:p w14:paraId="189190C4" w14:textId="77777777" w:rsidR="00CA0DEE" w:rsidRPr="00C45AD4" w:rsidRDefault="00CA0DEE" w:rsidP="00CA0DEE">
      <w:pPr>
        <w:pStyle w:val="ListParagraph"/>
        <w:shd w:val="clear" w:color="auto" w:fill="FFFFFF"/>
        <w:rPr>
          <w:rFonts w:cs="Arial"/>
          <w:color w:val="000000"/>
          <w:lang w:eastAsia="en-GB"/>
        </w:rPr>
      </w:pPr>
    </w:p>
    <w:p w14:paraId="236B7C02" w14:textId="64DB8ED4" w:rsidR="00CA0DEE" w:rsidRPr="00DF1A2B" w:rsidRDefault="00CA0DEE" w:rsidP="00CA0DEE">
      <w:pPr>
        <w:pStyle w:val="Heading2"/>
        <w:numPr>
          <w:ilvl w:val="1"/>
          <w:numId w:val="11"/>
        </w:numPr>
        <w:rPr>
          <w:rFonts w:eastAsiaTheme="minorHAnsi" w:cstheme="minorBidi"/>
        </w:rPr>
      </w:pPr>
      <w:bookmarkStart w:id="264" w:name="_Toc45275353"/>
      <w:bookmarkStart w:id="265" w:name="_Toc56693444"/>
      <w:bookmarkStart w:id="266" w:name="_Toc58327797"/>
      <w:bookmarkStart w:id="267" w:name="_Toc58333977"/>
      <w:bookmarkStart w:id="268" w:name="_Toc64448784"/>
      <w:bookmarkStart w:id="269" w:name="_Toc87860045"/>
      <w:r w:rsidRPr="00DF1A2B">
        <w:t>Soil, soil amendments, and fertilisers</w:t>
      </w:r>
      <w:bookmarkEnd w:id="264"/>
      <w:bookmarkEnd w:id="265"/>
      <w:bookmarkEnd w:id="266"/>
      <w:bookmarkEnd w:id="267"/>
      <w:bookmarkEnd w:id="268"/>
      <w:bookmarkEnd w:id="269"/>
      <w:r w:rsidRPr="00DF1A2B">
        <w:t xml:space="preserve"> </w:t>
      </w:r>
    </w:p>
    <w:p w14:paraId="6D81132B" w14:textId="7E9ECDCB" w:rsidR="00CA0DEE" w:rsidRPr="00CC3B3E" w:rsidRDefault="00CA0DEE" w:rsidP="00CA0DEE">
      <w:pPr>
        <w:rPr>
          <w:lang w:eastAsia="en-AU" w:bidi="ar-SA"/>
        </w:rPr>
      </w:pPr>
      <w:r w:rsidRPr="00DF1A2B">
        <w:rPr>
          <w:lang w:eastAsia="en-AU" w:bidi="ar-SA"/>
        </w:rPr>
        <w:t>Soil and organic soil amendments such as manure, human biosolids, compost, and plant biowastes may harbour and promote the survival of pathogens. Soil amendments</w:t>
      </w:r>
      <w:r w:rsidRPr="00DF1A2B">
        <w:rPr>
          <w:rStyle w:val="FootnoteReference"/>
          <w:lang w:eastAsia="en-AU" w:bidi="ar-SA"/>
        </w:rPr>
        <w:footnoteReference w:id="18"/>
      </w:r>
      <w:r w:rsidRPr="00DF1A2B">
        <w:rPr>
          <w:lang w:eastAsia="en-AU" w:bidi="ar-SA"/>
        </w:rPr>
        <w:t xml:space="preserve"> are often applied to improve soil health and increase the nutrients available for crops. Plant biowastes are regularly retilled back into the soil following harvest. The prevalence of pathogens in soil, the ability of the pathogen to persist in the soil, the amendment type, application method, application rate, application frequency, time between application and planting or harvest are identified as risk factors that may contribute to the transfer of pathogens to fresh produce </w:t>
      </w:r>
      <w:r w:rsidR="00657FDB">
        <w:rPr>
          <w:lang w:eastAsia="en-AU" w:bidi="ar-SA"/>
        </w:rPr>
        <w:t>(FAO/WHO 2008b)</w:t>
      </w:r>
      <w:r w:rsidRPr="00CC3B3E">
        <w:rPr>
          <w:lang w:eastAsia="en-AU" w:bidi="ar-SA"/>
        </w:rPr>
        <w:t>.</w:t>
      </w:r>
    </w:p>
    <w:p w14:paraId="0BC94C8A" w14:textId="77777777" w:rsidR="00CA0DEE" w:rsidRPr="0058175B" w:rsidRDefault="00CA0DEE" w:rsidP="00787E56">
      <w:pPr>
        <w:pStyle w:val="Heading3"/>
        <w:numPr>
          <w:ilvl w:val="2"/>
          <w:numId w:val="11"/>
        </w:numPr>
      </w:pPr>
      <w:bookmarkStart w:id="270" w:name="_Toc45275355"/>
      <w:bookmarkStart w:id="271" w:name="_Toc56693445"/>
      <w:bookmarkStart w:id="272" w:name="_Toc58327798"/>
      <w:bookmarkStart w:id="273" w:name="_Toc58333978"/>
      <w:bookmarkStart w:id="274" w:name="_Toc64448785"/>
      <w:bookmarkStart w:id="275" w:name="_Toc87860046"/>
      <w:r>
        <w:t>Available data</w:t>
      </w:r>
      <w:bookmarkEnd w:id="270"/>
      <w:bookmarkEnd w:id="271"/>
      <w:bookmarkEnd w:id="272"/>
      <w:bookmarkEnd w:id="273"/>
      <w:bookmarkEnd w:id="274"/>
      <w:bookmarkEnd w:id="275"/>
    </w:p>
    <w:p w14:paraId="4489FD9C" w14:textId="0C993ABE" w:rsidR="00CA0DEE" w:rsidRPr="00DF1A2B" w:rsidRDefault="00CA0DEE" w:rsidP="00CA0DEE">
      <w:pPr>
        <w:autoSpaceDE w:val="0"/>
        <w:autoSpaceDN w:val="0"/>
        <w:adjustRightInd w:val="0"/>
        <w:spacing w:before="240"/>
        <w:rPr>
          <w:rFonts w:cs="Arial"/>
          <w:lang w:eastAsia="en-GB"/>
        </w:rPr>
      </w:pPr>
      <w:r w:rsidRPr="00DF1A2B">
        <w:rPr>
          <w:rFonts w:cs="Arial"/>
          <w:lang w:eastAsia="en-GB"/>
        </w:rPr>
        <w:t xml:space="preserve">Foodborne pathogens can survive in soil for extended periods </w:t>
      </w:r>
      <w:r w:rsidR="00657FDB">
        <w:rPr>
          <w:rFonts w:cs="Arial"/>
          <w:lang w:eastAsia="en-GB"/>
        </w:rPr>
        <w:t>(Avery et al. 2012)</w:t>
      </w:r>
      <w:r w:rsidRPr="00DF1A2B">
        <w:rPr>
          <w:rFonts w:cs="Arial"/>
          <w:lang w:eastAsia="en-GB"/>
        </w:rPr>
        <w:t xml:space="preserve">. For example, </w:t>
      </w:r>
      <w:r w:rsidRPr="00DF1A2B">
        <w:rPr>
          <w:rFonts w:cs="Arial"/>
          <w:i/>
          <w:lang w:eastAsia="en-GB"/>
        </w:rPr>
        <w:t>L. monocytogenes</w:t>
      </w:r>
      <w:r w:rsidRPr="00DF1A2B">
        <w:rPr>
          <w:rFonts w:cs="Arial"/>
          <w:lang w:eastAsia="en-GB"/>
        </w:rPr>
        <w:t xml:space="preserve">, </w:t>
      </w:r>
      <w:r w:rsidRPr="00DF1A2B">
        <w:rPr>
          <w:rFonts w:cs="Arial"/>
          <w:i/>
          <w:lang w:eastAsia="en-GB"/>
        </w:rPr>
        <w:t>Salmonella</w:t>
      </w:r>
      <w:r>
        <w:rPr>
          <w:rFonts w:cs="Arial"/>
          <w:i/>
          <w:lang w:eastAsia="en-GB"/>
        </w:rPr>
        <w:t xml:space="preserve"> </w:t>
      </w:r>
      <w:r>
        <w:rPr>
          <w:rFonts w:cs="Arial"/>
          <w:lang w:eastAsia="en-GB"/>
        </w:rPr>
        <w:t>spp.</w:t>
      </w:r>
      <w:r w:rsidRPr="00DF1A2B">
        <w:rPr>
          <w:rFonts w:cs="Arial"/>
          <w:i/>
          <w:lang w:eastAsia="en-GB"/>
        </w:rPr>
        <w:t>,</w:t>
      </w:r>
      <w:r w:rsidRPr="00DF1A2B">
        <w:rPr>
          <w:rFonts w:cs="Arial"/>
          <w:lang w:eastAsia="en-GB"/>
        </w:rPr>
        <w:t xml:space="preserve"> </w:t>
      </w:r>
      <w:r w:rsidRPr="00DF1A2B">
        <w:rPr>
          <w:rFonts w:cs="Arial"/>
          <w:i/>
          <w:lang w:eastAsia="en-GB"/>
        </w:rPr>
        <w:t>E. coli</w:t>
      </w:r>
      <w:r w:rsidRPr="00DF1A2B">
        <w:rPr>
          <w:rFonts w:cs="Arial"/>
          <w:lang w:eastAsia="en-GB"/>
        </w:rPr>
        <w:t xml:space="preserve">, and viruses have been reported to survive for up to 84 days </w:t>
      </w:r>
      <w:r w:rsidR="00657FDB">
        <w:rPr>
          <w:rFonts w:cs="Arial"/>
          <w:lang w:eastAsia="en-GB"/>
        </w:rPr>
        <w:t>(Locatelli et al. 2013)</w:t>
      </w:r>
      <w:r w:rsidRPr="00DF1A2B">
        <w:rPr>
          <w:rFonts w:cs="Arial"/>
          <w:lang w:eastAsia="en-GB"/>
        </w:rPr>
        <w:t xml:space="preserve">, 180 days </w:t>
      </w:r>
      <w:r w:rsidR="00657FDB">
        <w:rPr>
          <w:rFonts w:cs="Arial"/>
          <w:lang w:eastAsia="en-GB"/>
        </w:rPr>
        <w:t>(Danyluk et al. 2008)</w:t>
      </w:r>
      <w:r w:rsidRPr="00DF1A2B">
        <w:rPr>
          <w:rFonts w:cs="Arial"/>
          <w:lang w:eastAsia="en-GB"/>
        </w:rPr>
        <w:t xml:space="preserve">, 180 days </w:t>
      </w:r>
      <w:r w:rsidR="00657FDB">
        <w:rPr>
          <w:rFonts w:cs="Arial"/>
          <w:lang w:eastAsia="en-GB"/>
        </w:rPr>
        <w:t>(Nyberg et al. 2010)</w:t>
      </w:r>
      <w:r w:rsidRPr="00DF1A2B">
        <w:rPr>
          <w:rFonts w:cs="Arial"/>
          <w:lang w:eastAsia="en-GB"/>
        </w:rPr>
        <w:t xml:space="preserve"> and 170 days </w:t>
      </w:r>
      <w:r w:rsidR="00657FDB">
        <w:rPr>
          <w:rFonts w:cs="Arial"/>
          <w:lang w:eastAsia="en-GB"/>
        </w:rPr>
        <w:t>(Rzezutka and Cook 2004)</w:t>
      </w:r>
      <w:r>
        <w:rPr>
          <w:rFonts w:cs="Arial"/>
          <w:lang w:eastAsia="en-GB"/>
        </w:rPr>
        <w:t>,</w:t>
      </w:r>
      <w:r w:rsidRPr="00DF1A2B">
        <w:rPr>
          <w:rFonts w:cs="Arial"/>
          <w:lang w:eastAsia="en-GB"/>
        </w:rPr>
        <w:t xml:space="preserve"> respectively. Although most pathogens are generally reported to decline in soil overtime, the potential for growth in soils has been reported for bacteria with addition of nutrients and moisture to soils </w:t>
      </w:r>
      <w:r w:rsidR="00657FDB">
        <w:rPr>
          <w:rFonts w:cs="Arial"/>
          <w:lang w:eastAsia="en-GB"/>
        </w:rPr>
        <w:t>(Danyluk et al. 2008)</w:t>
      </w:r>
      <w:r w:rsidRPr="00DF1A2B">
        <w:rPr>
          <w:rFonts w:cs="Arial"/>
          <w:lang w:eastAsia="en-GB"/>
        </w:rPr>
        <w:t xml:space="preserve">, in the absence of soil microbiota </w:t>
      </w:r>
      <w:r w:rsidR="00657FDB">
        <w:rPr>
          <w:rFonts w:cs="Arial"/>
          <w:lang w:eastAsia="en-GB"/>
        </w:rPr>
        <w:t>(McLaughlin et al. 2011)</w:t>
      </w:r>
      <w:r w:rsidRPr="00DF1A2B">
        <w:rPr>
          <w:rFonts w:cs="Arial"/>
          <w:lang w:eastAsia="en-GB"/>
        </w:rPr>
        <w:t xml:space="preserve">, and in some manure amended soils </w:t>
      </w:r>
      <w:r w:rsidR="00657FDB">
        <w:rPr>
          <w:rFonts w:cs="Arial"/>
          <w:lang w:eastAsia="en-GB"/>
        </w:rPr>
        <w:t>(Berry and Miller 2005)</w:t>
      </w:r>
      <w:r w:rsidRPr="00DF1A2B">
        <w:rPr>
          <w:rFonts w:cs="Arial"/>
          <w:lang w:eastAsia="en-GB"/>
        </w:rPr>
        <w:t>.</w:t>
      </w:r>
    </w:p>
    <w:p w14:paraId="7CD31B57" w14:textId="77777777" w:rsidR="00CA0DEE" w:rsidRPr="00DF1A2B" w:rsidRDefault="00CA0DEE" w:rsidP="00CA0DEE">
      <w:pPr>
        <w:widowControl/>
        <w:autoSpaceDE w:val="0"/>
        <w:autoSpaceDN w:val="0"/>
        <w:adjustRightInd w:val="0"/>
        <w:rPr>
          <w:rFonts w:cs="Arial"/>
          <w:szCs w:val="22"/>
          <w:lang w:eastAsia="en-GB" w:bidi="ar-SA"/>
        </w:rPr>
      </w:pPr>
    </w:p>
    <w:p w14:paraId="49CCD85C" w14:textId="21CB2301" w:rsidR="00CA0DEE" w:rsidRDefault="00CA0DEE" w:rsidP="00CA0DEE">
      <w:pPr>
        <w:widowControl/>
        <w:autoSpaceDE w:val="0"/>
        <w:autoSpaceDN w:val="0"/>
        <w:adjustRightInd w:val="0"/>
      </w:pPr>
      <w:r w:rsidRPr="00DF1A2B">
        <w:t xml:space="preserve">Enteric pathogens have also been observed to survive in manure for weeks to years </w:t>
      </w:r>
      <w:r w:rsidR="00657FDB">
        <w:t>(Avery et al. 2012; EFSA Panel on Biological Hazards 2014a, 2014b, 2014c)</w:t>
      </w:r>
      <w:r w:rsidRPr="00DF1A2B">
        <w:t>, and environmental factors have been shown to reduce their persistence including higher pH, temperatures, fibre levels, and aeration levels. The extended persistence</w:t>
      </w:r>
      <w:r>
        <w:t xml:space="preserve"> of enteric pathogens in manure </w:t>
      </w:r>
      <w:r w:rsidRPr="00DF1A2B">
        <w:t xml:space="preserve">amended soils has also been reported to range for days to years </w:t>
      </w:r>
      <w:r w:rsidR="00657FDB">
        <w:t>(Avery et al. 2012; EFSA Panel on Biological Hazards 2014a, 2014b, 2014c)</w:t>
      </w:r>
      <w:r w:rsidRPr="00DF1A2B">
        <w:t xml:space="preserve">. Pathogen persistence </w:t>
      </w:r>
      <w:r>
        <w:t>is</w:t>
      </w:r>
      <w:r w:rsidRPr="00DF1A2B">
        <w:t xml:space="preserve"> reduced by factors including higher temperatures, increased levels of native microflora, lower levels of available nutrients, and lower clay content </w:t>
      </w:r>
      <w:r w:rsidR="00657FDB">
        <w:t>(EFSA Panel on Biological Hazards 2014a)</w:t>
      </w:r>
      <w:r w:rsidRPr="00DF1A2B">
        <w:t>.</w:t>
      </w:r>
    </w:p>
    <w:p w14:paraId="52950FB9" w14:textId="77777777" w:rsidR="00CA0DEE" w:rsidRDefault="00CA0DEE" w:rsidP="00CA0DEE">
      <w:pPr>
        <w:widowControl/>
        <w:autoSpaceDE w:val="0"/>
        <w:autoSpaceDN w:val="0"/>
        <w:adjustRightInd w:val="0"/>
      </w:pPr>
    </w:p>
    <w:p w14:paraId="3B88FEEE" w14:textId="49584308" w:rsidR="00CA0DEE" w:rsidRDefault="00CA0DEE" w:rsidP="00CA0DEE">
      <w:pPr>
        <w:widowControl/>
        <w:autoSpaceDE w:val="0"/>
        <w:autoSpaceDN w:val="0"/>
        <w:adjustRightInd w:val="0"/>
      </w:pPr>
      <w:r w:rsidRPr="00DF1A2B">
        <w:rPr>
          <w:i/>
        </w:rPr>
        <w:t>L.</w:t>
      </w:r>
      <w:r>
        <w:rPr>
          <w:i/>
        </w:rPr>
        <w:t> </w:t>
      </w:r>
      <w:r w:rsidRPr="00DF1A2B">
        <w:rPr>
          <w:i/>
        </w:rPr>
        <w:t>monocytogenes</w:t>
      </w:r>
      <w:r w:rsidRPr="00DF1A2B">
        <w:t xml:space="preserve"> has been reported to grow in soils—whether manure amended or not—in the presence of competing natural background microorganisms </w:t>
      </w:r>
      <w:r w:rsidR="00657FDB">
        <w:t>(Dowe et al. 1997)</w:t>
      </w:r>
      <w:r w:rsidRPr="00DF1A2B">
        <w:t xml:space="preserve">. A recent meta-analysis that quantitatively assessed the effect of different environmental factors on the persistence and inactivation of </w:t>
      </w:r>
      <w:r w:rsidRPr="00DF1A2B">
        <w:rPr>
          <w:i/>
        </w:rPr>
        <w:t>E. coli</w:t>
      </w:r>
      <w:r w:rsidRPr="00DF1A2B">
        <w:t xml:space="preserve"> in manure amended soils determined that temperature and the method of application were the most significant factors. Higher temperatures (</w:t>
      </w:r>
      <w:r>
        <w:t>&gt;</w:t>
      </w:r>
      <w:r w:rsidRPr="00DF1A2B">
        <w:t>20</w:t>
      </w:r>
      <w:r w:rsidRPr="00DF1A2B">
        <w:rPr>
          <w:rFonts w:cs="Arial"/>
        </w:rPr>
        <w:t>°</w:t>
      </w:r>
      <w:r w:rsidRPr="00DF1A2B">
        <w:t xml:space="preserve">C) and incorporation into the soil resulted in extended persistence of </w:t>
      </w:r>
      <w:r w:rsidRPr="00DF1A2B">
        <w:rPr>
          <w:i/>
        </w:rPr>
        <w:t>E. coli</w:t>
      </w:r>
      <w:r w:rsidRPr="00DF1A2B">
        <w:t xml:space="preserve"> comp</w:t>
      </w:r>
      <w:r>
        <w:t>ared to lower temperatures (0–</w:t>
      </w:r>
      <w:r w:rsidRPr="00DF1A2B">
        <w:t>10</w:t>
      </w:r>
      <w:r w:rsidRPr="00DF1A2B">
        <w:rPr>
          <w:rFonts w:cs="Arial"/>
        </w:rPr>
        <w:t>°</w:t>
      </w:r>
      <w:r w:rsidRPr="00DF1A2B">
        <w:t xml:space="preserve">C) and surface application in field studies </w:t>
      </w:r>
      <w:r w:rsidR="00657FDB">
        <w:t>(Tran et al. 2020)</w:t>
      </w:r>
      <w:r w:rsidRPr="00DF1A2B">
        <w:t xml:space="preserve">. </w:t>
      </w:r>
      <w:r w:rsidR="00657FDB">
        <w:t>(Phan-Thien et al. 2020)</w:t>
      </w:r>
      <w:r>
        <w:t xml:space="preserve"> showed that the persistence of </w:t>
      </w:r>
      <w:r w:rsidRPr="005A64D7">
        <w:rPr>
          <w:i/>
        </w:rPr>
        <w:t>Salmonella enterica</w:t>
      </w:r>
      <w:r>
        <w:t xml:space="preserve"> in soil environments was significantly influenced by a range of individual and interacting environmental effects, including temperature, soil type and amendment addition. However, in the meta-analysis by </w:t>
      </w:r>
      <w:r w:rsidR="00657FDB">
        <w:t>(Tran et al. 2020)</w:t>
      </w:r>
      <w:r>
        <w:t xml:space="preserve">, </w:t>
      </w:r>
      <w:r w:rsidRPr="00DF1A2B">
        <w:t xml:space="preserve">no significant factors were </w:t>
      </w:r>
      <w:r>
        <w:t>shown</w:t>
      </w:r>
      <w:r w:rsidRPr="00DF1A2B">
        <w:t xml:space="preserve"> </w:t>
      </w:r>
      <w:r>
        <w:t xml:space="preserve">to </w:t>
      </w:r>
      <w:r w:rsidRPr="00DF1A2B">
        <w:t xml:space="preserve">contribute to the decline of </w:t>
      </w:r>
      <w:r w:rsidRPr="00DF1A2B">
        <w:rPr>
          <w:i/>
        </w:rPr>
        <w:t>Salmonella</w:t>
      </w:r>
      <w:r>
        <w:t xml:space="preserve"> spp. </w:t>
      </w:r>
      <w:r w:rsidRPr="00DF1A2B">
        <w:t xml:space="preserve">in field studies, </w:t>
      </w:r>
      <w:r>
        <w:t xml:space="preserve">although </w:t>
      </w:r>
      <w:r w:rsidRPr="00DF1A2B">
        <w:t xml:space="preserve">the rate of decline was similar to that of </w:t>
      </w:r>
      <w:r>
        <w:rPr>
          <w:i/>
        </w:rPr>
        <w:t>E. coli</w:t>
      </w:r>
      <w:r>
        <w:t>—the average time for a 1 L</w:t>
      </w:r>
      <w:r w:rsidRPr="00DF1A2B">
        <w:t xml:space="preserve">og </w:t>
      </w:r>
      <w:r>
        <w:t>reduction at 10–2</w:t>
      </w:r>
      <w:r w:rsidRPr="00DF1A2B">
        <w:t>0</w:t>
      </w:r>
      <w:r w:rsidRPr="00DF1A2B">
        <w:rPr>
          <w:rFonts w:cs="Arial"/>
        </w:rPr>
        <w:t>°</w:t>
      </w:r>
      <w:r>
        <w:t xml:space="preserve">C in manure </w:t>
      </w:r>
      <w:r w:rsidRPr="00DF1A2B">
        <w:t>amended soils was 10.50 days and 11.67 days</w:t>
      </w:r>
      <w:r>
        <w:t xml:space="preserve">, respectively. In their modelling of the risk from </w:t>
      </w:r>
      <w:r w:rsidRPr="00121BC8">
        <w:rPr>
          <w:i/>
        </w:rPr>
        <w:t>E. coli</w:t>
      </w:r>
      <w:r>
        <w:t xml:space="preserve"> O157:H7 in fresh</w:t>
      </w:r>
      <w:r>
        <w:noBreakHyphen/>
        <w:t xml:space="preserve">cut cos lettuce, </w:t>
      </w:r>
      <w:r w:rsidR="00657FDB">
        <w:t>(Bozkurt et al. 2021)</w:t>
      </w:r>
      <w:r>
        <w:t xml:space="preserve"> used a soil prevalence of 42% as an input of the model, based on r</w:t>
      </w:r>
      <w:r w:rsidRPr="00121BC8">
        <w:t xml:space="preserve">ecorded levels of </w:t>
      </w:r>
      <w:r w:rsidRPr="00C07A72">
        <w:rPr>
          <w:i/>
        </w:rPr>
        <w:t>E. coli</w:t>
      </w:r>
      <w:r>
        <w:t xml:space="preserve"> in manure </w:t>
      </w:r>
      <w:r w:rsidRPr="00121BC8">
        <w:t>amended soil in Australia</w:t>
      </w:r>
      <w:r>
        <w:t>.</w:t>
      </w:r>
    </w:p>
    <w:p w14:paraId="11A8B852" w14:textId="77777777" w:rsidR="00CA0DEE" w:rsidRPr="00DF1A2B" w:rsidRDefault="00CA0DEE" w:rsidP="00CA0DEE">
      <w:pPr>
        <w:widowControl/>
        <w:autoSpaceDE w:val="0"/>
        <w:autoSpaceDN w:val="0"/>
        <w:adjustRightInd w:val="0"/>
      </w:pPr>
    </w:p>
    <w:p w14:paraId="10B3DCB0" w14:textId="7BEBBDCC" w:rsidR="00CA0DEE" w:rsidRPr="00DF1A2B" w:rsidRDefault="00CA0DEE" w:rsidP="00CA0DEE">
      <w:pPr>
        <w:widowControl/>
        <w:autoSpaceDE w:val="0"/>
        <w:autoSpaceDN w:val="0"/>
        <w:adjustRightInd w:val="0"/>
      </w:pPr>
      <w:r w:rsidRPr="00DF1A2B">
        <w:t>Plant material biowastes are often used as soil amendments and</w:t>
      </w:r>
      <w:r>
        <w:t xml:space="preserve"> composts</w:t>
      </w:r>
      <w:r w:rsidRPr="00DF1A2B">
        <w:t>.</w:t>
      </w:r>
      <w:r>
        <w:t xml:space="preserve"> </w:t>
      </w:r>
      <w:r w:rsidR="00657FDB">
        <w:t>Lemunier et al.</w:t>
      </w:r>
      <w:r>
        <w:t xml:space="preserve"> </w:t>
      </w:r>
      <w:r w:rsidR="00657FDB">
        <w:t>(2005)</w:t>
      </w:r>
      <w:r>
        <w:t xml:space="preserve"> assessed the</w:t>
      </w:r>
      <w:r w:rsidRPr="00DF1A2B">
        <w:t xml:space="preserve"> persistence of </w:t>
      </w:r>
      <w:r w:rsidRPr="00DF1A2B">
        <w:rPr>
          <w:i/>
        </w:rPr>
        <w:t>L. monocytogenes</w:t>
      </w:r>
      <w:r w:rsidRPr="00DF1A2B">
        <w:t xml:space="preserve">, </w:t>
      </w:r>
      <w:r w:rsidRPr="00DF1A2B">
        <w:rPr>
          <w:i/>
        </w:rPr>
        <w:t>E. coli</w:t>
      </w:r>
      <w:r w:rsidRPr="00DF1A2B">
        <w:t xml:space="preserve">, and </w:t>
      </w:r>
      <w:r w:rsidRPr="00DF1A2B">
        <w:rPr>
          <w:i/>
        </w:rPr>
        <w:t xml:space="preserve">Salmonella </w:t>
      </w:r>
      <w:r>
        <w:t xml:space="preserve">spp. experimentally inoculated into </w:t>
      </w:r>
      <w:r w:rsidRPr="00DF1A2B">
        <w:t>compost</w:t>
      </w:r>
      <w:r>
        <w:t>s composed of</w:t>
      </w:r>
      <w:r w:rsidRPr="00DF1A2B">
        <w:t xml:space="preserve"> </w:t>
      </w:r>
      <w:r>
        <w:t>varying proportions of paper, cardboard, fruits, vegetables</w:t>
      </w:r>
      <w:r w:rsidRPr="00DF1A2B">
        <w:t xml:space="preserve"> and green waste</w:t>
      </w:r>
      <w:r w:rsidRPr="00DF1A2B">
        <w:rPr>
          <w:i/>
        </w:rPr>
        <w:t>.</w:t>
      </w:r>
      <w:r w:rsidRPr="00DF1A2B">
        <w:t xml:space="preserve"> Mature compost did not support the extended survival of </w:t>
      </w:r>
      <w:r w:rsidRPr="00DF1A2B">
        <w:rPr>
          <w:i/>
        </w:rPr>
        <w:t>L. monocytogenes</w:t>
      </w:r>
      <w:r w:rsidRPr="00DF1A2B">
        <w:t xml:space="preserve"> and only limited survival of </w:t>
      </w:r>
      <w:r w:rsidRPr="00DF1A2B">
        <w:rPr>
          <w:i/>
        </w:rPr>
        <w:t>E. coli</w:t>
      </w:r>
      <w:r w:rsidRPr="00DF1A2B">
        <w:t xml:space="preserve">. However, extended survival of </w:t>
      </w:r>
      <w:r w:rsidRPr="00DF1A2B">
        <w:rPr>
          <w:i/>
        </w:rPr>
        <w:t>S</w:t>
      </w:r>
      <w:r w:rsidRPr="00E85221">
        <w:rPr>
          <w:szCs w:val="22"/>
        </w:rPr>
        <w:t xml:space="preserve">. </w:t>
      </w:r>
      <w:r w:rsidRPr="00E85221">
        <w:rPr>
          <w:rFonts w:cs="Arial"/>
          <w:szCs w:val="22"/>
          <w:shd w:val="clear" w:color="auto" w:fill="FFFFFF"/>
        </w:rPr>
        <w:t>Enteritidis</w:t>
      </w:r>
      <w:r w:rsidRPr="00DF1A2B">
        <w:t xml:space="preserve"> inoculated into mature com</w:t>
      </w:r>
      <w:r>
        <w:t xml:space="preserve">post was observed over three months, which </w:t>
      </w:r>
      <w:r w:rsidRPr="00DF1A2B">
        <w:t>indicates the importance of reducing the likelihood of recontamination of composts.</w:t>
      </w:r>
    </w:p>
    <w:p w14:paraId="5F25F692" w14:textId="77777777" w:rsidR="00CA0DEE" w:rsidRPr="00DF1A2B" w:rsidRDefault="00CA0DEE" w:rsidP="00CA0DEE">
      <w:pPr>
        <w:widowControl/>
        <w:autoSpaceDE w:val="0"/>
        <w:autoSpaceDN w:val="0"/>
        <w:adjustRightInd w:val="0"/>
      </w:pPr>
    </w:p>
    <w:p w14:paraId="4E712671" w14:textId="0958DC8A" w:rsidR="00CA0DEE" w:rsidRDefault="00CA0DEE" w:rsidP="00CA0DEE">
      <w:pPr>
        <w:widowControl/>
        <w:autoSpaceDE w:val="0"/>
        <w:autoSpaceDN w:val="0"/>
        <w:adjustRightInd w:val="0"/>
        <w:rPr>
          <w:rFonts w:cs="Arial"/>
        </w:rPr>
      </w:pPr>
      <w:r w:rsidRPr="00DF1A2B">
        <w:t xml:space="preserve">The use of human biosolids to amend soils or </w:t>
      </w:r>
      <w:r w:rsidRPr="00DF1A2B">
        <w:rPr>
          <w:rFonts w:cs="Arial"/>
          <w:lang w:eastAsia="en-GB"/>
        </w:rPr>
        <w:t>contamination by faecal pollution</w:t>
      </w:r>
      <w:r w:rsidRPr="00DF1A2B">
        <w:t xml:space="preserve"> increases the risk from viruses including </w:t>
      </w:r>
      <w:r>
        <w:t>NoV</w:t>
      </w:r>
      <w:r w:rsidRPr="00DF1A2B">
        <w:t xml:space="preserve"> and HAV. </w:t>
      </w:r>
      <w:r w:rsidRPr="00DF1A2B">
        <w:rPr>
          <w:rFonts w:cs="Arial"/>
          <w:lang w:eastAsia="en-GB"/>
        </w:rPr>
        <w:t xml:space="preserve">Enteric viruses have been reported to persist in the soil up to 100 days due to their resilience to environmental factors, but factors such as pH, soil type, and temperature can influence their persistence </w:t>
      </w:r>
      <w:r w:rsidR="00657FDB">
        <w:rPr>
          <w:rFonts w:cs="Arial"/>
          <w:lang w:eastAsia="en-GB"/>
        </w:rPr>
        <w:t>(Rzezutka and Cook 2004)</w:t>
      </w:r>
      <w:r w:rsidRPr="00DF1A2B">
        <w:rPr>
          <w:rFonts w:cs="Arial"/>
          <w:lang w:eastAsia="en-GB"/>
        </w:rPr>
        <w:t xml:space="preserve">. </w:t>
      </w:r>
      <w:r>
        <w:rPr>
          <w:rFonts w:cs="Arial"/>
        </w:rPr>
        <w:t>NoV</w:t>
      </w:r>
      <w:r w:rsidRPr="00DF1A2B">
        <w:rPr>
          <w:rFonts w:cs="Arial"/>
        </w:rPr>
        <w:t xml:space="preserve"> and HAV have also been reported to maintain infectivity in animal manure for 60 days </w:t>
      </w:r>
      <w:r w:rsidR="00657FDB">
        <w:rPr>
          <w:rFonts w:cs="Arial"/>
        </w:rPr>
        <w:t>(Wei et al. 2010)</w:t>
      </w:r>
      <w:r w:rsidRPr="00DF1A2B">
        <w:rPr>
          <w:rFonts w:cs="Arial"/>
        </w:rPr>
        <w:t>.</w:t>
      </w:r>
    </w:p>
    <w:p w14:paraId="65DC8A00" w14:textId="77777777" w:rsidR="00CA0DEE" w:rsidRPr="00DF1A2B" w:rsidRDefault="00CA0DEE" w:rsidP="00CA0DEE">
      <w:pPr>
        <w:widowControl/>
        <w:autoSpaceDE w:val="0"/>
        <w:autoSpaceDN w:val="0"/>
        <w:adjustRightInd w:val="0"/>
      </w:pPr>
    </w:p>
    <w:p w14:paraId="58A710BE" w14:textId="77777777" w:rsidR="00CA0DEE" w:rsidRPr="001348E1" w:rsidRDefault="00CA0DEE" w:rsidP="00CA0DEE">
      <w:pPr>
        <w:rPr>
          <w:lang w:eastAsia="en-AU" w:bidi="ar-SA"/>
        </w:rPr>
      </w:pPr>
      <w:r>
        <w:rPr>
          <w:lang w:eastAsia="en-AU" w:bidi="ar-SA"/>
        </w:rPr>
        <w:t>T</w:t>
      </w:r>
      <w:r w:rsidRPr="00DF1A2B">
        <w:rPr>
          <w:lang w:eastAsia="en-AU" w:bidi="ar-SA"/>
        </w:rPr>
        <w:t xml:space="preserve">he evidence </w:t>
      </w:r>
      <w:r w:rsidRPr="001348E1">
        <w:rPr>
          <w:lang w:eastAsia="en-AU" w:bidi="ar-SA"/>
        </w:rPr>
        <w:t>spec</w:t>
      </w:r>
      <w:r>
        <w:rPr>
          <w:lang w:eastAsia="en-AU" w:bidi="ar-SA"/>
        </w:rPr>
        <w:t>ifically associated with the in-</w:t>
      </w:r>
      <w:r w:rsidRPr="001348E1">
        <w:rPr>
          <w:lang w:eastAsia="en-AU" w:bidi="ar-SA"/>
        </w:rPr>
        <w:t>scope commodities and hazards is summarised below.</w:t>
      </w:r>
    </w:p>
    <w:p w14:paraId="1C3A34B3" w14:textId="77777777" w:rsidR="00CA0DEE" w:rsidRPr="001348E1" w:rsidRDefault="00CA0DEE" w:rsidP="00CA0DEE">
      <w:pPr>
        <w:pStyle w:val="Heading4"/>
        <w:numPr>
          <w:ilvl w:val="3"/>
          <w:numId w:val="11"/>
        </w:numPr>
      </w:pPr>
      <w:r w:rsidRPr="001348E1">
        <w:t>Leafy vegetables</w:t>
      </w:r>
    </w:p>
    <w:p w14:paraId="00046B2F" w14:textId="77777777" w:rsidR="00CA0DEE" w:rsidRDefault="00CA0DEE" w:rsidP="00CA0DEE">
      <w:pPr>
        <w:rPr>
          <w:lang w:bidi="ar-SA"/>
        </w:rPr>
      </w:pPr>
      <w:r>
        <w:rPr>
          <w:lang w:bidi="ar-SA"/>
        </w:rPr>
        <w:t xml:space="preserve">In a number of studies, under experimental conditions in controlled environments and in the field, </w:t>
      </w:r>
      <w:r w:rsidRPr="00BA2981">
        <w:rPr>
          <w:i/>
          <w:lang w:bidi="ar-SA"/>
        </w:rPr>
        <w:t>E. coli</w:t>
      </w:r>
      <w:r>
        <w:rPr>
          <w:lang w:bidi="ar-SA"/>
        </w:rPr>
        <w:t xml:space="preserve">, </w:t>
      </w:r>
      <w:r w:rsidRPr="00BA2981">
        <w:rPr>
          <w:i/>
          <w:lang w:bidi="ar-SA"/>
        </w:rPr>
        <w:t>Salmonella</w:t>
      </w:r>
      <w:r>
        <w:rPr>
          <w:lang w:bidi="ar-SA"/>
        </w:rPr>
        <w:t xml:space="preserve"> spp. and </w:t>
      </w:r>
      <w:r w:rsidRPr="004104AD">
        <w:rPr>
          <w:i/>
          <w:lang w:bidi="ar-SA"/>
        </w:rPr>
        <w:t>L</w:t>
      </w:r>
      <w:r>
        <w:rPr>
          <w:i/>
          <w:lang w:bidi="ar-SA"/>
        </w:rPr>
        <w:t>.</w:t>
      </w:r>
      <w:r w:rsidRPr="004104AD">
        <w:rPr>
          <w:i/>
          <w:lang w:bidi="ar-SA"/>
        </w:rPr>
        <w:t xml:space="preserve"> monocytogenes</w:t>
      </w:r>
      <w:r>
        <w:rPr>
          <w:lang w:bidi="ar-SA"/>
        </w:rPr>
        <w:t xml:space="preserve"> applied in contaminated soil and/or compost to the root zone have been observed to colonise the roots and edible parts of leafy vegetables, including internally in some cases. The incidence and degree of colonisation and internalisation reported is highly variable, and depends on the experimental set-up; soil characteristics; plant species and cultivar; and the bacterial species and strain. The type and microbiological quality of any soil amendments used and their time and method of application are also important factors affecting the risk of contamination of leafy vegetables. Key findings are summarised below.</w:t>
      </w:r>
    </w:p>
    <w:p w14:paraId="008B4CFA" w14:textId="77777777" w:rsidR="00904642" w:rsidRDefault="00904642" w:rsidP="00CA0DEE">
      <w:pPr>
        <w:rPr>
          <w:lang w:bidi="ar-SA"/>
        </w:rPr>
      </w:pPr>
    </w:p>
    <w:p w14:paraId="77A6222C" w14:textId="599D3F1E" w:rsidR="00CA0DEE" w:rsidRDefault="00CA0DEE" w:rsidP="00CA0DEE">
      <w:pPr>
        <w:rPr>
          <w:lang w:bidi="ar-SA"/>
        </w:rPr>
      </w:pPr>
      <w:r w:rsidRPr="00AC109F">
        <w:rPr>
          <w:lang w:bidi="ar-SA"/>
        </w:rPr>
        <w:t>Pathogens present in soils due to the application of contaminated soil can transfer to, and persist on or in, the edible parts of lettuce, spinach and parsley.</w:t>
      </w:r>
    </w:p>
    <w:p w14:paraId="3B79F7CF" w14:textId="77777777" w:rsidR="00CA0DEE" w:rsidRDefault="00CA0DEE" w:rsidP="00CA0DEE">
      <w:pPr>
        <w:rPr>
          <w:lang w:bidi="ar-SA"/>
        </w:rPr>
      </w:pPr>
    </w:p>
    <w:p w14:paraId="13343B42" w14:textId="77777777" w:rsidR="00FA4F4A" w:rsidRDefault="00FA4F4A">
      <w:pPr>
        <w:widowControl/>
        <w:rPr>
          <w:lang w:bidi="ar-SA"/>
        </w:rPr>
      </w:pPr>
      <w:r>
        <w:rPr>
          <w:lang w:bidi="ar-SA"/>
        </w:rPr>
        <w:br w:type="page"/>
      </w:r>
    </w:p>
    <w:p w14:paraId="5124838F" w14:textId="2E191480" w:rsidR="00CA0DEE" w:rsidRDefault="00CA0DEE" w:rsidP="00CA0DEE">
      <w:pPr>
        <w:rPr>
          <w:lang w:bidi="ar-SA"/>
        </w:rPr>
      </w:pPr>
      <w:r>
        <w:rPr>
          <w:lang w:bidi="ar-SA"/>
        </w:rPr>
        <w:t xml:space="preserve">Various </w:t>
      </w:r>
      <w:r w:rsidRPr="00EB3A63">
        <w:rPr>
          <w:i/>
          <w:lang w:bidi="ar-SA"/>
        </w:rPr>
        <w:t>Salmonella</w:t>
      </w:r>
      <w:r>
        <w:rPr>
          <w:lang w:bidi="ar-SA"/>
        </w:rPr>
        <w:t xml:space="preserve"> serovars have been shown to be able to colonise roots </w:t>
      </w:r>
      <w:r w:rsidR="00657FDB">
        <w:rPr>
          <w:lang w:bidi="ar-SA"/>
        </w:rPr>
        <w:t>(Arthurson et al. 2011; Fornefeld et al. 2018)</w:t>
      </w:r>
      <w:r>
        <w:rPr>
          <w:lang w:bidi="ar-SA"/>
        </w:rPr>
        <w:t xml:space="preserve"> and leaves </w:t>
      </w:r>
      <w:r w:rsidR="00657FDB">
        <w:rPr>
          <w:lang w:bidi="ar-SA"/>
        </w:rPr>
        <w:t>(Arthurson et al. 2011; Honjoh et al. 2014; Nicholson et al. 2015; Zhang et al. 2016)</w:t>
      </w:r>
      <w:r w:rsidRPr="00AC109F">
        <w:rPr>
          <w:lang w:bidi="ar-SA"/>
        </w:rPr>
        <w:t xml:space="preserve"> of </w:t>
      </w:r>
      <w:r>
        <w:rPr>
          <w:lang w:bidi="ar-SA"/>
        </w:rPr>
        <w:t>lettuce</w:t>
      </w:r>
      <w:r w:rsidRPr="00AC109F">
        <w:rPr>
          <w:lang w:bidi="ar-SA"/>
        </w:rPr>
        <w:t xml:space="preserve"> when present in so</w:t>
      </w:r>
      <w:r>
        <w:rPr>
          <w:lang w:bidi="ar-SA"/>
        </w:rPr>
        <w:t xml:space="preserve">ils. The capacity of salmonellae to internalise in the leaves after uptake through the roots appears to be limited and variable. </w:t>
      </w:r>
      <w:r w:rsidR="00657FDB">
        <w:rPr>
          <w:lang w:bidi="ar-SA"/>
        </w:rPr>
        <w:t>Honjoh et al.</w:t>
      </w:r>
      <w:r>
        <w:rPr>
          <w:lang w:bidi="ar-SA"/>
        </w:rPr>
        <w:t xml:space="preserve"> </w:t>
      </w:r>
      <w:r w:rsidR="00657FDB">
        <w:rPr>
          <w:lang w:bidi="ar-SA"/>
        </w:rPr>
        <w:t>(2014)</w:t>
      </w:r>
      <w:r>
        <w:rPr>
          <w:lang w:bidi="ar-SA"/>
        </w:rPr>
        <w:t xml:space="preserve"> found surface contamination, but did not detect internalisation in </w:t>
      </w:r>
      <w:r w:rsidRPr="00804BA0">
        <w:rPr>
          <w:lang w:bidi="ar-SA"/>
        </w:rPr>
        <w:t>lettuc</w:t>
      </w:r>
      <w:r>
        <w:rPr>
          <w:lang w:bidi="ar-SA"/>
        </w:rPr>
        <w:t>e during a 10-week cultivation from seed</w:t>
      </w:r>
      <w:r w:rsidRPr="00804BA0">
        <w:rPr>
          <w:lang w:bidi="ar-SA"/>
        </w:rPr>
        <w:t xml:space="preserve"> in soils inoculated with</w:t>
      </w:r>
      <w:r>
        <w:rPr>
          <w:lang w:bidi="ar-SA"/>
        </w:rPr>
        <w:t xml:space="preserve"> up to</w:t>
      </w:r>
      <w:r w:rsidRPr="00804BA0">
        <w:rPr>
          <w:lang w:bidi="ar-SA"/>
        </w:rPr>
        <w:t xml:space="preserve"> 10</w:t>
      </w:r>
      <w:r w:rsidRPr="00804BA0">
        <w:rPr>
          <w:vertAlign w:val="superscript"/>
          <w:lang w:bidi="ar-SA"/>
        </w:rPr>
        <w:t>8</w:t>
      </w:r>
      <w:r w:rsidRPr="00804BA0">
        <w:rPr>
          <w:lang w:bidi="ar-SA"/>
        </w:rPr>
        <w:t xml:space="preserve"> </w:t>
      </w:r>
      <w:r>
        <w:rPr>
          <w:lang w:bidi="ar-SA"/>
        </w:rPr>
        <w:t>CFU</w:t>
      </w:r>
      <w:r w:rsidRPr="00804BA0">
        <w:rPr>
          <w:lang w:bidi="ar-SA"/>
        </w:rPr>
        <w:t>/g</w:t>
      </w:r>
      <w:r w:rsidRPr="00804BA0">
        <w:rPr>
          <w:i/>
          <w:lang w:bidi="ar-SA"/>
        </w:rPr>
        <w:t xml:space="preserve"> S</w:t>
      </w:r>
      <w:r>
        <w:rPr>
          <w:lang w:bidi="ar-SA"/>
        </w:rPr>
        <w:t>.</w:t>
      </w:r>
      <w:r w:rsidRPr="00804BA0">
        <w:rPr>
          <w:lang w:bidi="ar-SA"/>
        </w:rPr>
        <w:t xml:space="preserve"> Enteritidis</w:t>
      </w:r>
      <w:r>
        <w:rPr>
          <w:lang w:bidi="ar-SA"/>
        </w:rPr>
        <w:t xml:space="preserve">. </w:t>
      </w:r>
      <w:r w:rsidRPr="00465187">
        <w:rPr>
          <w:lang w:bidi="ar-SA"/>
        </w:rPr>
        <w:t xml:space="preserve">Ge et al. </w:t>
      </w:r>
      <w:r w:rsidR="00657FDB">
        <w:rPr>
          <w:lang w:bidi="ar-SA"/>
        </w:rPr>
        <w:t>(2012)</w:t>
      </w:r>
      <w:r w:rsidRPr="00465187">
        <w:rPr>
          <w:lang w:bidi="ar-SA"/>
        </w:rPr>
        <w:t xml:space="preserve"> found that</w:t>
      </w:r>
      <w:r>
        <w:rPr>
          <w:lang w:bidi="ar-SA"/>
        </w:rPr>
        <w:t xml:space="preserve"> when soil was inoculated with high levels of </w:t>
      </w:r>
      <w:r w:rsidRPr="00465187">
        <w:rPr>
          <w:i/>
          <w:lang w:bidi="ar-SA"/>
        </w:rPr>
        <w:t>S</w:t>
      </w:r>
      <w:r w:rsidRPr="00465187">
        <w:rPr>
          <w:lang w:bidi="ar-SA"/>
        </w:rPr>
        <w:t>.</w:t>
      </w:r>
      <w:r>
        <w:rPr>
          <w:lang w:bidi="ar-SA"/>
        </w:rPr>
        <w:t> </w:t>
      </w:r>
      <w:r w:rsidRPr="00465187">
        <w:rPr>
          <w:lang w:bidi="ar-SA"/>
        </w:rPr>
        <w:t>Typhimurium (</w:t>
      </w:r>
      <w:r w:rsidRPr="00465187">
        <w:rPr>
          <w:rFonts w:cs="Arial"/>
          <w:lang w:bidi="ar-SA"/>
        </w:rPr>
        <w:t>≥</w:t>
      </w:r>
      <w:r w:rsidRPr="00465187">
        <w:rPr>
          <w:lang w:bidi="ar-SA"/>
        </w:rPr>
        <w:t>10</w:t>
      </w:r>
      <w:r w:rsidRPr="00465187">
        <w:rPr>
          <w:vertAlign w:val="superscript"/>
          <w:lang w:bidi="ar-SA"/>
        </w:rPr>
        <w:t>7</w:t>
      </w:r>
      <w:r>
        <w:rPr>
          <w:lang w:bidi="ar-SA"/>
        </w:rPr>
        <w:t> CFU/g soil), internalisation</w:t>
      </w:r>
      <w:r w:rsidRPr="00465187">
        <w:rPr>
          <w:lang w:bidi="ar-SA"/>
        </w:rPr>
        <w:t xml:space="preserve"> in</w:t>
      </w:r>
      <w:r>
        <w:rPr>
          <w:lang w:bidi="ar-SA"/>
        </w:rPr>
        <w:t>to</w:t>
      </w:r>
      <w:r w:rsidRPr="00465187">
        <w:rPr>
          <w:lang w:bidi="ar-SA"/>
        </w:rPr>
        <w:t xml:space="preserve"> lettuce via root uptake</w:t>
      </w:r>
      <w:r>
        <w:rPr>
          <w:lang w:bidi="ar-SA"/>
        </w:rPr>
        <w:t xml:space="preserve"> occurred. How</w:t>
      </w:r>
      <w:r w:rsidR="006B32C8">
        <w:rPr>
          <w:lang w:bidi="ar-SA"/>
        </w:rPr>
        <w:t xml:space="preserve">ever, both </w:t>
      </w:r>
      <w:r w:rsidR="00657FDB">
        <w:rPr>
          <w:lang w:bidi="ar-SA"/>
        </w:rPr>
        <w:t>Nicholson et al.</w:t>
      </w:r>
      <w:r>
        <w:rPr>
          <w:lang w:bidi="ar-SA"/>
        </w:rPr>
        <w:t xml:space="preserve"> </w:t>
      </w:r>
      <w:r w:rsidR="00657FDB">
        <w:rPr>
          <w:lang w:bidi="ar-SA"/>
        </w:rPr>
        <w:t>(2015)</w:t>
      </w:r>
      <w:r>
        <w:rPr>
          <w:lang w:bidi="ar-SA"/>
        </w:rPr>
        <w:t xml:space="preserve"> and </w:t>
      </w:r>
      <w:r w:rsidR="00657FDB">
        <w:rPr>
          <w:lang w:bidi="ar-SA"/>
        </w:rPr>
        <w:t>Zhang et al.</w:t>
      </w:r>
      <w:r>
        <w:rPr>
          <w:lang w:bidi="ar-SA"/>
        </w:rPr>
        <w:t xml:space="preserve"> </w:t>
      </w:r>
      <w:r w:rsidR="00657FDB">
        <w:rPr>
          <w:lang w:bidi="ar-SA"/>
        </w:rPr>
        <w:t>(2016)</w:t>
      </w:r>
      <w:r>
        <w:rPr>
          <w:lang w:bidi="ar-SA"/>
        </w:rPr>
        <w:t xml:space="preserve"> found low levels (generally &lt;2 Log CFU/g) of internalised salmonellae in leaves of lettuce plants grown in soils contaminated with 4.45 Log CFU/g and 5 Log CFU/g, respectively, of a number of serovars (Newport, Typhimurium, St. Paul, </w:t>
      </w:r>
      <w:r w:rsidRPr="004E1AF2">
        <w:rPr>
          <w:lang w:bidi="ar-SA"/>
        </w:rPr>
        <w:t>Montevideo</w:t>
      </w:r>
      <w:r>
        <w:rPr>
          <w:lang w:bidi="ar-SA"/>
        </w:rPr>
        <w:t>, Infantis).</w:t>
      </w:r>
    </w:p>
    <w:p w14:paraId="00D7EA1B" w14:textId="77777777" w:rsidR="00CA0DEE" w:rsidRDefault="00CA0DEE" w:rsidP="00CA0DEE">
      <w:pPr>
        <w:rPr>
          <w:lang w:bidi="ar-SA"/>
        </w:rPr>
      </w:pPr>
    </w:p>
    <w:p w14:paraId="763CC986" w14:textId="39EA0B76" w:rsidR="00CA0DEE" w:rsidRDefault="00CA0DEE" w:rsidP="00CA0DEE">
      <w:pPr>
        <w:rPr>
          <w:lang w:bidi="ar-SA"/>
        </w:rPr>
      </w:pPr>
      <w:r w:rsidRPr="00EC1CB6">
        <w:rPr>
          <w:lang w:bidi="ar-SA"/>
        </w:rPr>
        <w:t xml:space="preserve">Low level colonisation of roots and leaves of </w:t>
      </w:r>
      <w:r>
        <w:rPr>
          <w:lang w:bidi="ar-SA"/>
        </w:rPr>
        <w:t xml:space="preserve">the three in-scope </w:t>
      </w:r>
      <w:r w:rsidRPr="00EC1CB6">
        <w:rPr>
          <w:lang w:bidi="ar-SA"/>
        </w:rPr>
        <w:t xml:space="preserve">leafy vegetables by </w:t>
      </w:r>
      <w:r w:rsidRPr="00EB3A63">
        <w:rPr>
          <w:i/>
          <w:lang w:bidi="ar-SA"/>
        </w:rPr>
        <w:t>E.</w:t>
      </w:r>
      <w:r>
        <w:rPr>
          <w:i/>
          <w:lang w:bidi="ar-SA"/>
        </w:rPr>
        <w:t> </w:t>
      </w:r>
      <w:r w:rsidRPr="00EB3A63">
        <w:rPr>
          <w:i/>
          <w:lang w:bidi="ar-SA"/>
        </w:rPr>
        <w:t>coli</w:t>
      </w:r>
      <w:r>
        <w:rPr>
          <w:lang w:bidi="ar-SA"/>
        </w:rPr>
        <w:t> </w:t>
      </w:r>
      <w:r w:rsidRPr="00EC1CB6">
        <w:rPr>
          <w:lang w:bidi="ar-SA"/>
        </w:rPr>
        <w:t>O157:H7 is consistently reported</w:t>
      </w:r>
      <w:r>
        <w:rPr>
          <w:lang w:bidi="ar-SA"/>
        </w:rPr>
        <w:t xml:space="preserve"> </w:t>
      </w:r>
      <w:r w:rsidR="00657FDB">
        <w:rPr>
          <w:lang w:bidi="ar-SA"/>
        </w:rPr>
        <w:t>(Erickson et al. 2014a; Mootian et al. 2009; Nicholson et al. 2015)</w:t>
      </w:r>
      <w:r w:rsidRPr="00EC1CB6">
        <w:rPr>
          <w:lang w:bidi="ar-SA"/>
        </w:rPr>
        <w:t>, but internalisation in edible parts of the plants appears to be relatively uncommon, limited to low levels, and dependent on water and soil conditions</w:t>
      </w:r>
      <w:r>
        <w:rPr>
          <w:lang w:bidi="ar-SA"/>
        </w:rPr>
        <w:t xml:space="preserve"> and plant age</w:t>
      </w:r>
      <w:r w:rsidRPr="00EC1CB6">
        <w:rPr>
          <w:lang w:bidi="ar-SA"/>
        </w:rPr>
        <w:t>.</w:t>
      </w:r>
    </w:p>
    <w:p w14:paraId="150C10F8" w14:textId="77777777" w:rsidR="00CA0DEE" w:rsidRDefault="00CA0DEE" w:rsidP="00CA0DEE">
      <w:pPr>
        <w:rPr>
          <w:lang w:bidi="ar-SA"/>
        </w:rPr>
      </w:pPr>
    </w:p>
    <w:p w14:paraId="52C866D3" w14:textId="45198C9A" w:rsidR="009C3E8C" w:rsidRDefault="00657FDB" w:rsidP="009C3E8C">
      <w:pPr>
        <w:rPr>
          <w:lang w:bidi="ar-SA"/>
        </w:rPr>
      </w:pPr>
      <w:r>
        <w:rPr>
          <w:lang w:bidi="ar-SA"/>
        </w:rPr>
        <w:t>Erickson et al.</w:t>
      </w:r>
      <w:r w:rsidR="00CA0DEE">
        <w:rPr>
          <w:lang w:bidi="ar-SA"/>
        </w:rPr>
        <w:t xml:space="preserve"> </w:t>
      </w:r>
      <w:r>
        <w:rPr>
          <w:lang w:bidi="ar-SA"/>
        </w:rPr>
        <w:t>(2014a)</w:t>
      </w:r>
      <w:r w:rsidR="00CA0DEE">
        <w:rPr>
          <w:lang w:bidi="ar-SA"/>
        </w:rPr>
        <w:t xml:space="preserve"> found that internalisation observed in growth chamber experiments—</w:t>
      </w:r>
      <w:r w:rsidR="00CA0DEE" w:rsidRPr="004E1AF2">
        <w:rPr>
          <w:lang w:bidi="ar-SA"/>
        </w:rPr>
        <w:t xml:space="preserve">when </w:t>
      </w:r>
      <w:r w:rsidR="00CA0DEE" w:rsidRPr="00EC1CB6">
        <w:rPr>
          <w:lang w:bidi="ar-SA"/>
        </w:rPr>
        <w:t>spinach and lettuce</w:t>
      </w:r>
      <w:r w:rsidR="00CA0DEE" w:rsidRPr="004E1AF2">
        <w:rPr>
          <w:lang w:bidi="ar-SA"/>
        </w:rPr>
        <w:t xml:space="preserve"> seeds were germinated in </w:t>
      </w:r>
      <w:r w:rsidR="00CA0DEE">
        <w:rPr>
          <w:lang w:bidi="ar-SA"/>
        </w:rPr>
        <w:t xml:space="preserve">soil containing </w:t>
      </w:r>
      <w:r w:rsidR="00CA0DEE">
        <w:rPr>
          <w:rFonts w:cs="Arial"/>
          <w:lang w:bidi="ar-SA"/>
        </w:rPr>
        <w:t>≥</w:t>
      </w:r>
      <w:r w:rsidR="00CA0DEE">
        <w:rPr>
          <w:lang w:bidi="ar-SA"/>
        </w:rPr>
        <w:t xml:space="preserve">3.5 Log CFU/g </w:t>
      </w:r>
      <w:r w:rsidR="00CA0DEE" w:rsidRPr="00EB3A63">
        <w:rPr>
          <w:i/>
          <w:lang w:bidi="ar-SA"/>
        </w:rPr>
        <w:t>E.coli</w:t>
      </w:r>
      <w:r w:rsidR="00CA0DEE">
        <w:rPr>
          <w:lang w:bidi="ar-SA"/>
        </w:rPr>
        <w:t xml:space="preserve"> O157:H7—was not replicated when seeds </w:t>
      </w:r>
      <w:r w:rsidR="00CA0DEE" w:rsidRPr="00EC1CB6">
        <w:rPr>
          <w:lang w:bidi="ar-SA"/>
        </w:rPr>
        <w:t>were germinated in the field</w:t>
      </w:r>
      <w:r w:rsidR="00CA0DEE">
        <w:rPr>
          <w:lang w:bidi="ar-SA"/>
        </w:rPr>
        <w:t>;</w:t>
      </w:r>
      <w:r w:rsidR="00CA0DEE" w:rsidRPr="00EC1CB6">
        <w:rPr>
          <w:lang w:bidi="ar-SA"/>
        </w:rPr>
        <w:t xml:space="preserve"> and </w:t>
      </w:r>
      <w:r w:rsidR="00CA0DEE">
        <w:rPr>
          <w:lang w:bidi="ar-SA"/>
        </w:rPr>
        <w:t>also observed</w:t>
      </w:r>
      <w:r w:rsidR="00CA0DEE" w:rsidRPr="00EC1CB6">
        <w:rPr>
          <w:lang w:bidi="ar-SA"/>
        </w:rPr>
        <w:t xml:space="preserve"> limited surface contamination</w:t>
      </w:r>
      <w:r w:rsidR="00CA0DEE">
        <w:rPr>
          <w:lang w:bidi="ar-SA"/>
        </w:rPr>
        <w:t xml:space="preserve"> in the field grown plants. In further growth chamber experiments, </w:t>
      </w:r>
      <w:r>
        <w:rPr>
          <w:lang w:bidi="ar-SA"/>
        </w:rPr>
        <w:t>Erickson et al.</w:t>
      </w:r>
      <w:r w:rsidR="00CA0DEE">
        <w:rPr>
          <w:lang w:bidi="ar-SA"/>
        </w:rPr>
        <w:t xml:space="preserve"> </w:t>
      </w:r>
      <w:r>
        <w:rPr>
          <w:lang w:bidi="ar-SA"/>
        </w:rPr>
        <w:t>(2014b)</w:t>
      </w:r>
      <w:r w:rsidR="00CA0DEE" w:rsidRPr="00D65D51">
        <w:rPr>
          <w:lang w:bidi="ar-SA"/>
        </w:rPr>
        <w:t xml:space="preserve"> </w:t>
      </w:r>
      <w:r w:rsidR="00CA0DEE">
        <w:rPr>
          <w:lang w:bidi="ar-SA"/>
        </w:rPr>
        <w:t>observed transient i</w:t>
      </w:r>
      <w:r w:rsidR="00CA0DEE" w:rsidRPr="00AD591C">
        <w:rPr>
          <w:lang w:bidi="ar-SA"/>
        </w:rPr>
        <w:t>nternalisation into roots</w:t>
      </w:r>
      <w:r w:rsidR="00CA0DEE">
        <w:rPr>
          <w:lang w:bidi="ar-SA"/>
        </w:rPr>
        <w:t xml:space="preserve"> and leaves</w:t>
      </w:r>
      <w:r w:rsidR="00CA0DEE" w:rsidRPr="00AD591C">
        <w:rPr>
          <w:lang w:bidi="ar-SA"/>
        </w:rPr>
        <w:t xml:space="preserve"> of </w:t>
      </w:r>
      <w:r w:rsidR="00CA0DEE" w:rsidRPr="00137B20">
        <w:rPr>
          <w:lang w:bidi="ar-SA"/>
        </w:rPr>
        <w:t>spinach</w:t>
      </w:r>
      <w:r w:rsidR="00CA0DEE" w:rsidRPr="00AD591C">
        <w:rPr>
          <w:lang w:bidi="ar-SA"/>
        </w:rPr>
        <w:t xml:space="preserve"> plants</w:t>
      </w:r>
      <w:r w:rsidR="00CA0DEE">
        <w:rPr>
          <w:lang w:bidi="ar-SA"/>
        </w:rPr>
        <w:t xml:space="preserve"> at soil loads of </w:t>
      </w:r>
      <w:r w:rsidR="00CA0DEE" w:rsidRPr="00EB3A63">
        <w:rPr>
          <w:i/>
          <w:lang w:bidi="ar-SA"/>
        </w:rPr>
        <w:t>E.</w:t>
      </w:r>
      <w:r w:rsidR="00CA0DEE">
        <w:rPr>
          <w:i/>
          <w:lang w:bidi="ar-SA"/>
        </w:rPr>
        <w:t xml:space="preserve"> </w:t>
      </w:r>
      <w:r w:rsidR="00CA0DEE" w:rsidRPr="00EB3A63">
        <w:rPr>
          <w:i/>
          <w:lang w:bidi="ar-SA"/>
        </w:rPr>
        <w:t>coli</w:t>
      </w:r>
      <w:r w:rsidR="00CA0DEE">
        <w:rPr>
          <w:lang w:bidi="ar-SA"/>
        </w:rPr>
        <w:t xml:space="preserve"> O157:H7 as low as 4.2 Log CFU/g. At higher soil pathogen loads (ca. 7 Log CFU/g), similar </w:t>
      </w:r>
      <w:r w:rsidR="00CA0DEE" w:rsidRPr="00D65D51">
        <w:rPr>
          <w:lang w:bidi="ar-SA"/>
        </w:rPr>
        <w:t xml:space="preserve">average levels of internalisation of </w:t>
      </w:r>
      <w:r w:rsidR="00CA0DEE" w:rsidRPr="00D65D51">
        <w:rPr>
          <w:i/>
          <w:lang w:bidi="ar-SA"/>
        </w:rPr>
        <w:t>E. coli</w:t>
      </w:r>
      <w:r w:rsidR="00CA0DEE" w:rsidRPr="00D65D51">
        <w:rPr>
          <w:lang w:bidi="ar-SA"/>
        </w:rPr>
        <w:t xml:space="preserve"> O157:H7 into roots of 4–6 week old </w:t>
      </w:r>
      <w:r w:rsidR="00CA0DEE" w:rsidRPr="00137B20">
        <w:rPr>
          <w:lang w:bidi="ar-SA"/>
        </w:rPr>
        <w:t>lettuce, spinach and parsley</w:t>
      </w:r>
      <w:r w:rsidR="00CA0DEE" w:rsidRPr="00D65D51">
        <w:rPr>
          <w:lang w:bidi="ar-SA"/>
        </w:rPr>
        <w:t xml:space="preserve"> plants</w:t>
      </w:r>
      <w:r w:rsidR="00CA0DEE">
        <w:rPr>
          <w:lang w:bidi="ar-SA"/>
        </w:rPr>
        <w:t xml:space="preserve"> were observed.</w:t>
      </w:r>
      <w:r w:rsidR="00CA0DEE" w:rsidRPr="00D65D51">
        <w:rPr>
          <w:lang w:bidi="ar-SA"/>
        </w:rPr>
        <w:t xml:space="preserve"> In all three</w:t>
      </w:r>
      <w:r w:rsidR="00CA0DEE">
        <w:rPr>
          <w:lang w:bidi="ar-SA"/>
        </w:rPr>
        <w:t xml:space="preserve"> cases</w:t>
      </w:r>
      <w:r w:rsidR="00CA0DEE" w:rsidRPr="00D65D51">
        <w:rPr>
          <w:lang w:bidi="ar-SA"/>
        </w:rPr>
        <w:t xml:space="preserve">, </w:t>
      </w:r>
      <w:r w:rsidR="00CA0DEE">
        <w:rPr>
          <w:lang w:bidi="ar-SA"/>
        </w:rPr>
        <w:t xml:space="preserve">internal </w:t>
      </w:r>
      <w:r w:rsidR="00CA0DEE" w:rsidRPr="00D65D51">
        <w:rPr>
          <w:lang w:bidi="ar-SA"/>
        </w:rPr>
        <w:t>translocation of bacteria from roots to leaves was rare</w:t>
      </w:r>
      <w:r w:rsidR="00CA0DEE">
        <w:rPr>
          <w:lang w:bidi="ar-SA"/>
        </w:rPr>
        <w:t>.</w:t>
      </w:r>
      <w:r w:rsidR="009C3E8C">
        <w:rPr>
          <w:lang w:bidi="ar-SA"/>
        </w:rPr>
        <w:t xml:space="preserve"> </w:t>
      </w:r>
    </w:p>
    <w:p w14:paraId="4C01155D" w14:textId="77777777" w:rsidR="00904642" w:rsidRDefault="00904642" w:rsidP="009C3E8C">
      <w:pPr>
        <w:rPr>
          <w:lang w:bidi="ar-SA"/>
        </w:rPr>
      </w:pPr>
    </w:p>
    <w:p w14:paraId="6ECAB80B" w14:textId="5B27E46E" w:rsidR="00CA0DEE" w:rsidRDefault="00CA0DEE" w:rsidP="00CA0DEE">
      <w:pPr>
        <w:rPr>
          <w:rFonts w:cs="Arial"/>
          <w:szCs w:val="22"/>
          <w:lang w:bidi="ar-SA"/>
        </w:rPr>
      </w:pPr>
      <w:r>
        <w:rPr>
          <w:lang w:bidi="ar-SA"/>
        </w:rPr>
        <w:t>Similar results were obtained by</w:t>
      </w:r>
      <w:r w:rsidRPr="004E1AF2">
        <w:rPr>
          <w:lang w:bidi="ar-SA"/>
        </w:rPr>
        <w:t xml:space="preserve"> </w:t>
      </w:r>
      <w:r w:rsidR="00657FDB">
        <w:rPr>
          <w:lang w:bidi="ar-SA"/>
        </w:rPr>
        <w:t>Mootian et al.</w:t>
      </w:r>
      <w:r>
        <w:rPr>
          <w:lang w:bidi="ar-SA"/>
        </w:rPr>
        <w:t xml:space="preserve"> </w:t>
      </w:r>
      <w:r w:rsidR="00657FDB">
        <w:rPr>
          <w:lang w:bidi="ar-SA"/>
        </w:rPr>
        <w:t>(2009)</w:t>
      </w:r>
      <w:r>
        <w:rPr>
          <w:lang w:bidi="ar-SA"/>
        </w:rPr>
        <w:t xml:space="preserve"> for young lettuce plants (12 day post-germination) exposed to up to 10</w:t>
      </w:r>
      <w:r w:rsidRPr="00260B7D">
        <w:rPr>
          <w:vertAlign w:val="superscript"/>
          <w:lang w:bidi="ar-SA"/>
        </w:rPr>
        <w:t>4</w:t>
      </w:r>
      <w:r>
        <w:rPr>
          <w:lang w:bidi="ar-SA"/>
        </w:rPr>
        <w:t xml:space="preserve"> CFU/g</w:t>
      </w:r>
      <w:r w:rsidRPr="00137B20">
        <w:rPr>
          <w:lang w:bidi="ar-SA"/>
        </w:rPr>
        <w:t xml:space="preserve"> </w:t>
      </w:r>
      <w:r w:rsidRPr="00BE6960">
        <w:rPr>
          <w:i/>
          <w:lang w:bidi="ar-SA"/>
        </w:rPr>
        <w:t>E. coli</w:t>
      </w:r>
      <w:r w:rsidRPr="00137B20">
        <w:rPr>
          <w:lang w:bidi="ar-SA"/>
        </w:rPr>
        <w:t xml:space="preserve"> O157:H7</w:t>
      </w:r>
      <w:r w:rsidRPr="004E1AF2">
        <w:rPr>
          <w:lang w:bidi="ar-SA"/>
        </w:rPr>
        <w:t xml:space="preserve"> </w:t>
      </w:r>
      <w:r>
        <w:rPr>
          <w:lang w:bidi="ar-SA"/>
        </w:rPr>
        <w:t>in</w:t>
      </w:r>
      <w:r w:rsidRPr="004E1AF2">
        <w:rPr>
          <w:lang w:bidi="ar-SA"/>
        </w:rPr>
        <w:t xml:space="preserve"> soil</w:t>
      </w:r>
      <w:r>
        <w:rPr>
          <w:lang w:bidi="ar-SA"/>
        </w:rPr>
        <w:t xml:space="preserve">. However, for mature plants (30 days) surface and internalised </w:t>
      </w:r>
      <w:r w:rsidRPr="00BE6960">
        <w:rPr>
          <w:i/>
          <w:lang w:bidi="ar-SA"/>
        </w:rPr>
        <w:t>E. coli</w:t>
      </w:r>
      <w:r w:rsidRPr="00137B20">
        <w:rPr>
          <w:lang w:bidi="ar-SA"/>
        </w:rPr>
        <w:t xml:space="preserve"> O157:H7</w:t>
      </w:r>
      <w:r>
        <w:rPr>
          <w:lang w:bidi="ar-SA"/>
        </w:rPr>
        <w:t xml:space="preserve"> in lettuce leaves were detected by enrichment 15 days after exposure in soil to levels as low as 1–2 Log CFU/g. </w:t>
      </w:r>
      <w:r w:rsidR="00657FDB">
        <w:rPr>
          <w:lang w:bidi="ar-SA"/>
        </w:rPr>
        <w:t>Nicholson et al.</w:t>
      </w:r>
      <w:r>
        <w:rPr>
          <w:lang w:bidi="ar-SA"/>
        </w:rPr>
        <w:t xml:space="preserve"> </w:t>
      </w:r>
      <w:r w:rsidR="00657FDB">
        <w:rPr>
          <w:lang w:bidi="ar-SA"/>
        </w:rPr>
        <w:t>(2015)</w:t>
      </w:r>
      <w:r w:rsidRPr="004E1AF2">
        <w:rPr>
          <w:lang w:bidi="ar-SA"/>
        </w:rPr>
        <w:t xml:space="preserve"> </w:t>
      </w:r>
      <w:r>
        <w:rPr>
          <w:lang w:bidi="ar-SA"/>
        </w:rPr>
        <w:t xml:space="preserve">also observed prolonged internal colonisation of </w:t>
      </w:r>
      <w:r w:rsidRPr="00BE6960">
        <w:rPr>
          <w:i/>
          <w:lang w:bidi="ar-SA"/>
        </w:rPr>
        <w:t>E. coli</w:t>
      </w:r>
      <w:r w:rsidRPr="004E1AF2">
        <w:rPr>
          <w:lang w:bidi="ar-SA"/>
        </w:rPr>
        <w:t xml:space="preserve"> </w:t>
      </w:r>
      <w:r w:rsidRPr="00137B20">
        <w:rPr>
          <w:lang w:bidi="ar-SA"/>
        </w:rPr>
        <w:t>O157:H7</w:t>
      </w:r>
      <w:r>
        <w:rPr>
          <w:lang w:bidi="ar-SA"/>
        </w:rPr>
        <w:t xml:space="preserve"> into the leaves of 6 week old </w:t>
      </w:r>
      <w:r w:rsidRPr="00137B20">
        <w:rPr>
          <w:lang w:bidi="ar-SA"/>
        </w:rPr>
        <w:t>lettuce</w:t>
      </w:r>
      <w:r>
        <w:rPr>
          <w:lang w:bidi="ar-SA"/>
        </w:rPr>
        <w:t xml:space="preserve"> plants, with 33% of plants containing up to 0.38 L</w:t>
      </w:r>
      <w:r w:rsidRPr="006209CB">
        <w:rPr>
          <w:lang w:bidi="ar-SA"/>
        </w:rPr>
        <w:t xml:space="preserve">og CFU/shoot </w:t>
      </w:r>
      <w:r>
        <w:rPr>
          <w:lang w:bidi="ar-SA"/>
        </w:rPr>
        <w:t xml:space="preserve">22 days after exposure to </w:t>
      </w:r>
      <w:r w:rsidRPr="008B7311">
        <w:rPr>
          <w:lang w:bidi="ar-SA"/>
        </w:rPr>
        <w:t>5.11 CFU/g</w:t>
      </w:r>
      <w:r>
        <w:rPr>
          <w:lang w:bidi="ar-SA"/>
        </w:rPr>
        <w:t xml:space="preserve"> in soil. </w:t>
      </w:r>
      <w:r>
        <w:rPr>
          <w:rFonts w:cs="Arial"/>
          <w:szCs w:val="22"/>
          <w:lang w:bidi="ar-SA"/>
        </w:rPr>
        <w:t>Conversely, only transient surface contamination and no internalisation in leaves was observed when l</w:t>
      </w:r>
      <w:r w:rsidRPr="00137B20">
        <w:rPr>
          <w:rFonts w:cs="Arial"/>
          <w:szCs w:val="22"/>
          <w:lang w:bidi="ar-SA"/>
        </w:rPr>
        <w:t>ettuce</w:t>
      </w:r>
      <w:r>
        <w:rPr>
          <w:rFonts w:cs="Arial"/>
          <w:szCs w:val="22"/>
          <w:lang w:bidi="ar-SA"/>
        </w:rPr>
        <w:t xml:space="preserve"> seedlings were grown in </w:t>
      </w:r>
      <w:r>
        <w:rPr>
          <w:lang w:bidi="ar-SA"/>
        </w:rPr>
        <w:t xml:space="preserve">soil contaminated with five strains of GFP-labelled </w:t>
      </w:r>
      <w:r w:rsidRPr="00BE6960">
        <w:rPr>
          <w:i/>
          <w:lang w:bidi="ar-SA"/>
        </w:rPr>
        <w:t>E. coli</w:t>
      </w:r>
      <w:r w:rsidRPr="00137B20">
        <w:rPr>
          <w:lang w:bidi="ar-SA"/>
        </w:rPr>
        <w:t xml:space="preserve"> O157:H7</w:t>
      </w:r>
      <w:r>
        <w:rPr>
          <w:lang w:bidi="ar-SA"/>
        </w:rPr>
        <w:t xml:space="preserve"> (individually or together) at 3, 4 or 6 Log CFU/g, regardless of heat and soil moisture conditions (optimal or stressed), type</w:t>
      </w:r>
      <w:r w:rsidRPr="004E1AF2">
        <w:rPr>
          <w:lang w:bidi="ar-SA"/>
        </w:rPr>
        <w:t xml:space="preserve"> of lettuce,</w:t>
      </w:r>
      <w:r>
        <w:rPr>
          <w:lang w:bidi="ar-SA"/>
        </w:rPr>
        <w:t xml:space="preserve"> or</w:t>
      </w:r>
      <w:r w:rsidRPr="004E1AF2">
        <w:rPr>
          <w:lang w:bidi="ar-SA"/>
        </w:rPr>
        <w:t xml:space="preserve"> age of plants</w:t>
      </w:r>
      <w:r>
        <w:rPr>
          <w:lang w:bidi="ar-SA"/>
        </w:rPr>
        <w:t xml:space="preserve"> </w:t>
      </w:r>
      <w:r w:rsidR="00657FDB">
        <w:rPr>
          <w:rFonts w:cs="Arial"/>
          <w:szCs w:val="22"/>
          <w:lang w:bidi="ar-SA"/>
        </w:rPr>
        <w:t>(Zhang et al. 2009a; Zhang et al. 2009b)</w:t>
      </w:r>
      <w:r>
        <w:rPr>
          <w:lang w:bidi="ar-SA"/>
        </w:rPr>
        <w:t>.</w:t>
      </w:r>
    </w:p>
    <w:p w14:paraId="72038085" w14:textId="77777777" w:rsidR="00CA0DEE" w:rsidRDefault="00CA0DEE" w:rsidP="00CA0DEE">
      <w:pPr>
        <w:rPr>
          <w:lang w:bidi="ar-SA"/>
        </w:rPr>
      </w:pPr>
    </w:p>
    <w:p w14:paraId="0B665858" w14:textId="2DA7F900" w:rsidR="00CA0DEE" w:rsidRDefault="00CA0DEE" w:rsidP="00CA0DEE">
      <w:pPr>
        <w:rPr>
          <w:lang w:bidi="ar-SA"/>
        </w:rPr>
      </w:pPr>
      <w:r>
        <w:rPr>
          <w:lang w:bidi="ar-SA"/>
        </w:rPr>
        <w:t xml:space="preserve">For </w:t>
      </w:r>
      <w:r w:rsidRPr="00BE6960">
        <w:rPr>
          <w:i/>
          <w:lang w:bidi="ar-SA"/>
        </w:rPr>
        <w:t>L. monocytogenes</w:t>
      </w:r>
      <w:r>
        <w:rPr>
          <w:lang w:bidi="ar-SA"/>
        </w:rPr>
        <w:t xml:space="preserve">, </w:t>
      </w:r>
      <w:r w:rsidR="00657FDB">
        <w:rPr>
          <w:lang w:bidi="ar-SA"/>
        </w:rPr>
        <w:t>Honjoh et al.</w:t>
      </w:r>
      <w:r>
        <w:rPr>
          <w:lang w:bidi="ar-SA"/>
        </w:rPr>
        <w:t xml:space="preserve"> </w:t>
      </w:r>
      <w:r w:rsidR="00657FDB">
        <w:rPr>
          <w:lang w:bidi="ar-SA"/>
        </w:rPr>
        <w:t>(2018)</w:t>
      </w:r>
      <w:r>
        <w:rPr>
          <w:lang w:bidi="ar-SA"/>
        </w:rPr>
        <w:t xml:space="preserve"> found leaf surface contamination but no internalisation in lettuce grown from seed in soils inoculated with 4–8 log CFU/g.</w:t>
      </w:r>
    </w:p>
    <w:p w14:paraId="7057DC57" w14:textId="77777777" w:rsidR="00CA0DEE" w:rsidRDefault="00CA0DEE" w:rsidP="00CA0DEE">
      <w:pPr>
        <w:rPr>
          <w:lang w:bidi="ar-SA"/>
        </w:rPr>
      </w:pPr>
    </w:p>
    <w:p w14:paraId="75ACF488" w14:textId="65E0FC24" w:rsidR="00CA0DEE" w:rsidRDefault="00CA0DEE" w:rsidP="00CA0DEE">
      <w:pPr>
        <w:rPr>
          <w:lang w:bidi="ar-SA"/>
        </w:rPr>
      </w:pPr>
      <w:r>
        <w:rPr>
          <w:lang w:bidi="ar-SA"/>
        </w:rPr>
        <w:t>Also, s</w:t>
      </w:r>
      <w:r w:rsidRPr="00EC238C">
        <w:rPr>
          <w:lang w:bidi="ar-SA"/>
        </w:rPr>
        <w:t>oil characteristics</w:t>
      </w:r>
      <w:r>
        <w:rPr>
          <w:lang w:bidi="ar-SA"/>
        </w:rPr>
        <w:t xml:space="preserve"> were shown to affect </w:t>
      </w:r>
      <w:r>
        <w:t xml:space="preserve">adherence </w:t>
      </w:r>
      <w:r>
        <w:rPr>
          <w:lang w:bidi="ar-SA"/>
        </w:rPr>
        <w:t xml:space="preserve">of </w:t>
      </w:r>
      <w:r w:rsidRPr="00125E98">
        <w:rPr>
          <w:i/>
          <w:lang w:bidi="ar-SA"/>
        </w:rPr>
        <w:t>E. coli</w:t>
      </w:r>
      <w:r>
        <w:rPr>
          <w:lang w:bidi="ar-SA"/>
        </w:rPr>
        <w:t xml:space="preserve"> O104:H4</w:t>
      </w:r>
      <w:r>
        <w:t xml:space="preserve"> to, and internalisation into, roots of lettuce </w:t>
      </w:r>
      <w:r>
        <w:rPr>
          <w:lang w:bidi="ar-SA"/>
        </w:rPr>
        <w:t>grown</w:t>
      </w:r>
      <w:r w:rsidRPr="004E1AF2">
        <w:rPr>
          <w:lang w:bidi="ar-SA"/>
        </w:rPr>
        <w:t xml:space="preserve"> </w:t>
      </w:r>
      <w:r>
        <w:rPr>
          <w:lang w:bidi="ar-SA"/>
        </w:rPr>
        <w:t xml:space="preserve">under greenhouse conditions in soils contaminated with bacteria at </w:t>
      </w:r>
      <w:r w:rsidRPr="00C81A87">
        <w:rPr>
          <w:lang w:bidi="ar-SA"/>
        </w:rPr>
        <w:t>2.2×10</w:t>
      </w:r>
      <w:r w:rsidRPr="00C81A87">
        <w:rPr>
          <w:vertAlign w:val="superscript"/>
          <w:lang w:bidi="ar-SA"/>
        </w:rPr>
        <w:t>8</w:t>
      </w:r>
      <w:r w:rsidRPr="00C81A87">
        <w:rPr>
          <w:lang w:bidi="ar-SA"/>
        </w:rPr>
        <w:t xml:space="preserve"> </w:t>
      </w:r>
      <w:r>
        <w:rPr>
          <w:lang w:bidi="ar-SA"/>
        </w:rPr>
        <w:t>CFU</w:t>
      </w:r>
      <w:r w:rsidRPr="00C81A87">
        <w:rPr>
          <w:lang w:bidi="ar-SA"/>
        </w:rPr>
        <w:t>/g soi</w:t>
      </w:r>
      <w:r>
        <w:rPr>
          <w:lang w:bidi="ar-SA"/>
        </w:rPr>
        <w:t xml:space="preserve">l </w:t>
      </w:r>
      <w:r w:rsidR="00657FDB">
        <w:rPr>
          <w:lang w:bidi="ar-SA"/>
        </w:rPr>
        <w:t>(Eissenberger et al. 2020)</w:t>
      </w:r>
      <w:r>
        <w:rPr>
          <w:lang w:bidi="ar-SA"/>
        </w:rPr>
        <w:t>. Bacterial loads of 5.0×10</w:t>
      </w:r>
      <w:r w:rsidRPr="00C81A87">
        <w:rPr>
          <w:vertAlign w:val="superscript"/>
          <w:lang w:bidi="ar-SA"/>
        </w:rPr>
        <w:t>3</w:t>
      </w:r>
      <w:r>
        <w:rPr>
          <w:lang w:bidi="ar-SA"/>
        </w:rPr>
        <w:t> CFU/g and 2.6×10</w:t>
      </w:r>
      <w:r w:rsidRPr="00C81A87">
        <w:rPr>
          <w:vertAlign w:val="superscript"/>
          <w:lang w:bidi="ar-SA"/>
        </w:rPr>
        <w:t>4</w:t>
      </w:r>
      <w:r>
        <w:rPr>
          <w:lang w:bidi="ar-SA"/>
        </w:rPr>
        <w:t xml:space="preserve"> CFU/g were detected in the roots of lettuce grown in diluvial sand or alluvial loam, respectively, after surface disinfection. However, no </w:t>
      </w:r>
      <w:r w:rsidRPr="004E1AF2">
        <w:rPr>
          <w:lang w:bidi="ar-SA"/>
        </w:rPr>
        <w:t xml:space="preserve">assessment </w:t>
      </w:r>
      <w:r>
        <w:rPr>
          <w:lang w:bidi="ar-SA"/>
        </w:rPr>
        <w:t xml:space="preserve">was undertaken of the potential for </w:t>
      </w:r>
      <w:r w:rsidRPr="004E1AF2">
        <w:rPr>
          <w:lang w:bidi="ar-SA"/>
        </w:rPr>
        <w:t xml:space="preserve">bacterial translocation from </w:t>
      </w:r>
      <w:r>
        <w:rPr>
          <w:lang w:bidi="ar-SA"/>
        </w:rPr>
        <w:t xml:space="preserve">the </w:t>
      </w:r>
      <w:r w:rsidRPr="004E1AF2">
        <w:rPr>
          <w:lang w:bidi="ar-SA"/>
        </w:rPr>
        <w:t>root</w:t>
      </w:r>
      <w:r>
        <w:rPr>
          <w:lang w:bidi="ar-SA"/>
        </w:rPr>
        <w:t>s</w:t>
      </w:r>
      <w:r w:rsidRPr="004E1AF2">
        <w:rPr>
          <w:lang w:bidi="ar-SA"/>
        </w:rPr>
        <w:t xml:space="preserve"> to</w:t>
      </w:r>
      <w:r>
        <w:rPr>
          <w:lang w:bidi="ar-SA"/>
        </w:rPr>
        <w:t xml:space="preserve"> the</w:t>
      </w:r>
      <w:r w:rsidRPr="004E1AF2">
        <w:rPr>
          <w:lang w:bidi="ar-SA"/>
        </w:rPr>
        <w:t xml:space="preserve"> edible portion of the plants</w:t>
      </w:r>
      <w:r>
        <w:rPr>
          <w:lang w:bidi="ar-SA"/>
        </w:rPr>
        <w:t xml:space="preserve">. </w:t>
      </w:r>
    </w:p>
    <w:p w14:paraId="072DFA39" w14:textId="77777777" w:rsidR="00CA0DEE" w:rsidRDefault="00CA0DEE" w:rsidP="00CA0DEE">
      <w:pPr>
        <w:rPr>
          <w:lang w:bidi="ar-SA"/>
        </w:rPr>
      </w:pPr>
    </w:p>
    <w:p w14:paraId="09E51714" w14:textId="7760089D" w:rsidR="00CA0DEE" w:rsidRDefault="00CA0DEE" w:rsidP="00CA0DEE">
      <w:pPr>
        <w:rPr>
          <w:lang w:bidi="ar-SA"/>
        </w:rPr>
      </w:pPr>
      <w:r>
        <w:rPr>
          <w:lang w:bidi="ar-SA"/>
        </w:rPr>
        <w:t>T</w:t>
      </w:r>
      <w:r w:rsidRPr="00DE0DD1">
        <w:rPr>
          <w:lang w:bidi="ar-SA"/>
        </w:rPr>
        <w:t>he use of insufficien</w:t>
      </w:r>
      <w:r>
        <w:rPr>
          <w:lang w:bidi="ar-SA"/>
        </w:rPr>
        <w:t>tly composted manure as fertilis</w:t>
      </w:r>
      <w:r w:rsidRPr="00DE0DD1">
        <w:rPr>
          <w:lang w:bidi="ar-SA"/>
        </w:rPr>
        <w:t xml:space="preserve">er </w:t>
      </w:r>
      <w:r>
        <w:rPr>
          <w:lang w:bidi="ar-SA"/>
        </w:rPr>
        <w:t>has been</w:t>
      </w:r>
      <w:r w:rsidRPr="00DE0DD1">
        <w:rPr>
          <w:lang w:bidi="ar-SA"/>
        </w:rPr>
        <w:t xml:space="preserve"> associated with increased </w:t>
      </w:r>
      <w:r w:rsidRPr="00AA6844">
        <w:rPr>
          <w:i/>
          <w:lang w:bidi="ar-SA"/>
        </w:rPr>
        <w:t>Salmonella</w:t>
      </w:r>
      <w:r w:rsidRPr="00DE0DD1">
        <w:rPr>
          <w:lang w:bidi="ar-SA"/>
        </w:rPr>
        <w:t xml:space="preserve"> </w:t>
      </w:r>
      <w:r>
        <w:rPr>
          <w:lang w:bidi="ar-SA"/>
        </w:rPr>
        <w:t xml:space="preserve">spp. </w:t>
      </w:r>
      <w:r w:rsidRPr="00DE0DD1">
        <w:rPr>
          <w:lang w:bidi="ar-SA"/>
        </w:rPr>
        <w:t>prevalence in leafy vegetables</w:t>
      </w:r>
      <w:r>
        <w:rPr>
          <w:lang w:bidi="ar-SA"/>
        </w:rPr>
        <w:t xml:space="preserve"> in a multi-country survey </w:t>
      </w:r>
      <w:r w:rsidR="00657FDB">
        <w:rPr>
          <w:lang w:bidi="ar-SA"/>
        </w:rPr>
        <w:t>(Ceuppens et al. 2015)</w:t>
      </w:r>
      <w:r w:rsidRPr="00DE0DD1">
        <w:rPr>
          <w:lang w:bidi="ar-SA"/>
        </w:rPr>
        <w:t xml:space="preserve">. </w:t>
      </w:r>
      <w:r>
        <w:rPr>
          <w:lang w:bidi="ar-SA"/>
        </w:rPr>
        <w:t xml:space="preserve">However, evidence of </w:t>
      </w:r>
      <w:r w:rsidRPr="00AA6844">
        <w:rPr>
          <w:i/>
          <w:lang w:bidi="ar-SA"/>
        </w:rPr>
        <w:t>Salmonella</w:t>
      </w:r>
      <w:r>
        <w:rPr>
          <w:lang w:bidi="ar-SA"/>
        </w:rPr>
        <w:t xml:space="preserve"> spp. colonisation and internalisation from experiments involving leafy vegetable cultivation in </w:t>
      </w:r>
      <w:r w:rsidRPr="00DE0DD1">
        <w:rPr>
          <w:lang w:bidi="ar-SA"/>
        </w:rPr>
        <w:t>inocu</w:t>
      </w:r>
      <w:r>
        <w:rPr>
          <w:lang w:bidi="ar-SA"/>
        </w:rPr>
        <w:t xml:space="preserve">lated, compost amended or manure </w:t>
      </w:r>
      <w:r w:rsidRPr="00DE0DD1">
        <w:rPr>
          <w:lang w:bidi="ar-SA"/>
        </w:rPr>
        <w:t>amended soils</w:t>
      </w:r>
      <w:r>
        <w:rPr>
          <w:lang w:bidi="ar-SA"/>
        </w:rPr>
        <w:t xml:space="preserve"> is variable.</w:t>
      </w:r>
    </w:p>
    <w:p w14:paraId="34B320D9" w14:textId="77777777" w:rsidR="00CA0DEE" w:rsidRDefault="00CA0DEE" w:rsidP="00CA0DEE">
      <w:pPr>
        <w:rPr>
          <w:lang w:bidi="ar-SA"/>
        </w:rPr>
      </w:pPr>
    </w:p>
    <w:p w14:paraId="570002B7" w14:textId="2CBF33D1" w:rsidR="00CA0DEE" w:rsidRDefault="00CA0DEE" w:rsidP="00CA0DEE">
      <w:pPr>
        <w:rPr>
          <w:lang w:bidi="ar-SA"/>
        </w:rPr>
      </w:pPr>
      <w:r>
        <w:rPr>
          <w:lang w:bidi="ar-SA"/>
        </w:rPr>
        <w:t>No contamination of leaves was observed in spinach grown from seed in</w:t>
      </w:r>
      <w:r w:rsidRPr="00F04F31">
        <w:t xml:space="preserve"> </w:t>
      </w:r>
      <w:r w:rsidRPr="00F04F31">
        <w:rPr>
          <w:lang w:bidi="ar-SA"/>
        </w:rPr>
        <w:t>cattle manure slurry</w:t>
      </w:r>
      <w:r>
        <w:rPr>
          <w:lang w:bidi="ar-SA"/>
        </w:rPr>
        <w:t xml:space="preserve"> amended soil inoculated with up to 6 Log CFU/g </w:t>
      </w:r>
      <w:r w:rsidRPr="00F04F31">
        <w:rPr>
          <w:i/>
          <w:lang w:bidi="ar-SA"/>
        </w:rPr>
        <w:t>S</w:t>
      </w:r>
      <w:r w:rsidRPr="00F04F31">
        <w:rPr>
          <w:lang w:bidi="ar-SA"/>
        </w:rPr>
        <w:t>. Weltevreden</w:t>
      </w:r>
      <w:r>
        <w:rPr>
          <w:lang w:bidi="ar-SA"/>
        </w:rPr>
        <w:t xml:space="preserve"> </w:t>
      </w:r>
      <w:r w:rsidR="00657FDB">
        <w:rPr>
          <w:lang w:bidi="ar-SA"/>
        </w:rPr>
        <w:t>(Arthurson et al. 2011)</w:t>
      </w:r>
      <w:r>
        <w:rPr>
          <w:lang w:bidi="ar-SA"/>
        </w:rPr>
        <w:t xml:space="preserve">, or in edible parts of lettuce seedlings exposed to up to 6.5 Log CFU/g </w:t>
      </w:r>
      <w:r w:rsidRPr="0018749E">
        <w:rPr>
          <w:i/>
          <w:lang w:bidi="ar-SA"/>
        </w:rPr>
        <w:t>S</w:t>
      </w:r>
      <w:r>
        <w:rPr>
          <w:lang w:bidi="ar-SA"/>
        </w:rPr>
        <w:t xml:space="preserve">. Typhimurium in </w:t>
      </w:r>
      <w:r w:rsidRPr="00F04F31">
        <w:rPr>
          <w:lang w:bidi="ar-SA"/>
        </w:rPr>
        <w:t>soil</w:t>
      </w:r>
      <w:r>
        <w:rPr>
          <w:lang w:bidi="ar-SA"/>
        </w:rPr>
        <w:t>s</w:t>
      </w:r>
      <w:r w:rsidRPr="00F04F31">
        <w:rPr>
          <w:lang w:bidi="ar-SA"/>
        </w:rPr>
        <w:t xml:space="preserve"> amended with municipal sewage sludge</w:t>
      </w:r>
      <w:r>
        <w:rPr>
          <w:lang w:bidi="ar-SA"/>
        </w:rPr>
        <w:t xml:space="preserve"> or cattle manure </w:t>
      </w:r>
      <w:r w:rsidR="00657FDB">
        <w:rPr>
          <w:lang w:bidi="ar-SA"/>
        </w:rPr>
        <w:t>(Fornefeld et al. 2018; Franz et al. 2005)</w:t>
      </w:r>
      <w:r>
        <w:rPr>
          <w:lang w:bidi="ar-SA"/>
        </w:rPr>
        <w:t xml:space="preserve">. However, </w:t>
      </w:r>
      <w:r w:rsidR="00657FDB">
        <w:rPr>
          <w:lang w:bidi="ar-SA"/>
        </w:rPr>
        <w:t>Shah et al.</w:t>
      </w:r>
      <w:r>
        <w:rPr>
          <w:lang w:bidi="ar-SA"/>
        </w:rPr>
        <w:t xml:space="preserve"> </w:t>
      </w:r>
      <w:r w:rsidR="00657FDB">
        <w:rPr>
          <w:lang w:bidi="ar-SA"/>
        </w:rPr>
        <w:t>(2019)</w:t>
      </w:r>
      <w:r>
        <w:rPr>
          <w:lang w:bidi="ar-SA"/>
        </w:rPr>
        <w:t xml:space="preserve"> observed low levels of S. Newport (&lt;5 MPN/plant) in spinach plants grown in soil </w:t>
      </w:r>
      <w:r w:rsidRPr="0018749E">
        <w:rPr>
          <w:lang w:bidi="ar-SA"/>
        </w:rPr>
        <w:t>amended</w:t>
      </w:r>
      <w:r>
        <w:rPr>
          <w:lang w:bidi="ar-SA"/>
        </w:rPr>
        <w:t xml:space="preserve"> with inoculated </w:t>
      </w:r>
      <w:r w:rsidRPr="0018749E">
        <w:rPr>
          <w:lang w:bidi="ar-SA"/>
        </w:rPr>
        <w:t>heat-treated poultry pellet</w:t>
      </w:r>
      <w:r>
        <w:rPr>
          <w:lang w:bidi="ar-SA"/>
        </w:rPr>
        <w:t xml:space="preserve">s, and </w:t>
      </w:r>
      <w:r w:rsidR="00657FDB">
        <w:rPr>
          <w:lang w:bidi="ar-SA"/>
        </w:rPr>
        <w:t>Islam et al.</w:t>
      </w:r>
      <w:r>
        <w:rPr>
          <w:lang w:bidi="ar-SA"/>
        </w:rPr>
        <w:t xml:space="preserve"> </w:t>
      </w:r>
      <w:r w:rsidR="00657FDB">
        <w:rPr>
          <w:lang w:bidi="ar-SA"/>
        </w:rPr>
        <w:t>(2004b)</w:t>
      </w:r>
      <w:r>
        <w:rPr>
          <w:lang w:bidi="ar-SA"/>
        </w:rPr>
        <w:t xml:space="preserve"> detected </w:t>
      </w:r>
      <w:r w:rsidRPr="0018749E">
        <w:rPr>
          <w:lang w:bidi="ar-SA"/>
        </w:rPr>
        <w:t xml:space="preserve">an avirulent strain of </w:t>
      </w:r>
      <w:r w:rsidRPr="0018749E">
        <w:rPr>
          <w:i/>
          <w:lang w:bidi="ar-SA"/>
        </w:rPr>
        <w:t>S</w:t>
      </w:r>
      <w:r>
        <w:rPr>
          <w:lang w:bidi="ar-SA"/>
        </w:rPr>
        <w:t>.</w:t>
      </w:r>
      <w:r w:rsidRPr="0018749E">
        <w:rPr>
          <w:lang w:bidi="ar-SA"/>
        </w:rPr>
        <w:t xml:space="preserve"> Typhimurium on lettuce and parsley grown in soil fertilised with contaminated (to 10</w:t>
      </w:r>
      <w:r w:rsidRPr="0018749E">
        <w:rPr>
          <w:vertAlign w:val="superscript"/>
          <w:lang w:bidi="ar-SA"/>
        </w:rPr>
        <w:t>7</w:t>
      </w:r>
      <w:r w:rsidRPr="0018749E">
        <w:rPr>
          <w:lang w:bidi="ar-SA"/>
        </w:rPr>
        <w:t xml:space="preserve"> CFU/g) poultry or bovine manure composts for up to 63 days and 231 days, respectively.</w:t>
      </w:r>
    </w:p>
    <w:p w14:paraId="3675172C" w14:textId="77777777" w:rsidR="00CA0DEE" w:rsidRDefault="00CA0DEE" w:rsidP="00CA0DEE">
      <w:pPr>
        <w:rPr>
          <w:lang w:bidi="ar-SA"/>
        </w:rPr>
      </w:pPr>
    </w:p>
    <w:p w14:paraId="4506D404" w14:textId="515BBABC" w:rsidR="00CA0DEE" w:rsidRDefault="00CA0DEE" w:rsidP="00CA0DEE">
      <w:pPr>
        <w:rPr>
          <w:lang w:bidi="ar-SA"/>
        </w:rPr>
      </w:pPr>
      <w:r>
        <w:rPr>
          <w:lang w:bidi="ar-SA"/>
        </w:rPr>
        <w:t>While i</w:t>
      </w:r>
      <w:r w:rsidRPr="0018749E">
        <w:rPr>
          <w:lang w:bidi="ar-SA"/>
        </w:rPr>
        <w:t>nternalisation was not assessed</w:t>
      </w:r>
      <w:r>
        <w:rPr>
          <w:lang w:bidi="ar-SA"/>
        </w:rPr>
        <w:t xml:space="preserve"> in either of the above cases, others have described </w:t>
      </w:r>
      <w:r w:rsidRPr="005B7C7C">
        <w:rPr>
          <w:i/>
          <w:lang w:bidi="ar-SA"/>
        </w:rPr>
        <w:t>Salmonella</w:t>
      </w:r>
      <w:r>
        <w:rPr>
          <w:lang w:bidi="ar-SA"/>
        </w:rPr>
        <w:t xml:space="preserve"> spp. colonisation. </w:t>
      </w:r>
      <w:r w:rsidR="00657FDB">
        <w:rPr>
          <w:lang w:bidi="ar-SA"/>
        </w:rPr>
        <w:t>Murphy et al.</w:t>
      </w:r>
      <w:r>
        <w:rPr>
          <w:lang w:bidi="ar-SA"/>
        </w:rPr>
        <w:t xml:space="preserve"> </w:t>
      </w:r>
      <w:r w:rsidR="00657FDB">
        <w:rPr>
          <w:lang w:bidi="ar-SA"/>
        </w:rPr>
        <w:t>(2016)</w:t>
      </w:r>
      <w:r>
        <w:rPr>
          <w:lang w:bidi="ar-SA"/>
        </w:rPr>
        <w:t xml:space="preserve"> found internalised </w:t>
      </w:r>
      <w:r w:rsidRPr="005B7C7C">
        <w:rPr>
          <w:i/>
          <w:lang w:bidi="ar-SA"/>
        </w:rPr>
        <w:t>S</w:t>
      </w:r>
      <w:r w:rsidRPr="005B7C7C">
        <w:rPr>
          <w:lang w:bidi="ar-SA"/>
        </w:rPr>
        <w:t xml:space="preserve">. Senftenberg in roots and leaves </w:t>
      </w:r>
      <w:r>
        <w:rPr>
          <w:lang w:bidi="ar-SA"/>
        </w:rPr>
        <w:t>of lettuce plants up to 50 days after three</w:t>
      </w:r>
      <w:r w:rsidRPr="005B7C7C">
        <w:rPr>
          <w:lang w:bidi="ar-SA"/>
        </w:rPr>
        <w:t xml:space="preserve"> week old seedlings were transplanted into peat growing media amended with contaminated (at 5 Log CFU/g wet wt) food waste derived compost </w:t>
      </w:r>
      <w:r>
        <w:rPr>
          <w:lang w:bidi="ar-SA"/>
        </w:rPr>
        <w:t>or</w:t>
      </w:r>
      <w:r w:rsidRPr="005B7C7C">
        <w:rPr>
          <w:lang w:bidi="ar-SA"/>
        </w:rPr>
        <w:t xml:space="preserve"> anaerobic digestate liqu</w:t>
      </w:r>
      <w:r>
        <w:rPr>
          <w:lang w:bidi="ar-SA"/>
        </w:rPr>
        <w:t xml:space="preserve">id. Also </w:t>
      </w:r>
      <w:r w:rsidRPr="005B7C7C">
        <w:rPr>
          <w:i/>
          <w:lang w:bidi="ar-SA"/>
        </w:rPr>
        <w:t>S</w:t>
      </w:r>
      <w:r>
        <w:rPr>
          <w:lang w:bidi="ar-SA"/>
        </w:rPr>
        <w:t xml:space="preserve">. Newport was recovered at levels of between </w:t>
      </w:r>
      <w:r w:rsidRPr="00B12005">
        <w:rPr>
          <w:lang w:bidi="ar-SA"/>
        </w:rPr>
        <w:t xml:space="preserve">75 </w:t>
      </w:r>
      <w:r>
        <w:rPr>
          <w:lang w:bidi="ar-SA"/>
        </w:rPr>
        <w:t>and 1</w:t>
      </w:r>
      <w:r w:rsidRPr="00B12005">
        <w:rPr>
          <w:lang w:bidi="ar-SA"/>
        </w:rPr>
        <w:t>275 CFU per plant</w:t>
      </w:r>
      <w:r>
        <w:rPr>
          <w:lang w:bidi="ar-SA"/>
        </w:rPr>
        <w:t xml:space="preserve"> in six week old mini-cos </w:t>
      </w:r>
      <w:r w:rsidRPr="005B7C7C">
        <w:rPr>
          <w:lang w:bidi="ar-SA"/>
        </w:rPr>
        <w:t xml:space="preserve">lettuce </w:t>
      </w:r>
      <w:r>
        <w:rPr>
          <w:lang w:bidi="ar-SA"/>
        </w:rPr>
        <w:t xml:space="preserve">grown from seed in cattle manure amended soil </w:t>
      </w:r>
      <w:r w:rsidRPr="005B7C7C">
        <w:rPr>
          <w:lang w:bidi="ar-SA"/>
        </w:rPr>
        <w:t>(</w:t>
      </w:r>
      <w:r>
        <w:rPr>
          <w:lang w:bidi="ar-SA"/>
        </w:rPr>
        <w:t xml:space="preserve">inoculated at </w:t>
      </w:r>
      <w:r w:rsidRPr="005B7C7C">
        <w:rPr>
          <w:lang w:bidi="ar-SA"/>
        </w:rPr>
        <w:t>10</w:t>
      </w:r>
      <w:r w:rsidRPr="00207F60">
        <w:rPr>
          <w:vertAlign w:val="superscript"/>
          <w:lang w:bidi="ar-SA"/>
        </w:rPr>
        <w:t>7</w:t>
      </w:r>
      <w:r>
        <w:rPr>
          <w:lang w:bidi="ar-SA"/>
        </w:rPr>
        <w:t xml:space="preserve"> CFU/g wet wt) </w:t>
      </w:r>
      <w:r w:rsidR="00657FDB">
        <w:rPr>
          <w:lang w:bidi="ar-SA"/>
        </w:rPr>
        <w:t>(Klerks et al. 2007a; Klerks et al. 2007b)</w:t>
      </w:r>
      <w:r>
        <w:rPr>
          <w:lang w:bidi="ar-SA"/>
        </w:rPr>
        <w:t xml:space="preserve">. Bacterial cells were mainly present in the stem of the plants, between the </w:t>
      </w:r>
      <w:r w:rsidRPr="00207F60">
        <w:rPr>
          <w:lang w:bidi="ar-SA"/>
        </w:rPr>
        <w:t xml:space="preserve">root-stem transition point </w:t>
      </w:r>
      <w:r>
        <w:rPr>
          <w:lang w:bidi="ar-SA"/>
        </w:rPr>
        <w:t>and</w:t>
      </w:r>
      <w:r w:rsidRPr="00207F60">
        <w:rPr>
          <w:lang w:bidi="ar-SA"/>
        </w:rPr>
        <w:t xml:space="preserve"> the leaves</w:t>
      </w:r>
      <w:r>
        <w:rPr>
          <w:lang w:bidi="ar-SA"/>
        </w:rPr>
        <w:t>.</w:t>
      </w:r>
    </w:p>
    <w:p w14:paraId="32007FE9" w14:textId="77777777" w:rsidR="00CA0DEE" w:rsidRDefault="00CA0DEE" w:rsidP="00CA0DEE">
      <w:pPr>
        <w:rPr>
          <w:lang w:bidi="ar-SA"/>
        </w:rPr>
      </w:pPr>
    </w:p>
    <w:p w14:paraId="5837DB0B" w14:textId="77777777" w:rsidR="00CA0DEE" w:rsidRDefault="00CA0DEE" w:rsidP="00CA0DEE">
      <w:pPr>
        <w:rPr>
          <w:lang w:bidi="ar-SA"/>
        </w:rPr>
      </w:pPr>
      <w:r>
        <w:rPr>
          <w:lang w:bidi="ar-SA"/>
        </w:rPr>
        <w:t>E</w:t>
      </w:r>
      <w:r w:rsidRPr="007C7234">
        <w:rPr>
          <w:lang w:bidi="ar-SA"/>
        </w:rPr>
        <w:t>vidence of colonisation and internalisation</w:t>
      </w:r>
      <w:r>
        <w:rPr>
          <w:lang w:bidi="ar-SA"/>
        </w:rPr>
        <w:t xml:space="preserve"> of leafy vegetables by </w:t>
      </w:r>
      <w:r w:rsidRPr="00577F30">
        <w:rPr>
          <w:i/>
          <w:lang w:bidi="ar-SA"/>
        </w:rPr>
        <w:t>E. coli</w:t>
      </w:r>
      <w:r w:rsidRPr="007C7234">
        <w:rPr>
          <w:lang w:bidi="ar-SA"/>
        </w:rPr>
        <w:t xml:space="preserve"> from experiments involving cultivation in inoculated, compost</w:t>
      </w:r>
      <w:r>
        <w:rPr>
          <w:lang w:bidi="ar-SA"/>
        </w:rPr>
        <w:t xml:space="preserve"> amended or manure </w:t>
      </w:r>
      <w:r w:rsidRPr="007C7234">
        <w:rPr>
          <w:lang w:bidi="ar-SA"/>
        </w:rPr>
        <w:t>amended soils is variable</w:t>
      </w:r>
      <w:r>
        <w:rPr>
          <w:lang w:bidi="ar-SA"/>
        </w:rPr>
        <w:t>.</w:t>
      </w:r>
    </w:p>
    <w:p w14:paraId="71DB272F" w14:textId="77777777" w:rsidR="00CA0DEE" w:rsidRDefault="00CA0DEE" w:rsidP="00CA0DEE">
      <w:pPr>
        <w:rPr>
          <w:lang w:bidi="ar-SA"/>
        </w:rPr>
      </w:pPr>
    </w:p>
    <w:p w14:paraId="7F7B2F61" w14:textId="7C2BB715" w:rsidR="00CA0DEE" w:rsidRDefault="00CA0DEE" w:rsidP="00CA0DEE">
      <w:pPr>
        <w:rPr>
          <w:lang w:bidi="ar-SA"/>
        </w:rPr>
      </w:pPr>
      <w:r>
        <w:rPr>
          <w:lang w:bidi="ar-SA"/>
        </w:rPr>
        <w:t xml:space="preserve">While it has been demonstrated that </w:t>
      </w:r>
      <w:r w:rsidRPr="00577F30">
        <w:rPr>
          <w:i/>
          <w:lang w:bidi="ar-SA"/>
        </w:rPr>
        <w:t>E. coli</w:t>
      </w:r>
      <w:r>
        <w:rPr>
          <w:lang w:bidi="ar-SA"/>
        </w:rPr>
        <w:t xml:space="preserve"> O157:H7 can persist for more than five months in manure amended soils planted with lettuce or parsley </w:t>
      </w:r>
      <w:r w:rsidR="00657FDB">
        <w:rPr>
          <w:lang w:bidi="ar-SA"/>
        </w:rPr>
        <w:t>(Islam et al. 2004a)</w:t>
      </w:r>
      <w:r>
        <w:rPr>
          <w:lang w:bidi="ar-SA"/>
        </w:rPr>
        <w:t xml:space="preserve">, few studies describe surface contamination of the roots of leafy vegetable. Persistent colonisation of the rhizosphere (roots and closely associated soil) was observed by </w:t>
      </w:r>
      <w:r w:rsidR="00657FDB">
        <w:rPr>
          <w:lang w:bidi="ar-SA"/>
        </w:rPr>
        <w:t>Habteselassie et al.</w:t>
      </w:r>
      <w:r>
        <w:rPr>
          <w:lang w:bidi="ar-SA"/>
        </w:rPr>
        <w:t xml:space="preserve"> </w:t>
      </w:r>
      <w:r w:rsidR="00657FDB">
        <w:rPr>
          <w:lang w:bidi="ar-SA"/>
        </w:rPr>
        <w:t>(2010)</w:t>
      </w:r>
      <w:r>
        <w:rPr>
          <w:lang w:bidi="ar-SA"/>
        </w:rPr>
        <w:t xml:space="preserve"> in lettuce plants grown in </w:t>
      </w:r>
      <w:r w:rsidRPr="00145A33">
        <w:rPr>
          <w:lang w:bidi="ar-SA"/>
        </w:rPr>
        <w:t>cattle manure amended soil</w:t>
      </w:r>
      <w:r>
        <w:rPr>
          <w:lang w:bidi="ar-SA"/>
        </w:rPr>
        <w:t xml:space="preserve">, but </w:t>
      </w:r>
      <w:r w:rsidR="00657FDB">
        <w:rPr>
          <w:lang w:bidi="ar-SA"/>
        </w:rPr>
        <w:t>Franz et al.</w:t>
      </w:r>
      <w:r>
        <w:rPr>
          <w:lang w:bidi="ar-SA"/>
        </w:rPr>
        <w:t xml:space="preserve"> </w:t>
      </w:r>
      <w:r w:rsidR="00657FDB">
        <w:rPr>
          <w:lang w:bidi="ar-SA"/>
        </w:rPr>
        <w:t>(2005)</w:t>
      </w:r>
      <w:r>
        <w:rPr>
          <w:lang w:bidi="ar-SA"/>
        </w:rPr>
        <w:t xml:space="preserve"> only observed colonisation of </w:t>
      </w:r>
      <w:r w:rsidRPr="00145A33">
        <w:rPr>
          <w:lang w:bidi="ar-SA"/>
        </w:rPr>
        <w:t>one</w:t>
      </w:r>
      <w:r>
        <w:rPr>
          <w:lang w:bidi="ar-SA"/>
        </w:rPr>
        <w:t xml:space="preserve"> of 24 washed root samples of lettuce plants</w:t>
      </w:r>
      <w:r w:rsidRPr="00145A33">
        <w:rPr>
          <w:lang w:bidi="ar-SA"/>
        </w:rPr>
        <w:t xml:space="preserve"> grown on </w:t>
      </w:r>
      <w:r>
        <w:rPr>
          <w:lang w:bidi="ar-SA"/>
        </w:rPr>
        <w:t>two types of soil</w:t>
      </w:r>
      <w:r w:rsidRPr="00145A33">
        <w:rPr>
          <w:lang w:bidi="ar-SA"/>
        </w:rPr>
        <w:t xml:space="preserve"> amended </w:t>
      </w:r>
      <w:r>
        <w:rPr>
          <w:lang w:bidi="ar-SA"/>
        </w:rPr>
        <w:t xml:space="preserve">separately </w:t>
      </w:r>
      <w:r w:rsidRPr="00145A33">
        <w:rPr>
          <w:lang w:bidi="ar-SA"/>
        </w:rPr>
        <w:t xml:space="preserve">with </w:t>
      </w:r>
      <w:r>
        <w:rPr>
          <w:lang w:bidi="ar-SA"/>
        </w:rPr>
        <w:t>three types of cattle manure.</w:t>
      </w:r>
    </w:p>
    <w:p w14:paraId="33D59F70" w14:textId="77777777" w:rsidR="00CA0DEE" w:rsidRDefault="00CA0DEE" w:rsidP="00CA0DEE">
      <w:pPr>
        <w:rPr>
          <w:lang w:bidi="ar-SA"/>
        </w:rPr>
      </w:pPr>
    </w:p>
    <w:p w14:paraId="255267A0" w14:textId="0986F786" w:rsidR="00CA0DEE" w:rsidRDefault="00CA0DEE" w:rsidP="00CA0DEE">
      <w:pPr>
        <w:rPr>
          <w:lang w:bidi="ar-SA"/>
        </w:rPr>
      </w:pPr>
      <w:r>
        <w:rPr>
          <w:lang w:bidi="ar-SA"/>
        </w:rPr>
        <w:t xml:space="preserve">Internalisation of </w:t>
      </w:r>
      <w:r>
        <w:rPr>
          <w:i/>
          <w:lang w:bidi="ar-SA"/>
        </w:rPr>
        <w:t xml:space="preserve">E. coli </w:t>
      </w:r>
      <w:r>
        <w:rPr>
          <w:lang w:bidi="ar-SA"/>
        </w:rPr>
        <w:t>into the roots of leafy vegetables varies. In three</w:t>
      </w:r>
      <w:r w:rsidRPr="00727194">
        <w:rPr>
          <w:lang w:bidi="ar-SA"/>
        </w:rPr>
        <w:t xml:space="preserve"> week old </w:t>
      </w:r>
      <w:r>
        <w:rPr>
          <w:lang w:bidi="ar-SA"/>
        </w:rPr>
        <w:t xml:space="preserve">lettuce </w:t>
      </w:r>
      <w:r w:rsidRPr="00727194">
        <w:rPr>
          <w:lang w:bidi="ar-SA"/>
        </w:rPr>
        <w:t>seedlings transplanted into contaminated amended soils</w:t>
      </w:r>
      <w:r>
        <w:rPr>
          <w:lang w:bidi="ar-SA"/>
        </w:rPr>
        <w:t>, i</w:t>
      </w:r>
      <w:r w:rsidRPr="00727194">
        <w:rPr>
          <w:lang w:bidi="ar-SA"/>
        </w:rPr>
        <w:t xml:space="preserve">nternalisation </w:t>
      </w:r>
      <w:r>
        <w:rPr>
          <w:lang w:bidi="ar-SA"/>
        </w:rPr>
        <w:t xml:space="preserve">of root-associated </w:t>
      </w:r>
      <w:r>
        <w:rPr>
          <w:i/>
          <w:lang w:bidi="ar-SA"/>
        </w:rPr>
        <w:t>E. </w:t>
      </w:r>
      <w:r w:rsidRPr="00727194">
        <w:rPr>
          <w:i/>
          <w:lang w:bidi="ar-SA"/>
        </w:rPr>
        <w:t>coli</w:t>
      </w:r>
      <w:r w:rsidRPr="00727194">
        <w:rPr>
          <w:lang w:bidi="ar-SA"/>
        </w:rPr>
        <w:t xml:space="preserve"> O157:H7 </w:t>
      </w:r>
      <w:r>
        <w:rPr>
          <w:lang w:bidi="ar-SA"/>
        </w:rPr>
        <w:t>was observed for</w:t>
      </w:r>
      <w:r w:rsidRPr="00727194">
        <w:rPr>
          <w:lang w:bidi="ar-SA"/>
        </w:rPr>
        <w:t xml:space="preserve"> up to 50 days</w:t>
      </w:r>
      <w:r>
        <w:rPr>
          <w:lang w:bidi="ar-SA"/>
        </w:rPr>
        <w:t xml:space="preserve"> </w:t>
      </w:r>
      <w:r w:rsidR="00657FDB">
        <w:rPr>
          <w:lang w:bidi="ar-SA"/>
        </w:rPr>
        <w:t>(Murphy et al. 2016)</w:t>
      </w:r>
      <w:r>
        <w:rPr>
          <w:lang w:bidi="ar-SA"/>
        </w:rPr>
        <w:t xml:space="preserve">. However, </w:t>
      </w:r>
      <w:r w:rsidR="00657FDB">
        <w:rPr>
          <w:lang w:bidi="ar-SA"/>
        </w:rPr>
        <w:t>Sharma et al.</w:t>
      </w:r>
      <w:r>
        <w:rPr>
          <w:lang w:bidi="ar-SA"/>
        </w:rPr>
        <w:t xml:space="preserve"> </w:t>
      </w:r>
      <w:r w:rsidR="00657FDB">
        <w:rPr>
          <w:lang w:bidi="ar-SA"/>
        </w:rPr>
        <w:t>(2009)</w:t>
      </w:r>
      <w:r>
        <w:rPr>
          <w:lang w:bidi="ar-SA"/>
        </w:rPr>
        <w:t xml:space="preserve"> found only sporadic internalisation in roots of </w:t>
      </w:r>
      <w:r w:rsidRPr="009549E4">
        <w:rPr>
          <w:lang w:bidi="ar-SA"/>
        </w:rPr>
        <w:t>baby spinach seedlings planted</w:t>
      </w:r>
      <w:r>
        <w:rPr>
          <w:lang w:bidi="ar-SA"/>
        </w:rPr>
        <w:t xml:space="preserve"> in soil amended with </w:t>
      </w:r>
      <w:r w:rsidRPr="009549E4">
        <w:rPr>
          <w:lang w:bidi="ar-SA"/>
        </w:rPr>
        <w:t>cattle faecal slurries</w:t>
      </w:r>
      <w:r>
        <w:rPr>
          <w:lang w:bidi="ar-SA"/>
        </w:rPr>
        <w:t xml:space="preserve">. Also, </w:t>
      </w:r>
      <w:r w:rsidR="00657FDB">
        <w:rPr>
          <w:lang w:bidi="ar-SA"/>
        </w:rPr>
        <w:t>Johannessen et al.</w:t>
      </w:r>
      <w:r>
        <w:rPr>
          <w:lang w:bidi="ar-SA"/>
        </w:rPr>
        <w:t xml:space="preserve"> </w:t>
      </w:r>
      <w:r w:rsidR="00657FDB">
        <w:rPr>
          <w:lang w:bidi="ar-SA"/>
        </w:rPr>
        <w:t>(2005)</w:t>
      </w:r>
      <w:r>
        <w:rPr>
          <w:lang w:bidi="ar-SA"/>
        </w:rPr>
        <w:t xml:space="preserve"> reported no internalisation in lettuce roots 50 </w:t>
      </w:r>
      <w:r w:rsidRPr="008C2856">
        <w:rPr>
          <w:lang w:bidi="ar-SA"/>
        </w:rPr>
        <w:t xml:space="preserve">days after seedlings were transplanted into soil fertilised with bovine manure/urine slurry inoculated with </w:t>
      </w:r>
      <w:r>
        <w:rPr>
          <w:lang w:bidi="ar-SA"/>
        </w:rPr>
        <w:t>ca.</w:t>
      </w:r>
      <w:r w:rsidRPr="008C2856">
        <w:rPr>
          <w:lang w:bidi="ar-SA"/>
        </w:rPr>
        <w:t xml:space="preserve"> 10</w:t>
      </w:r>
      <w:r w:rsidRPr="008C2856">
        <w:rPr>
          <w:vertAlign w:val="superscript"/>
          <w:lang w:bidi="ar-SA"/>
        </w:rPr>
        <w:t>4</w:t>
      </w:r>
      <w:r w:rsidRPr="008C2856">
        <w:rPr>
          <w:lang w:bidi="ar-SA"/>
        </w:rPr>
        <w:t xml:space="preserve"> CFU/g E. coli O157:H7</w:t>
      </w:r>
      <w:r>
        <w:rPr>
          <w:lang w:bidi="ar-SA"/>
        </w:rPr>
        <w:t>.</w:t>
      </w:r>
    </w:p>
    <w:p w14:paraId="655E3A17" w14:textId="77777777" w:rsidR="00CA0DEE" w:rsidRDefault="00CA0DEE" w:rsidP="00CA0DEE">
      <w:pPr>
        <w:rPr>
          <w:lang w:bidi="ar-SA"/>
        </w:rPr>
      </w:pPr>
    </w:p>
    <w:p w14:paraId="6AE783CE" w14:textId="32EB7D2E" w:rsidR="00CA0DEE" w:rsidRDefault="00CA0DEE" w:rsidP="00CA0DEE">
      <w:pPr>
        <w:rPr>
          <w:lang w:bidi="ar-SA"/>
        </w:rPr>
      </w:pPr>
      <w:r>
        <w:rPr>
          <w:lang w:bidi="ar-SA"/>
        </w:rPr>
        <w:t xml:space="preserve">Results of studies on </w:t>
      </w:r>
      <w:r w:rsidRPr="00A45038">
        <w:rPr>
          <w:i/>
          <w:lang w:bidi="ar-SA"/>
        </w:rPr>
        <w:t>E. coli</w:t>
      </w:r>
      <w:r>
        <w:rPr>
          <w:lang w:bidi="ar-SA"/>
        </w:rPr>
        <w:t xml:space="preserve"> colonisation of edible parts of leafy vegetables are also variable. Several studies show surface contamination of lettuce or parsley </w:t>
      </w:r>
      <w:r w:rsidRPr="004B37BA">
        <w:rPr>
          <w:lang w:bidi="ar-SA"/>
        </w:rPr>
        <w:t xml:space="preserve">grown from seeds or </w:t>
      </w:r>
      <w:r>
        <w:rPr>
          <w:lang w:bidi="ar-SA"/>
        </w:rPr>
        <w:t xml:space="preserve">transplanted </w:t>
      </w:r>
      <w:r w:rsidRPr="004B37BA">
        <w:rPr>
          <w:lang w:bidi="ar-SA"/>
        </w:rPr>
        <w:t>seedlings</w:t>
      </w:r>
      <w:r>
        <w:rPr>
          <w:lang w:bidi="ar-SA"/>
        </w:rPr>
        <w:t xml:space="preserve"> in contaminated manure amended soils </w:t>
      </w:r>
      <w:r w:rsidR="00657FDB">
        <w:rPr>
          <w:lang w:bidi="ar-SA"/>
        </w:rPr>
        <w:t>(Islam et al. 2004a; Jensen et al. 2013; Mootian et al. 2009; Oliveira et al. 2012; Solomon et al. 2002b)</w:t>
      </w:r>
      <w:r>
        <w:rPr>
          <w:lang w:bidi="ar-SA"/>
        </w:rPr>
        <w:t xml:space="preserve">. However, others have reported a lack of colonisation </w:t>
      </w:r>
      <w:r w:rsidR="00657FDB">
        <w:rPr>
          <w:lang w:bidi="ar-SA"/>
        </w:rPr>
        <w:t>(Franz et al. 2005; Johannessen et al. 2005)</w:t>
      </w:r>
      <w:r>
        <w:rPr>
          <w:lang w:bidi="ar-SA"/>
        </w:rPr>
        <w:t xml:space="preserve">, or only transient colonisation </w:t>
      </w:r>
      <w:r w:rsidR="00657FDB">
        <w:rPr>
          <w:lang w:bidi="ar-SA"/>
        </w:rPr>
        <w:t>(Habteselassie et al. 2010)</w:t>
      </w:r>
      <w:r>
        <w:rPr>
          <w:lang w:bidi="ar-SA"/>
        </w:rPr>
        <w:t>, in lettuce in similar experiments.</w:t>
      </w:r>
    </w:p>
    <w:p w14:paraId="4EB874EA" w14:textId="77777777" w:rsidR="00CA0DEE" w:rsidRDefault="00CA0DEE" w:rsidP="00CA0DEE">
      <w:pPr>
        <w:rPr>
          <w:lang w:bidi="ar-SA"/>
        </w:rPr>
      </w:pPr>
    </w:p>
    <w:p w14:paraId="156A113F" w14:textId="5EEE37C5" w:rsidR="00CA0DEE" w:rsidRDefault="00CA0DEE" w:rsidP="00CA0DEE">
      <w:pPr>
        <w:rPr>
          <w:lang w:bidi="ar-SA"/>
        </w:rPr>
      </w:pPr>
      <w:r w:rsidRPr="00727194">
        <w:rPr>
          <w:lang w:bidi="ar-SA"/>
        </w:rPr>
        <w:t xml:space="preserve">Internalisation </w:t>
      </w:r>
      <w:r>
        <w:rPr>
          <w:lang w:bidi="ar-SA"/>
        </w:rPr>
        <w:t xml:space="preserve">of </w:t>
      </w:r>
      <w:r>
        <w:rPr>
          <w:i/>
          <w:lang w:bidi="ar-SA"/>
        </w:rPr>
        <w:t>E. </w:t>
      </w:r>
      <w:r w:rsidRPr="00727194">
        <w:rPr>
          <w:i/>
          <w:lang w:bidi="ar-SA"/>
        </w:rPr>
        <w:t>coli</w:t>
      </w:r>
      <w:r w:rsidRPr="00727194">
        <w:rPr>
          <w:lang w:bidi="ar-SA"/>
        </w:rPr>
        <w:t xml:space="preserve"> O157:H7 </w:t>
      </w:r>
      <w:r>
        <w:rPr>
          <w:lang w:bidi="ar-SA"/>
        </w:rPr>
        <w:t xml:space="preserve">for up to 50 days in edible parts of lettuce grown in manure amended soils has been observed in some studies </w:t>
      </w:r>
      <w:r w:rsidR="00657FDB">
        <w:rPr>
          <w:lang w:bidi="ar-SA"/>
        </w:rPr>
        <w:t>(Mootian et al. 2009; Murphy et al. 2016; Solomon et al. 2002b)</w:t>
      </w:r>
      <w:r>
        <w:rPr>
          <w:lang w:bidi="ar-SA"/>
        </w:rPr>
        <w:t xml:space="preserve">. However, </w:t>
      </w:r>
      <w:r w:rsidR="00657FDB">
        <w:rPr>
          <w:lang w:bidi="ar-SA"/>
        </w:rPr>
        <w:t>Mootian et al.</w:t>
      </w:r>
      <w:r>
        <w:rPr>
          <w:lang w:bidi="ar-SA"/>
        </w:rPr>
        <w:t xml:space="preserve"> </w:t>
      </w:r>
      <w:r w:rsidR="00657FDB">
        <w:rPr>
          <w:lang w:bidi="ar-SA"/>
        </w:rPr>
        <w:t>(2009)</w:t>
      </w:r>
      <w:r>
        <w:rPr>
          <w:lang w:bidi="ar-SA"/>
        </w:rPr>
        <w:t xml:space="preserve"> observed only transient internalisation in young plants, and no internalisation when older plants were exposed to up to 10</w:t>
      </w:r>
      <w:r w:rsidRPr="009F16EF">
        <w:rPr>
          <w:vertAlign w:val="superscript"/>
          <w:lang w:bidi="ar-SA"/>
        </w:rPr>
        <w:t>4</w:t>
      </w:r>
      <w:r>
        <w:rPr>
          <w:lang w:bidi="ar-SA"/>
        </w:rPr>
        <w:t xml:space="preserve"> CFU/g </w:t>
      </w:r>
      <w:r>
        <w:rPr>
          <w:i/>
          <w:lang w:bidi="ar-SA"/>
        </w:rPr>
        <w:t>E. </w:t>
      </w:r>
      <w:r w:rsidRPr="00727194">
        <w:rPr>
          <w:i/>
          <w:lang w:bidi="ar-SA"/>
        </w:rPr>
        <w:t>coli</w:t>
      </w:r>
      <w:r w:rsidRPr="00727194">
        <w:rPr>
          <w:lang w:bidi="ar-SA"/>
        </w:rPr>
        <w:t xml:space="preserve"> O157:H7</w:t>
      </w:r>
      <w:r>
        <w:rPr>
          <w:lang w:bidi="ar-SA"/>
        </w:rPr>
        <w:t xml:space="preserve"> in amended soils. </w:t>
      </w:r>
      <w:r w:rsidR="00657FDB">
        <w:rPr>
          <w:lang w:bidi="ar-SA"/>
        </w:rPr>
        <w:t>Sharma et al.</w:t>
      </w:r>
      <w:r>
        <w:rPr>
          <w:lang w:bidi="ar-SA"/>
        </w:rPr>
        <w:t xml:space="preserve"> </w:t>
      </w:r>
      <w:r w:rsidR="00657FDB">
        <w:rPr>
          <w:lang w:bidi="ar-SA"/>
        </w:rPr>
        <w:t>(2009)</w:t>
      </w:r>
      <w:r>
        <w:rPr>
          <w:lang w:bidi="ar-SA"/>
        </w:rPr>
        <w:t xml:space="preserve"> </w:t>
      </w:r>
      <w:r w:rsidRPr="009F16EF">
        <w:rPr>
          <w:lang w:bidi="ar-SA"/>
        </w:rPr>
        <w:t>found only sporadic internalisation</w:t>
      </w:r>
      <w:r>
        <w:rPr>
          <w:lang w:bidi="ar-SA"/>
        </w:rPr>
        <w:t xml:space="preserve"> over four weeks</w:t>
      </w:r>
      <w:r w:rsidRPr="009F16EF">
        <w:rPr>
          <w:lang w:bidi="ar-SA"/>
        </w:rPr>
        <w:t xml:space="preserve"> in </w:t>
      </w:r>
      <w:r>
        <w:rPr>
          <w:lang w:bidi="ar-SA"/>
        </w:rPr>
        <w:t>leaves</w:t>
      </w:r>
      <w:r w:rsidRPr="009F16EF">
        <w:rPr>
          <w:lang w:bidi="ar-SA"/>
        </w:rPr>
        <w:t xml:space="preserve"> of baby spinach seedlings planted in soil amended with cattle faecal slurries</w:t>
      </w:r>
      <w:r>
        <w:rPr>
          <w:lang w:bidi="ar-SA"/>
        </w:rPr>
        <w:t xml:space="preserve">, and did not observe </w:t>
      </w:r>
      <w:r w:rsidRPr="009549E4">
        <w:rPr>
          <w:lang w:bidi="ar-SA"/>
        </w:rPr>
        <w:t>internalised</w:t>
      </w:r>
      <w:r>
        <w:rPr>
          <w:lang w:bidi="ar-SA"/>
        </w:rPr>
        <w:t xml:space="preserve"> GFP-labelled </w:t>
      </w:r>
      <w:r>
        <w:rPr>
          <w:i/>
          <w:lang w:bidi="ar-SA"/>
        </w:rPr>
        <w:t>E. </w:t>
      </w:r>
      <w:r w:rsidRPr="009549E4">
        <w:rPr>
          <w:i/>
          <w:lang w:bidi="ar-SA"/>
        </w:rPr>
        <w:t>coli</w:t>
      </w:r>
      <w:r>
        <w:rPr>
          <w:lang w:bidi="ar-SA"/>
        </w:rPr>
        <w:t xml:space="preserve"> </w:t>
      </w:r>
      <w:r w:rsidRPr="009549E4">
        <w:rPr>
          <w:lang w:bidi="ar-SA"/>
        </w:rPr>
        <w:t>microscopically</w:t>
      </w:r>
      <w:r>
        <w:rPr>
          <w:lang w:bidi="ar-SA"/>
        </w:rPr>
        <w:t>.</w:t>
      </w:r>
    </w:p>
    <w:p w14:paraId="2124685E" w14:textId="77777777" w:rsidR="00CA0DEE" w:rsidRDefault="00CA0DEE" w:rsidP="00CA0DEE">
      <w:pPr>
        <w:rPr>
          <w:lang w:bidi="ar-SA"/>
        </w:rPr>
      </w:pPr>
    </w:p>
    <w:p w14:paraId="0CC4A6C2" w14:textId="4BFB8D34" w:rsidR="00CA0DEE" w:rsidRDefault="00CA0DEE" w:rsidP="00CA0DEE">
      <w:pPr>
        <w:rPr>
          <w:lang w:bidi="ar-SA"/>
        </w:rPr>
      </w:pPr>
      <w:r>
        <w:rPr>
          <w:lang w:bidi="ar-SA"/>
        </w:rPr>
        <w:t xml:space="preserve">Few studies have examined the role of soil amendments in the colonisation of leafy vegetables by </w:t>
      </w:r>
      <w:r>
        <w:rPr>
          <w:i/>
          <w:lang w:bidi="ar-SA"/>
        </w:rPr>
        <w:t>L.</w:t>
      </w:r>
      <w:r w:rsidRPr="005E030B">
        <w:rPr>
          <w:i/>
          <w:lang w:bidi="ar-SA"/>
        </w:rPr>
        <w:t xml:space="preserve"> monocytogenes</w:t>
      </w:r>
      <w:r>
        <w:rPr>
          <w:lang w:bidi="ar-SA"/>
        </w:rPr>
        <w:t xml:space="preserve">. </w:t>
      </w:r>
      <w:r w:rsidR="00657FDB">
        <w:rPr>
          <w:lang w:bidi="ar-SA"/>
        </w:rPr>
        <w:t>Murphy et al.</w:t>
      </w:r>
      <w:r>
        <w:rPr>
          <w:lang w:bidi="ar-SA"/>
        </w:rPr>
        <w:t xml:space="preserve"> </w:t>
      </w:r>
      <w:r w:rsidR="00657FDB">
        <w:rPr>
          <w:lang w:bidi="ar-SA"/>
        </w:rPr>
        <w:t>(2016)</w:t>
      </w:r>
      <w:r>
        <w:rPr>
          <w:lang w:bidi="ar-SA"/>
        </w:rPr>
        <w:t xml:space="preserve"> observed high prevalence of surface contamination of roots and leaves (up to 43% and 67%, respectively) with </w:t>
      </w:r>
      <w:r w:rsidRPr="00A45B4D">
        <w:rPr>
          <w:i/>
          <w:lang w:bidi="ar-SA"/>
        </w:rPr>
        <w:t>L. monocytogenes</w:t>
      </w:r>
      <w:r w:rsidRPr="005E030B">
        <w:rPr>
          <w:lang w:bidi="ar-SA"/>
        </w:rPr>
        <w:t xml:space="preserve"> in lettuce </w:t>
      </w:r>
      <w:r>
        <w:rPr>
          <w:lang w:bidi="ar-SA"/>
        </w:rPr>
        <w:t>seedlings transplanted into</w:t>
      </w:r>
      <w:r w:rsidRPr="005E030B">
        <w:rPr>
          <w:lang w:bidi="ar-SA"/>
        </w:rPr>
        <w:t xml:space="preserve"> peat growing media </w:t>
      </w:r>
      <w:r>
        <w:rPr>
          <w:lang w:bidi="ar-SA"/>
        </w:rPr>
        <w:t>amended with contaminated (at 5 </w:t>
      </w:r>
      <w:r w:rsidRPr="005E030B">
        <w:rPr>
          <w:lang w:bidi="ar-SA"/>
        </w:rPr>
        <w:t xml:space="preserve">Log CFU/g wet wt) food waste derived compost </w:t>
      </w:r>
      <w:r>
        <w:rPr>
          <w:lang w:bidi="ar-SA"/>
        </w:rPr>
        <w:t>or anaerobic digestate liquid. No i</w:t>
      </w:r>
      <w:r w:rsidRPr="00A45B4D">
        <w:rPr>
          <w:lang w:bidi="ar-SA"/>
        </w:rPr>
        <w:t>nternalisation of</w:t>
      </w:r>
      <w:r>
        <w:rPr>
          <w:lang w:bidi="ar-SA"/>
        </w:rPr>
        <w:t xml:space="preserve"> </w:t>
      </w:r>
      <w:r w:rsidRPr="00A45B4D">
        <w:rPr>
          <w:i/>
          <w:lang w:bidi="ar-SA"/>
        </w:rPr>
        <w:t>L. monocytogenes</w:t>
      </w:r>
      <w:r>
        <w:rPr>
          <w:lang w:bidi="ar-SA"/>
        </w:rPr>
        <w:t xml:space="preserve"> was </w:t>
      </w:r>
      <w:r w:rsidRPr="00A45B4D">
        <w:rPr>
          <w:lang w:bidi="ar-SA"/>
        </w:rPr>
        <w:t>observed</w:t>
      </w:r>
      <w:r>
        <w:rPr>
          <w:lang w:bidi="ar-SA"/>
        </w:rPr>
        <w:t xml:space="preserve">. Using </w:t>
      </w:r>
      <w:r w:rsidRPr="00A45B4D">
        <w:rPr>
          <w:i/>
          <w:lang w:bidi="ar-SA"/>
        </w:rPr>
        <w:t>L. innocua</w:t>
      </w:r>
      <w:r>
        <w:rPr>
          <w:lang w:bidi="ar-SA"/>
        </w:rPr>
        <w:t xml:space="preserve"> as a non</w:t>
      </w:r>
      <w:r>
        <w:rPr>
          <w:lang w:bidi="ar-SA"/>
        </w:rPr>
        <w:noBreakHyphen/>
      </w:r>
      <w:r w:rsidRPr="00A45B4D">
        <w:rPr>
          <w:lang w:bidi="ar-SA"/>
        </w:rPr>
        <w:t>pathogenic surrogate for</w:t>
      </w:r>
      <w:r>
        <w:rPr>
          <w:lang w:bidi="ar-SA"/>
        </w:rPr>
        <w:t xml:space="preserve"> </w:t>
      </w:r>
      <w:r w:rsidRPr="00A45B4D">
        <w:rPr>
          <w:i/>
          <w:lang w:bidi="ar-SA"/>
        </w:rPr>
        <w:t>L. monocytogenes</w:t>
      </w:r>
      <w:r>
        <w:rPr>
          <w:lang w:bidi="ar-SA"/>
        </w:rPr>
        <w:t xml:space="preserve">, </w:t>
      </w:r>
      <w:r w:rsidR="00657FDB">
        <w:rPr>
          <w:lang w:bidi="ar-SA"/>
        </w:rPr>
        <w:t>Oliveira et al.</w:t>
      </w:r>
      <w:r>
        <w:rPr>
          <w:lang w:bidi="ar-SA"/>
        </w:rPr>
        <w:t xml:space="preserve"> </w:t>
      </w:r>
      <w:r w:rsidR="00657FDB">
        <w:rPr>
          <w:lang w:bidi="ar-SA"/>
        </w:rPr>
        <w:t>(2011)</w:t>
      </w:r>
      <w:r>
        <w:rPr>
          <w:lang w:bidi="ar-SA"/>
        </w:rPr>
        <w:t xml:space="preserve"> o</w:t>
      </w:r>
      <w:r w:rsidRPr="00A45B4D">
        <w:rPr>
          <w:lang w:bidi="ar-SA"/>
        </w:rPr>
        <w:t xml:space="preserve">bserved </w:t>
      </w:r>
      <w:r>
        <w:rPr>
          <w:lang w:bidi="ar-SA"/>
        </w:rPr>
        <w:t>contamination of lettuce leaves in seedlings transplanted into</w:t>
      </w:r>
      <w:r w:rsidRPr="00A45B4D">
        <w:rPr>
          <w:lang w:bidi="ar-SA"/>
        </w:rPr>
        <w:t xml:space="preserve"> organic compost</w:t>
      </w:r>
      <w:r>
        <w:rPr>
          <w:lang w:bidi="ar-SA"/>
        </w:rPr>
        <w:t xml:space="preserve"> amended soil (6-7 Log CFU/g</w:t>
      </w:r>
      <w:r w:rsidRPr="00A45B4D">
        <w:rPr>
          <w:lang w:bidi="ar-SA"/>
        </w:rPr>
        <w:t>) under outdoor conditions. However, they did no</w:t>
      </w:r>
      <w:r>
        <w:rPr>
          <w:lang w:bidi="ar-SA"/>
        </w:rPr>
        <w:t>t assess if there was internalis</w:t>
      </w:r>
      <w:r w:rsidRPr="00A45B4D">
        <w:rPr>
          <w:lang w:bidi="ar-SA"/>
        </w:rPr>
        <w:t>ation via root system, or if leaf contamination occurred by other me</w:t>
      </w:r>
      <w:r>
        <w:rPr>
          <w:lang w:bidi="ar-SA"/>
        </w:rPr>
        <w:t>ans, such as by direct contact with</w:t>
      </w:r>
      <w:r w:rsidRPr="00A45B4D">
        <w:rPr>
          <w:lang w:bidi="ar-SA"/>
        </w:rPr>
        <w:t xml:space="preserve"> soil or transfer by insects or other vectors.</w:t>
      </w:r>
    </w:p>
    <w:p w14:paraId="6F3E1453" w14:textId="77777777" w:rsidR="00CA0DEE" w:rsidRDefault="00CA0DEE" w:rsidP="00CA0DEE">
      <w:pPr>
        <w:pStyle w:val="Heading4"/>
        <w:numPr>
          <w:ilvl w:val="3"/>
          <w:numId w:val="11"/>
        </w:numPr>
      </w:pPr>
      <w:r>
        <w:t>Berries</w:t>
      </w:r>
    </w:p>
    <w:p w14:paraId="53D1EBCD" w14:textId="4BBA6A0A" w:rsidR="001F2457" w:rsidRDefault="00CA0DEE" w:rsidP="001F2457">
      <w:pPr>
        <w:rPr>
          <w:rFonts w:cs="Arial"/>
          <w:szCs w:val="22"/>
          <w:lang w:eastAsia="en-GB" w:bidi="ar-SA"/>
        </w:rPr>
      </w:pPr>
      <w:r>
        <w:rPr>
          <w:lang w:bidi="ar-SA"/>
        </w:rPr>
        <w:t xml:space="preserve">Some types of berries, such as blueberries and raspberries, grow on bushes or vines so are elevated from the ground. These berries are also often grown under plastic tunnels and are planted into substrate (e.g. peat moss or coco peat) rather than soil, with nutrients added directly into the substrate. Other types of berries, such as strawberries, are generally grown on plastic or mulch close to the ground or directly on the ground. A field experiment found no significant difference in the persistence of generic </w:t>
      </w:r>
      <w:r>
        <w:rPr>
          <w:i/>
          <w:lang w:bidi="ar-SA"/>
        </w:rPr>
        <w:t xml:space="preserve">E. coli </w:t>
      </w:r>
      <w:r>
        <w:rPr>
          <w:lang w:bidi="ar-SA"/>
        </w:rPr>
        <w:t>on strawberries grown on different mulch types</w:t>
      </w:r>
      <w:r>
        <w:t>—</w:t>
      </w:r>
      <w:r>
        <w:rPr>
          <w:lang w:bidi="ar-SA"/>
        </w:rPr>
        <w:t xml:space="preserve">straw and plastic </w:t>
      </w:r>
      <w:r w:rsidR="00657FDB">
        <w:rPr>
          <w:rFonts w:cs="Arial"/>
          <w:szCs w:val="22"/>
          <w:lang w:eastAsia="en-GB" w:bidi="ar-SA"/>
        </w:rPr>
        <w:t>(Généreux et al. 2015)</w:t>
      </w:r>
      <w:r>
        <w:rPr>
          <w:lang w:bidi="ar-SA"/>
        </w:rPr>
        <w:t xml:space="preserve">. </w:t>
      </w:r>
      <w:r>
        <w:rPr>
          <w:rFonts w:cs="Arial"/>
          <w:szCs w:val="22"/>
          <w:lang w:eastAsia="en-GB" w:bidi="ar-SA"/>
        </w:rPr>
        <w:t>S</w:t>
      </w:r>
      <w:r w:rsidRPr="00B852C5">
        <w:rPr>
          <w:rFonts w:cs="Arial"/>
          <w:szCs w:val="22"/>
          <w:lang w:eastAsia="en-GB" w:bidi="ar-SA"/>
        </w:rPr>
        <w:t>trawberries grown on straw mulch are in contact with straw and</w:t>
      </w:r>
      <w:r>
        <w:rPr>
          <w:rFonts w:cs="Arial"/>
          <w:color w:val="000000"/>
          <w:szCs w:val="22"/>
          <w:lang w:eastAsia="en-GB" w:bidi="ar-SA"/>
        </w:rPr>
        <w:t xml:space="preserve"> </w:t>
      </w:r>
      <w:r w:rsidRPr="00B852C5">
        <w:rPr>
          <w:rFonts w:cs="Arial"/>
          <w:szCs w:val="22"/>
          <w:lang w:eastAsia="en-GB" w:bidi="ar-SA"/>
        </w:rPr>
        <w:t>soil</w:t>
      </w:r>
      <w:r>
        <w:rPr>
          <w:rFonts w:cs="Arial"/>
          <w:szCs w:val="22"/>
          <w:lang w:eastAsia="en-GB" w:bidi="ar-SA"/>
        </w:rPr>
        <w:t xml:space="preserve">, which </w:t>
      </w:r>
      <w:r>
        <w:rPr>
          <w:szCs w:val="22"/>
          <w:lang w:bidi="ar-SA"/>
        </w:rPr>
        <w:t xml:space="preserve">may lead to microbial contamination if pathogens are present in the soil or amendments, while plastic </w:t>
      </w:r>
      <w:r>
        <w:rPr>
          <w:rFonts w:cs="Arial"/>
          <w:szCs w:val="22"/>
          <w:lang w:eastAsia="en-GB" w:bidi="ar-SA"/>
        </w:rPr>
        <w:t>forms a barrier between the fruit and the soil.</w:t>
      </w:r>
      <w:r w:rsidR="001F2457">
        <w:rPr>
          <w:rFonts w:cs="Arial"/>
          <w:szCs w:val="22"/>
          <w:lang w:eastAsia="en-GB" w:bidi="ar-SA"/>
        </w:rPr>
        <w:t xml:space="preserve"> </w:t>
      </w:r>
    </w:p>
    <w:p w14:paraId="4982DB8C" w14:textId="77777777" w:rsidR="00210021" w:rsidRDefault="00210021" w:rsidP="001F2457">
      <w:pPr>
        <w:rPr>
          <w:rFonts w:cs="Arial"/>
          <w:szCs w:val="22"/>
          <w:lang w:eastAsia="en-GB" w:bidi="ar-SA"/>
        </w:rPr>
      </w:pPr>
    </w:p>
    <w:p w14:paraId="7496B03F" w14:textId="4066C561" w:rsidR="00CA0DEE" w:rsidRDefault="00CA0DEE" w:rsidP="00CA0DEE">
      <w:pPr>
        <w:rPr>
          <w:rFonts w:cs="Arial"/>
          <w:szCs w:val="22"/>
          <w:lang w:eastAsia="en-GB" w:bidi="ar-SA"/>
        </w:rPr>
      </w:pPr>
      <w:r>
        <w:rPr>
          <w:rFonts w:cs="Arial"/>
          <w:szCs w:val="22"/>
          <w:lang w:eastAsia="en-GB" w:bidi="ar-SA"/>
        </w:rPr>
        <w:t xml:space="preserve">International studies have been performed to investigate the presence of STEC in the soil of strawberry farms. In Norway STEC was detected in 1.3% (1/80) of soil samples collected in strawberry fields via PCR, however, this was not culture confirmed. </w:t>
      </w:r>
      <w:r>
        <w:rPr>
          <w:rFonts w:eastAsia="OpenSans" w:cs="Arial"/>
          <w:lang w:eastAsia="en-GB"/>
        </w:rPr>
        <w:t xml:space="preserve">Generic </w:t>
      </w:r>
      <w:r>
        <w:rPr>
          <w:rFonts w:eastAsia="OpenSans" w:cs="Arial"/>
          <w:i/>
          <w:lang w:eastAsia="en-GB"/>
        </w:rPr>
        <w:t>E. coli</w:t>
      </w:r>
      <w:r>
        <w:rPr>
          <w:rFonts w:eastAsia="OpenSans" w:cs="Arial"/>
          <w:lang w:eastAsia="en-GB"/>
        </w:rPr>
        <w:t xml:space="preserve"> was detected in 38.8% (31/80) soil samples </w:t>
      </w:r>
      <w:r w:rsidR="00657FDB">
        <w:rPr>
          <w:rFonts w:eastAsia="OpenSans" w:cs="Arial"/>
          <w:lang w:eastAsia="en-GB"/>
        </w:rPr>
        <w:t>(Johannessen et al. 2015)</w:t>
      </w:r>
      <w:r>
        <w:rPr>
          <w:rFonts w:eastAsia="OpenSans" w:cs="Arial"/>
          <w:lang w:eastAsia="en-GB"/>
        </w:rPr>
        <w:t xml:space="preserve">. In a South Korean study no generic </w:t>
      </w:r>
      <w:r>
        <w:rPr>
          <w:rFonts w:cs="Arial"/>
          <w:i/>
          <w:lang w:eastAsia="en-GB"/>
        </w:rPr>
        <w:t xml:space="preserve">E. coli </w:t>
      </w:r>
      <w:r>
        <w:rPr>
          <w:rFonts w:cs="Arial"/>
          <w:lang w:eastAsia="en-GB"/>
        </w:rPr>
        <w:t xml:space="preserve">or </w:t>
      </w:r>
      <w:r>
        <w:rPr>
          <w:rFonts w:cs="Arial"/>
          <w:i/>
          <w:lang w:eastAsia="en-GB"/>
        </w:rPr>
        <w:t xml:space="preserve">E. coli </w:t>
      </w:r>
      <w:r>
        <w:rPr>
          <w:rFonts w:cs="Arial"/>
          <w:lang w:eastAsia="en-GB"/>
        </w:rPr>
        <w:t xml:space="preserve">O157:H7 was detected in soil collected from tunnel style strawberry greenhouses (number of samples was not reported) </w:t>
      </w:r>
      <w:r w:rsidR="00657FDB">
        <w:rPr>
          <w:rFonts w:cs="Arial"/>
          <w:lang w:eastAsia="en-GB"/>
        </w:rPr>
        <w:t>(Yoon et al. 2010)</w:t>
      </w:r>
      <w:r>
        <w:rPr>
          <w:rFonts w:cs="Arial"/>
          <w:lang w:eastAsia="en-GB"/>
        </w:rPr>
        <w:t xml:space="preserve">. In a US study of soil in blueberry fields, generic </w:t>
      </w:r>
      <w:r>
        <w:rPr>
          <w:rFonts w:cs="Arial"/>
          <w:i/>
          <w:lang w:eastAsia="en-GB"/>
        </w:rPr>
        <w:t>E. coli</w:t>
      </w:r>
      <w:r>
        <w:rPr>
          <w:rFonts w:cs="Arial"/>
          <w:lang w:eastAsia="en-GB"/>
        </w:rPr>
        <w:t xml:space="preserve"> was detect</w:t>
      </w:r>
      <w:r w:rsidR="0083511C">
        <w:rPr>
          <w:rFonts w:cs="Arial"/>
          <w:lang w:eastAsia="en-GB"/>
        </w:rPr>
        <w:t>ed at low levels (0.13-0.25 Log </w:t>
      </w:r>
      <w:r>
        <w:rPr>
          <w:rFonts w:cs="Arial"/>
          <w:lang w:eastAsia="en-GB"/>
        </w:rPr>
        <w:t>CFU/g), while STEC was not detected (0/48) regardless of fertilizer application over a two year period. The g</w:t>
      </w:r>
      <w:r w:rsidRPr="007F61DC">
        <w:rPr>
          <w:rFonts w:cs="Arial"/>
          <w:lang w:eastAsia="en-GB"/>
        </w:rPr>
        <w:t>eneric</w:t>
      </w:r>
      <w:r>
        <w:rPr>
          <w:rFonts w:cs="Arial"/>
          <w:lang w:eastAsia="en-GB"/>
        </w:rPr>
        <w:t xml:space="preserve"> </w:t>
      </w:r>
      <w:r w:rsidRPr="00DE7B4E">
        <w:rPr>
          <w:rFonts w:cs="Arial"/>
          <w:i/>
          <w:lang w:eastAsia="en-GB"/>
        </w:rPr>
        <w:t>E. coli</w:t>
      </w:r>
      <w:r w:rsidRPr="007F61DC">
        <w:rPr>
          <w:rFonts w:cs="Arial"/>
          <w:lang w:eastAsia="en-GB"/>
        </w:rPr>
        <w:t xml:space="preserve"> levels of post-fruit harvest soil samples were slightly</w:t>
      </w:r>
      <w:r>
        <w:rPr>
          <w:rFonts w:cs="Arial"/>
          <w:lang w:eastAsia="en-GB"/>
        </w:rPr>
        <w:t xml:space="preserve"> </w:t>
      </w:r>
      <w:r w:rsidRPr="007F61DC">
        <w:rPr>
          <w:rFonts w:cs="Arial"/>
          <w:lang w:eastAsia="en-GB"/>
        </w:rPr>
        <w:t>increased, which was possibly due to the increased human</w:t>
      </w:r>
      <w:r>
        <w:rPr>
          <w:rFonts w:cs="Arial"/>
          <w:lang w:eastAsia="en-GB"/>
        </w:rPr>
        <w:t xml:space="preserve"> </w:t>
      </w:r>
      <w:r w:rsidRPr="007F61DC">
        <w:rPr>
          <w:rFonts w:cs="Arial"/>
          <w:lang w:eastAsia="en-GB"/>
        </w:rPr>
        <w:t>activities and/or the environmental temperature in the late</w:t>
      </w:r>
      <w:r>
        <w:rPr>
          <w:rFonts w:cs="Arial"/>
          <w:lang w:eastAsia="en-GB"/>
        </w:rPr>
        <w:t xml:space="preserve"> </w:t>
      </w:r>
      <w:r w:rsidRPr="007F61DC">
        <w:rPr>
          <w:rFonts w:cs="Arial"/>
          <w:lang w:eastAsia="en-GB"/>
        </w:rPr>
        <w:t>production season</w:t>
      </w:r>
      <w:r>
        <w:rPr>
          <w:rFonts w:cs="Arial"/>
          <w:lang w:eastAsia="en-GB"/>
        </w:rPr>
        <w:t xml:space="preserve"> </w:t>
      </w:r>
      <w:r w:rsidR="00657FDB">
        <w:rPr>
          <w:rFonts w:cs="Arial"/>
          <w:lang w:eastAsia="en-GB"/>
        </w:rPr>
        <w:t>(Shen et al. 2020)</w:t>
      </w:r>
      <w:r>
        <w:rPr>
          <w:rFonts w:cs="Arial"/>
          <w:lang w:eastAsia="en-GB"/>
        </w:rPr>
        <w:t xml:space="preserve">. In a similar study by Sheng et al </w:t>
      </w:r>
      <w:r w:rsidR="00657FDB">
        <w:rPr>
          <w:rFonts w:cs="Arial"/>
          <w:lang w:eastAsia="en-GB"/>
        </w:rPr>
        <w:t>(2019)</w:t>
      </w:r>
      <w:r>
        <w:rPr>
          <w:rFonts w:cs="Arial"/>
          <w:lang w:eastAsia="en-GB"/>
        </w:rPr>
        <w:t xml:space="preserve"> generic </w:t>
      </w:r>
      <w:r>
        <w:rPr>
          <w:rFonts w:cs="Arial"/>
          <w:i/>
          <w:lang w:eastAsia="en-GB"/>
        </w:rPr>
        <w:t>E. coli</w:t>
      </w:r>
      <w:r>
        <w:rPr>
          <w:rFonts w:cs="Arial"/>
          <w:lang w:eastAsia="en-GB"/>
        </w:rPr>
        <w:t xml:space="preserve"> was detected at low levels (&lt;1 Log CFU/g) and STEC was not detected (number of samples was not reported), regardless of fertilizer application, in the soil of a US red raspberry field.</w:t>
      </w:r>
    </w:p>
    <w:p w14:paraId="53F463A3" w14:textId="77777777" w:rsidR="00CA0DEE" w:rsidRDefault="00CA0DEE" w:rsidP="00CA0DEE"/>
    <w:p w14:paraId="619F3CB4" w14:textId="44AE9A85" w:rsidR="00CA0DEE" w:rsidRDefault="00CA0DEE" w:rsidP="00CA0DEE">
      <w:r>
        <w:t xml:space="preserve">Experimental studies have shown that pathogens can persist in the soil of strawberry beds and internalisation of pathogens into strawberry plants from the soil can also occur. A study by Shaw et al. </w:t>
      </w:r>
      <w:r w:rsidR="00657FDB">
        <w:t>(2015b)</w:t>
      </w:r>
      <w:r>
        <w:t xml:space="preserve"> showed that when strawberry plants were artificially inoculated with </w:t>
      </w:r>
    </w:p>
    <w:p w14:paraId="748D2B38" w14:textId="77777777" w:rsidR="0083511C" w:rsidRDefault="00CA0DEE" w:rsidP="00CA0DEE">
      <w:r w:rsidRPr="008D1D97">
        <w:rPr>
          <w:rFonts w:cs="Arial"/>
          <w:lang w:eastAsia="en-GB"/>
        </w:rPr>
        <w:t>surrogate</w:t>
      </w:r>
      <w:r>
        <w:rPr>
          <w:rFonts w:cs="Arial"/>
          <w:lang w:eastAsia="en-GB"/>
        </w:rPr>
        <w:t>s</w:t>
      </w:r>
      <w:r w:rsidRPr="008D1D97">
        <w:rPr>
          <w:rFonts w:cs="Arial"/>
          <w:lang w:eastAsia="en-GB"/>
        </w:rPr>
        <w:t xml:space="preserve"> for </w:t>
      </w:r>
      <w:r w:rsidRPr="008D1D97">
        <w:rPr>
          <w:rFonts w:cs="Arial"/>
          <w:i/>
          <w:lang w:eastAsia="en-GB"/>
        </w:rPr>
        <w:t>E. coli</w:t>
      </w:r>
      <w:r w:rsidRPr="008D1D97">
        <w:rPr>
          <w:rFonts w:cs="Arial"/>
          <w:lang w:eastAsia="en-GB"/>
        </w:rPr>
        <w:t xml:space="preserve"> </w:t>
      </w:r>
      <w:r>
        <w:rPr>
          <w:rFonts w:cs="Arial"/>
          <w:lang w:eastAsia="en-GB"/>
        </w:rPr>
        <w:t>O157:H7 (</w:t>
      </w:r>
      <w:r w:rsidRPr="00CD15BD">
        <w:rPr>
          <w:rFonts w:cs="Arial"/>
          <w:lang w:eastAsia="en-GB"/>
        </w:rPr>
        <w:t>10</w:t>
      </w:r>
      <w:r>
        <w:rPr>
          <w:rFonts w:cs="Arial"/>
          <w:vertAlign w:val="superscript"/>
          <w:lang w:eastAsia="en-GB"/>
        </w:rPr>
        <w:t>7</w:t>
      </w:r>
      <w:r>
        <w:rPr>
          <w:rFonts w:cs="Arial"/>
          <w:lang w:eastAsia="en-GB"/>
        </w:rPr>
        <w:t xml:space="preserve"> CFU/plant), </w:t>
      </w:r>
      <w:r w:rsidRPr="00CC41CA">
        <w:rPr>
          <w:rFonts w:cs="Arial"/>
          <w:lang w:eastAsia="en-GB"/>
        </w:rPr>
        <w:t>the pathogen</w:t>
      </w:r>
      <w:r w:rsidRPr="00243E1E">
        <w:rPr>
          <w:rFonts w:cs="Arial"/>
          <w:lang w:eastAsia="en-GB"/>
        </w:rPr>
        <w:t xml:space="preserve"> </w:t>
      </w:r>
      <w:r>
        <w:rPr>
          <w:rFonts w:cs="Arial"/>
          <w:lang w:eastAsia="en-GB"/>
        </w:rPr>
        <w:t xml:space="preserve">surrogates (other </w:t>
      </w:r>
      <w:r w:rsidRPr="008D1D97">
        <w:rPr>
          <w:rFonts w:cs="Arial"/>
          <w:i/>
          <w:lang w:eastAsia="en-GB"/>
        </w:rPr>
        <w:t>E. coli</w:t>
      </w:r>
      <w:r>
        <w:rPr>
          <w:rFonts w:cs="Arial"/>
          <w:i/>
          <w:lang w:eastAsia="en-GB"/>
        </w:rPr>
        <w:t xml:space="preserve"> </w:t>
      </w:r>
      <w:r w:rsidRPr="004007A7">
        <w:rPr>
          <w:rFonts w:cs="Arial"/>
          <w:lang w:eastAsia="en-GB"/>
        </w:rPr>
        <w:t>strains</w:t>
      </w:r>
      <w:r>
        <w:rPr>
          <w:rFonts w:cs="Arial"/>
          <w:i/>
          <w:lang w:eastAsia="en-GB"/>
        </w:rPr>
        <w:t xml:space="preserve"> </w:t>
      </w:r>
      <w:r>
        <w:rPr>
          <w:rFonts w:cs="Arial"/>
          <w:lang w:eastAsia="en-GB"/>
        </w:rPr>
        <w:t xml:space="preserve">which did not differ in their growth and survivability compared to </w:t>
      </w:r>
      <w:r>
        <w:rPr>
          <w:rFonts w:cs="Arial"/>
          <w:i/>
          <w:lang w:eastAsia="en-GB"/>
        </w:rPr>
        <w:t>E. coli</w:t>
      </w:r>
      <w:r>
        <w:rPr>
          <w:rFonts w:cs="Arial"/>
          <w:lang w:eastAsia="en-GB"/>
        </w:rPr>
        <w:t xml:space="preserve"> O157:H7) could survive for at least 15 weeks in the </w:t>
      </w:r>
      <w:r>
        <w:t xml:space="preserve">soil of strawberry beds under greenhouse conditions, even though contamination did not occur directly into the soil. DiCaprio et al. </w:t>
      </w:r>
      <w:r w:rsidR="00657FDB">
        <w:t>(2015)</w:t>
      </w:r>
      <w:r>
        <w:t xml:space="preserve"> demonstrated that inoculation of the soil of strawberry plants with NoV surrogates (2</w:t>
      </w:r>
      <w:r w:rsidRPr="00C81A87">
        <w:rPr>
          <w:lang w:bidi="ar-SA"/>
        </w:rPr>
        <w:t>×</w:t>
      </w:r>
      <w:r>
        <w:t>10</w:t>
      </w:r>
      <w:r>
        <w:rPr>
          <w:vertAlign w:val="superscript"/>
        </w:rPr>
        <w:t>8</w:t>
      </w:r>
      <w:r>
        <w:t xml:space="preserve"> PFU/plant)—murine NoV (MNV-1) and Tulane virus (TV)—led to viral internalisation through the roots and dissemination of the virus to the fruit. After soil inoculation, 31.6% (12/38) and 37.5% (18/48) of the strawberry fruit harvested were positive for infectious </w:t>
      </w:r>
    </w:p>
    <w:p w14:paraId="34E8B316" w14:textId="5CD1B803" w:rsidR="00CA0DEE" w:rsidRPr="00CC41CA" w:rsidRDefault="00CA0DEE" w:rsidP="00CA0DEE">
      <w:pPr>
        <w:rPr>
          <w:rFonts w:cs="Arial"/>
          <w:lang w:eastAsia="en-GB"/>
        </w:rPr>
      </w:pPr>
      <w:r>
        <w:t>MNV-1 or TV, respectively, over the 14 days of the study.</w:t>
      </w:r>
    </w:p>
    <w:p w14:paraId="5E2B29D5" w14:textId="77777777" w:rsidR="00CA0DEE" w:rsidRDefault="00CA0DEE" w:rsidP="00CA0DEE">
      <w:pPr>
        <w:pStyle w:val="Heading4"/>
        <w:numPr>
          <w:ilvl w:val="3"/>
          <w:numId w:val="11"/>
        </w:numPr>
      </w:pPr>
      <w:r>
        <w:t>Melons</w:t>
      </w:r>
    </w:p>
    <w:p w14:paraId="38F0BE39" w14:textId="77777777" w:rsidR="00CA0DEE" w:rsidRPr="00465187" w:rsidRDefault="00CA0DEE" w:rsidP="00CA0DEE">
      <w:pPr>
        <w:rPr>
          <w:szCs w:val="22"/>
          <w:lang w:bidi="ar-SA"/>
        </w:rPr>
      </w:pPr>
      <w:r w:rsidRPr="00465187">
        <w:rPr>
          <w:szCs w:val="22"/>
          <w:lang w:bidi="ar-SA"/>
        </w:rPr>
        <w:t xml:space="preserve">Rockmelons and watermelons in Australia are grown either on plastic mulch close </w:t>
      </w:r>
      <w:r>
        <w:rPr>
          <w:szCs w:val="22"/>
          <w:lang w:bidi="ar-SA"/>
        </w:rPr>
        <w:t xml:space="preserve">to </w:t>
      </w:r>
      <w:r w:rsidRPr="00465187">
        <w:rPr>
          <w:szCs w:val="22"/>
          <w:lang w:bidi="ar-SA"/>
        </w:rPr>
        <w:t>the ground or directly on the ground</w:t>
      </w:r>
      <w:r>
        <w:rPr>
          <w:szCs w:val="22"/>
          <w:lang w:bidi="ar-SA"/>
        </w:rPr>
        <w:t>. This</w:t>
      </w:r>
      <w:r w:rsidRPr="00465187">
        <w:rPr>
          <w:szCs w:val="22"/>
          <w:lang w:bidi="ar-SA"/>
        </w:rPr>
        <w:t xml:space="preserve"> may lead to microbial contamination if pathogens are present in the soil or amendments. The variety of soil amendments used by the industry is likely to be diverse and can include amendments produced both on and off farm. </w:t>
      </w:r>
    </w:p>
    <w:p w14:paraId="06BE757D" w14:textId="77777777" w:rsidR="00CA0DEE" w:rsidRPr="00465187" w:rsidRDefault="00CA0DEE" w:rsidP="00CA0DEE">
      <w:pPr>
        <w:rPr>
          <w:szCs w:val="22"/>
          <w:lang w:bidi="ar-SA"/>
        </w:rPr>
      </w:pPr>
    </w:p>
    <w:p w14:paraId="0FC086BD" w14:textId="77777777" w:rsidR="00CE156D" w:rsidRPr="00465187" w:rsidRDefault="00CA0DEE" w:rsidP="00CE156D">
      <w:pPr>
        <w:rPr>
          <w:szCs w:val="22"/>
          <w:lang w:bidi="ar-SA"/>
        </w:rPr>
      </w:pPr>
      <w:r w:rsidRPr="00465187">
        <w:t xml:space="preserve">The prevalence of </w:t>
      </w:r>
      <w:r w:rsidRPr="00465187">
        <w:rPr>
          <w:i/>
        </w:rPr>
        <w:t>Salmonella</w:t>
      </w:r>
      <w:r w:rsidRPr="00465187">
        <w:t xml:space="preserve"> in the soil of rockmelon fields internationally has been investigated. 8.3% (2/24) soil samples collected from Mexican rockmelon farms during harvest were positive for </w:t>
      </w:r>
      <w:r w:rsidRPr="00465187">
        <w:rPr>
          <w:i/>
        </w:rPr>
        <w:t xml:space="preserve">Salmonella </w:t>
      </w:r>
      <w:r w:rsidRPr="00465187">
        <w:t xml:space="preserve">spp. </w:t>
      </w:r>
      <w:r w:rsidR="00657FDB">
        <w:t>(Espinoza-Medina et al. 2006)</w:t>
      </w:r>
      <w:r w:rsidRPr="00465187">
        <w:t xml:space="preserve">. 3.7% (2/54) of soil samples collected from US melon production fields were positive for </w:t>
      </w:r>
      <w:r w:rsidRPr="00465187">
        <w:rPr>
          <w:i/>
        </w:rPr>
        <w:t xml:space="preserve">Salmonella </w:t>
      </w:r>
      <w:r w:rsidRPr="00465187">
        <w:t xml:space="preserve">spp. </w:t>
      </w:r>
      <w:r w:rsidR="0083511C">
        <w:t>(Dev </w:t>
      </w:r>
      <w:r w:rsidR="00657FDB">
        <w:t>Kumar et al. 2015)</w:t>
      </w:r>
      <w:r w:rsidRPr="00465187">
        <w:t xml:space="preserve">. </w:t>
      </w:r>
    </w:p>
    <w:p w14:paraId="54D045D2" w14:textId="77777777" w:rsidR="00CE156D" w:rsidRPr="00465187" w:rsidRDefault="00CE156D" w:rsidP="00CE156D">
      <w:pPr>
        <w:rPr>
          <w:szCs w:val="22"/>
          <w:lang w:bidi="ar-SA"/>
        </w:rPr>
      </w:pPr>
    </w:p>
    <w:p w14:paraId="5AE66753" w14:textId="7CDE1537" w:rsidR="00CE156D" w:rsidRPr="00465187" w:rsidRDefault="00CA0DEE" w:rsidP="00CE156D">
      <w:pPr>
        <w:rPr>
          <w:szCs w:val="22"/>
          <w:lang w:bidi="ar-SA"/>
        </w:rPr>
      </w:pPr>
      <w:r w:rsidRPr="00CC41CA">
        <w:rPr>
          <w:i/>
        </w:rPr>
        <w:t>L. monocytogenes</w:t>
      </w:r>
      <w:r w:rsidRPr="00CC41CA">
        <w:t xml:space="preserve"> has not been isolated from soil samples from rockmelon production fields in Mexico 0/38 </w:t>
      </w:r>
      <w:r w:rsidR="00657FDB">
        <w:t>(Heredia et al. 2016)</w:t>
      </w:r>
      <w:r w:rsidRPr="00CC41CA">
        <w:t xml:space="preserve">, Korea 0/18 </w:t>
      </w:r>
      <w:r w:rsidR="00657FDB">
        <w:t>(Park et al. 2013a)</w:t>
      </w:r>
      <w:r w:rsidRPr="00CC41CA">
        <w:t xml:space="preserve">, or the US 0/54 </w:t>
      </w:r>
      <w:r w:rsidR="0083511C">
        <w:t>(Dev </w:t>
      </w:r>
      <w:r w:rsidR="00657FDB">
        <w:t>Kumar et al. 2015)</w:t>
      </w:r>
      <w:r w:rsidRPr="00CC41CA">
        <w:t xml:space="preserve">. No Australian data on the presence of </w:t>
      </w:r>
      <w:r w:rsidRPr="00CC41CA">
        <w:rPr>
          <w:i/>
        </w:rPr>
        <w:t>L. monocytogenes</w:t>
      </w:r>
      <w:r w:rsidRPr="00CC41CA">
        <w:t xml:space="preserve"> in soil in melon fields was identified.</w:t>
      </w:r>
      <w:r w:rsidR="00CE156D" w:rsidRPr="00CE156D">
        <w:rPr>
          <w:szCs w:val="22"/>
          <w:lang w:bidi="ar-SA"/>
        </w:rPr>
        <w:t xml:space="preserve"> </w:t>
      </w:r>
    </w:p>
    <w:p w14:paraId="5DE0D325" w14:textId="77777777" w:rsidR="00CE156D" w:rsidRPr="00465187" w:rsidRDefault="00CE156D" w:rsidP="00CE156D">
      <w:pPr>
        <w:rPr>
          <w:szCs w:val="22"/>
          <w:lang w:bidi="ar-SA"/>
        </w:rPr>
      </w:pPr>
    </w:p>
    <w:p w14:paraId="1E2026B3" w14:textId="73981D26" w:rsidR="009C3E8C" w:rsidRDefault="00CA0DEE" w:rsidP="009C3E8C">
      <w:pPr>
        <w:rPr>
          <w:rFonts w:cs="Arial"/>
          <w:lang w:eastAsia="en-GB"/>
        </w:rPr>
      </w:pPr>
      <w:r w:rsidRPr="00465187">
        <w:rPr>
          <w:i/>
        </w:rPr>
        <w:t xml:space="preserve">Salmonella </w:t>
      </w:r>
      <w:r>
        <w:t>spp. have</w:t>
      </w:r>
      <w:r w:rsidRPr="00465187">
        <w:t xml:space="preserve"> been reported to persist and survive in the soil of experimentally inoculated rockmelon fields for at least 49 days </w:t>
      </w:r>
      <w:r w:rsidR="00657FDB">
        <w:t>(Lopez-Velasco et al. 2012)</w:t>
      </w:r>
      <w:r w:rsidRPr="00465187">
        <w:t xml:space="preserve">. Similarly, preliminary evidence by </w:t>
      </w:r>
      <w:r w:rsidR="00657FDB">
        <w:t>Burris et al.</w:t>
      </w:r>
      <w:r w:rsidRPr="00465187">
        <w:t xml:space="preserve"> </w:t>
      </w:r>
      <w:r w:rsidR="00657FDB">
        <w:t>(2018)</w:t>
      </w:r>
      <w:r w:rsidRPr="00465187">
        <w:t xml:space="preserve"> reported the survival of a </w:t>
      </w:r>
      <w:r w:rsidRPr="00465187">
        <w:rPr>
          <w:i/>
        </w:rPr>
        <w:t>Salmonella</w:t>
      </w:r>
      <w:r w:rsidRPr="00465187">
        <w:t xml:space="preserve"> serovar cocktail inoculated (8.4 Log CFU/root zone) into the soil of greenhouse grown vines for at least 20 days post inoculation. Data reporting the survival of </w:t>
      </w:r>
      <w:r w:rsidRPr="00465187">
        <w:rPr>
          <w:i/>
        </w:rPr>
        <w:t>L. monocytogenes</w:t>
      </w:r>
      <w:r w:rsidRPr="00465187">
        <w:t xml:space="preserve"> in melon fields was not identified, however the bacterium is reported to survive in soil for up to </w:t>
      </w:r>
      <w:r w:rsidRPr="00465187">
        <w:rPr>
          <w:rFonts w:cs="Arial"/>
          <w:lang w:eastAsia="en-GB"/>
        </w:rPr>
        <w:t xml:space="preserve">84 days </w:t>
      </w:r>
      <w:r w:rsidR="00657FDB">
        <w:rPr>
          <w:rFonts w:cs="Arial"/>
          <w:lang w:eastAsia="en-GB"/>
        </w:rPr>
        <w:t>(Locatelli et al. 2013)</w:t>
      </w:r>
      <w:r w:rsidRPr="00465187">
        <w:rPr>
          <w:rFonts w:cs="Arial"/>
          <w:lang w:eastAsia="en-GB"/>
        </w:rPr>
        <w:t xml:space="preserve">. As these pathogens were reported to decline in the soil, the </w:t>
      </w:r>
      <w:r>
        <w:rPr>
          <w:rFonts w:cs="Arial"/>
          <w:lang w:eastAsia="en-GB"/>
        </w:rPr>
        <w:t>initial</w:t>
      </w:r>
      <w:r w:rsidRPr="00465187">
        <w:rPr>
          <w:rFonts w:cs="Arial"/>
          <w:lang w:eastAsia="en-GB"/>
        </w:rPr>
        <w:t xml:space="preserve"> contamination </w:t>
      </w:r>
      <w:r>
        <w:rPr>
          <w:rFonts w:cs="Arial"/>
          <w:lang w:eastAsia="en-GB"/>
        </w:rPr>
        <w:t xml:space="preserve">load </w:t>
      </w:r>
      <w:r w:rsidRPr="00465187">
        <w:rPr>
          <w:rFonts w:cs="Arial"/>
          <w:lang w:eastAsia="en-GB"/>
        </w:rPr>
        <w:t xml:space="preserve">is an important consideration regarding the risk posed by contamination in soil. </w:t>
      </w:r>
    </w:p>
    <w:p w14:paraId="2DA32355" w14:textId="77777777" w:rsidR="00210021" w:rsidRDefault="00210021" w:rsidP="009C3E8C">
      <w:pPr>
        <w:rPr>
          <w:rFonts w:cs="Arial"/>
          <w:lang w:eastAsia="en-GB"/>
        </w:rPr>
      </w:pPr>
    </w:p>
    <w:p w14:paraId="48D995DD" w14:textId="5E571E98" w:rsidR="00CE156D" w:rsidRPr="00465187" w:rsidRDefault="00CA0DEE" w:rsidP="00CE156D">
      <w:pPr>
        <w:rPr>
          <w:szCs w:val="22"/>
          <w:lang w:bidi="ar-SA"/>
        </w:rPr>
      </w:pPr>
      <w:r w:rsidRPr="00465187">
        <w:t xml:space="preserve">The internalisation of </w:t>
      </w:r>
      <w:r w:rsidRPr="00465187">
        <w:rPr>
          <w:i/>
        </w:rPr>
        <w:t>Salmonella</w:t>
      </w:r>
      <w:r w:rsidRPr="00465187">
        <w:t xml:space="preserve"> </w:t>
      </w:r>
      <w:r>
        <w:t xml:space="preserve">spp. </w:t>
      </w:r>
      <w:r w:rsidRPr="00465187">
        <w:t xml:space="preserve">into rockmelon flesh via the roots from contaminated soil has not been observed in preliminary studies. A </w:t>
      </w:r>
      <w:r w:rsidRPr="00465187">
        <w:rPr>
          <w:i/>
        </w:rPr>
        <w:t xml:space="preserve">Salmonella </w:t>
      </w:r>
      <w:r w:rsidRPr="00465187">
        <w:t>serovar cocktail (serovars Javiana, Newport, Panama, Poona and Typhimurium) inoculated into soil of rockmelon plants maintained in a greenhouse at high levels (8.4 log CFU/root zone) was found to translocate to the lower stem in 5% (2/40</w:t>
      </w:r>
      <w:r>
        <w:t>) of plants sampled seven</w:t>
      </w:r>
      <w:r w:rsidRPr="00465187">
        <w:t xml:space="preserve"> days post inoculation. However, the subsequent internalisation of </w:t>
      </w:r>
      <w:r w:rsidRPr="00465187">
        <w:rPr>
          <w:i/>
        </w:rPr>
        <w:t>Salmonella</w:t>
      </w:r>
      <w:r w:rsidRPr="00465187">
        <w:t xml:space="preserve"> to the mature fruit via contaminated soil was not observed </w:t>
      </w:r>
      <w:r w:rsidR="00657FDB">
        <w:t>(Burris et al. 2018)</w:t>
      </w:r>
      <w:r w:rsidRPr="00465187">
        <w:t>.</w:t>
      </w:r>
      <w:r w:rsidR="00CE156D" w:rsidRPr="00CE156D">
        <w:rPr>
          <w:szCs w:val="22"/>
          <w:lang w:bidi="ar-SA"/>
        </w:rPr>
        <w:t xml:space="preserve"> </w:t>
      </w:r>
    </w:p>
    <w:p w14:paraId="49ABDF12" w14:textId="77777777" w:rsidR="00CE156D" w:rsidRPr="00465187" w:rsidRDefault="00CE156D" w:rsidP="00CE156D">
      <w:pPr>
        <w:rPr>
          <w:szCs w:val="22"/>
          <w:lang w:bidi="ar-SA"/>
        </w:rPr>
      </w:pPr>
    </w:p>
    <w:p w14:paraId="04CDF2CE" w14:textId="6BE88B12" w:rsidR="00CE156D" w:rsidRPr="00465187" w:rsidRDefault="00CA0DEE" w:rsidP="00CE156D">
      <w:pPr>
        <w:rPr>
          <w:szCs w:val="22"/>
          <w:lang w:bidi="ar-SA"/>
        </w:rPr>
      </w:pPr>
      <w:r w:rsidRPr="00465187">
        <w:t>There is preliminary evidence that different soil cultivation practices may influence the risk from pathogens in soil, with one study reporting that the use of different combinations of muscadine-pomace compost, mushroom compost, solarisation and cultivation of a mustard cover crop successfully inactivated</w:t>
      </w:r>
      <w:r w:rsidRPr="00465187">
        <w:rPr>
          <w:i/>
        </w:rPr>
        <w:t xml:space="preserve"> Salmonella</w:t>
      </w:r>
      <w:r w:rsidRPr="00465187">
        <w:t xml:space="preserve"> </w:t>
      </w:r>
      <w:r>
        <w:t xml:space="preserve">spp. </w:t>
      </w:r>
      <w:r w:rsidRPr="00465187">
        <w:t xml:space="preserve">experimentally inoculated into melon fields </w:t>
      </w:r>
      <w:r w:rsidR="00657FDB">
        <w:t>(Reed et al. 2018b)</w:t>
      </w:r>
      <w:r w:rsidRPr="00465187">
        <w:t>.</w:t>
      </w:r>
      <w:r w:rsidR="00CE156D" w:rsidRPr="00CE156D">
        <w:rPr>
          <w:szCs w:val="22"/>
          <w:lang w:bidi="ar-SA"/>
        </w:rPr>
        <w:t xml:space="preserve"> </w:t>
      </w:r>
    </w:p>
    <w:p w14:paraId="37C0CB3F" w14:textId="77777777" w:rsidR="00CE156D" w:rsidRPr="00465187" w:rsidRDefault="00CE156D" w:rsidP="00CE156D">
      <w:pPr>
        <w:rPr>
          <w:szCs w:val="22"/>
          <w:lang w:bidi="ar-SA"/>
        </w:rPr>
      </w:pPr>
    </w:p>
    <w:p w14:paraId="6E2D0864" w14:textId="6EFD28A3" w:rsidR="00CE156D" w:rsidRPr="00465187" w:rsidRDefault="00CA0DEE" w:rsidP="00CE156D">
      <w:pPr>
        <w:rPr>
          <w:szCs w:val="22"/>
          <w:lang w:bidi="ar-SA"/>
        </w:rPr>
      </w:pPr>
      <w:r w:rsidRPr="00465187">
        <w:t xml:space="preserve">An outbreak investigation in the US concluded that contamination of fresh rockmelon by </w:t>
      </w:r>
      <w:r w:rsidRPr="00465187">
        <w:rPr>
          <w:i/>
        </w:rPr>
        <w:t>Salmonella,</w:t>
      </w:r>
      <w:r w:rsidRPr="00465187">
        <w:t xml:space="preserve"> that caused 261 illnesses and 6 deaths, originated in the production environment as the outbreak strain was found in soil samples on the implicated farm. The investigation hypothesised it was likely the contamination was introduced either from irrigation water or biological soil amendment </w:t>
      </w:r>
      <w:r w:rsidR="00657FDB">
        <w:t>(FDA 2014)</w:t>
      </w:r>
      <w:r w:rsidRPr="00465187">
        <w:t>.</w:t>
      </w:r>
      <w:r w:rsidR="00CE156D" w:rsidRPr="00CE156D">
        <w:rPr>
          <w:szCs w:val="22"/>
          <w:lang w:bidi="ar-SA"/>
        </w:rPr>
        <w:t xml:space="preserve"> </w:t>
      </w:r>
    </w:p>
    <w:p w14:paraId="0E4012F0" w14:textId="77777777" w:rsidR="00CE156D" w:rsidRPr="00465187" w:rsidRDefault="00CE156D" w:rsidP="00CE156D">
      <w:pPr>
        <w:rPr>
          <w:szCs w:val="22"/>
          <w:lang w:bidi="ar-SA"/>
        </w:rPr>
      </w:pPr>
    </w:p>
    <w:p w14:paraId="19A7278E" w14:textId="50695CFB" w:rsidR="00CA0DEE" w:rsidRPr="00465187" w:rsidRDefault="00CA0DEE" w:rsidP="00CA0DEE">
      <w:r w:rsidRPr="00465187">
        <w:rPr>
          <w:lang w:bidi="ar-SA"/>
        </w:rPr>
        <w:t xml:space="preserve">The evidence summarised below regarding the ability of pathogens to internalise into rockmelon flesh via wounds and the blossom has implications for food safety if these areas are exposed to pathogens. This could include via irrigation water or soil amendments applied in a way that contacts these areas, dust, or submersion in water (such as floodwater). </w:t>
      </w:r>
      <w:r w:rsidRPr="00465187">
        <w:t>The potential uptake of</w:t>
      </w:r>
      <w:r w:rsidRPr="00465187">
        <w:rPr>
          <w:i/>
        </w:rPr>
        <w:t xml:space="preserve"> Salmonella</w:t>
      </w:r>
      <w:r w:rsidRPr="00465187">
        <w:t xml:space="preserve"> </w:t>
      </w:r>
      <w:r>
        <w:t xml:space="preserve">spp. </w:t>
      </w:r>
      <w:r w:rsidRPr="00465187">
        <w:t xml:space="preserve">from the environment due to wounding of plants has been investigated. </w:t>
      </w:r>
      <w:r w:rsidRPr="00465187">
        <w:rPr>
          <w:i/>
        </w:rPr>
        <w:t xml:space="preserve">Salmonella </w:t>
      </w:r>
      <w:r w:rsidRPr="00465187">
        <w:t xml:space="preserve">was detected nine days after exposure to an attenuated </w:t>
      </w:r>
      <w:r w:rsidRPr="00465187">
        <w:rPr>
          <w:i/>
        </w:rPr>
        <w:t>S</w:t>
      </w:r>
      <w:r>
        <w:t>. </w:t>
      </w:r>
      <w:r w:rsidRPr="00465187">
        <w:t xml:space="preserve">Typhimurium strain (4 Log CFU/mL) at a site where the peduncle was slightly damaged with a needle. Positive detections occurred in the peduncle (75%), adjacent vine tissues (25%) and the fruit mesocarp flesh (5%) from 20 samples </w:t>
      </w:r>
      <w:r w:rsidR="00657FDB">
        <w:t>(Lopez-Velasco et al. 2012)</w:t>
      </w:r>
      <w:r w:rsidRPr="00465187">
        <w:t xml:space="preserve">. The percentages of positive tissues increased with increasing inoculum doses in subsequent experiments, and suggests that internalisation and transference can occur if </w:t>
      </w:r>
      <w:r>
        <w:t xml:space="preserve">a </w:t>
      </w:r>
      <w:r w:rsidRPr="00465187">
        <w:t>high enough inoculum can reach wound sites, but the ability to reach the internal fruit is dose dependent.</w:t>
      </w:r>
    </w:p>
    <w:p w14:paraId="2260C6CA" w14:textId="77777777" w:rsidR="00CE156D" w:rsidRPr="00465187" w:rsidRDefault="00CE156D" w:rsidP="00CE156D">
      <w:pPr>
        <w:rPr>
          <w:szCs w:val="22"/>
          <w:lang w:bidi="ar-SA"/>
        </w:rPr>
      </w:pPr>
    </w:p>
    <w:p w14:paraId="2B5AEFD1" w14:textId="2A9DEAF4" w:rsidR="00CA0DEE" w:rsidRPr="00C45AD4" w:rsidRDefault="00CA0DEE" w:rsidP="00CA0DEE">
      <w:pPr>
        <w:rPr>
          <w:lang w:eastAsia="en-AU"/>
        </w:rPr>
      </w:pPr>
      <w:r w:rsidRPr="00465187">
        <w:rPr>
          <w:lang w:eastAsia="en-AU"/>
        </w:rPr>
        <w:t xml:space="preserve">Preliminary evidence suggests that </w:t>
      </w:r>
      <w:r w:rsidRPr="00465187">
        <w:rPr>
          <w:i/>
          <w:lang w:eastAsia="en-AU"/>
        </w:rPr>
        <w:t xml:space="preserve">Salmonella </w:t>
      </w:r>
      <w:r>
        <w:rPr>
          <w:lang w:eastAsia="en-AU"/>
        </w:rPr>
        <w:t xml:space="preserve">spp. </w:t>
      </w:r>
      <w:r w:rsidRPr="00465187">
        <w:rPr>
          <w:lang w:eastAsia="en-AU"/>
        </w:rPr>
        <w:t xml:space="preserve">can internalise into rockmelon flesh via contamination of the flower blossom. A </w:t>
      </w:r>
      <w:r w:rsidRPr="00465187">
        <w:rPr>
          <w:i/>
          <w:lang w:eastAsia="en-AU"/>
        </w:rPr>
        <w:t xml:space="preserve">Salmonella </w:t>
      </w:r>
      <w:r w:rsidRPr="00465187">
        <w:rPr>
          <w:lang w:eastAsia="en-AU"/>
        </w:rPr>
        <w:t xml:space="preserve">serovar cocktail (serovars Javiana, Newport, Panama, Poona and Typhimurium) was inoculated onto the blossom of rockmelon plants maintained in a greenhouse at 4.4 log CFU/blossom and resulted 86% (12/14) of harvested rockmelons positive for </w:t>
      </w:r>
      <w:r w:rsidRPr="00465187">
        <w:rPr>
          <w:i/>
          <w:lang w:eastAsia="en-AU"/>
        </w:rPr>
        <w:t xml:space="preserve">Salmonella </w:t>
      </w:r>
      <w:r w:rsidRPr="00465187">
        <w:rPr>
          <w:lang w:eastAsia="en-AU"/>
        </w:rPr>
        <w:t xml:space="preserve">internalised in the flesh. In this study only inoculation of blossoms and not the inoculation of soil resulted in internalisation by </w:t>
      </w:r>
      <w:r w:rsidRPr="00465187">
        <w:rPr>
          <w:i/>
          <w:lang w:eastAsia="en-AU"/>
        </w:rPr>
        <w:t xml:space="preserve">Salmonella </w:t>
      </w:r>
      <w:r w:rsidRPr="00465187">
        <w:rPr>
          <w:lang w:eastAsia="en-AU"/>
        </w:rPr>
        <w:t xml:space="preserve">into melon flesh </w:t>
      </w:r>
      <w:r w:rsidR="00657FDB">
        <w:rPr>
          <w:lang w:eastAsia="en-AU"/>
        </w:rPr>
        <w:t>(Burris et al. 2018)</w:t>
      </w:r>
      <w:r>
        <w:rPr>
          <w:lang w:eastAsia="en-AU"/>
        </w:rPr>
        <w:t>.</w:t>
      </w:r>
    </w:p>
    <w:p w14:paraId="5AAEE80F" w14:textId="77777777" w:rsidR="00CA0DEE" w:rsidRPr="00C45AD4" w:rsidRDefault="00CA0DEE" w:rsidP="00787E56">
      <w:pPr>
        <w:pStyle w:val="Heading3"/>
        <w:numPr>
          <w:ilvl w:val="2"/>
          <w:numId w:val="11"/>
        </w:numPr>
      </w:pPr>
      <w:bookmarkStart w:id="276" w:name="_Toc56693446"/>
      <w:bookmarkStart w:id="277" w:name="_Toc58327799"/>
      <w:bookmarkStart w:id="278" w:name="_Toc58333979"/>
      <w:bookmarkStart w:id="279" w:name="_Toc64448786"/>
      <w:bookmarkStart w:id="280" w:name="_Toc87860047"/>
      <w:r w:rsidRPr="00C45AD4">
        <w:t>Conclusions, uncertainty, and data gaps</w:t>
      </w:r>
      <w:bookmarkEnd w:id="276"/>
      <w:bookmarkEnd w:id="277"/>
      <w:bookmarkEnd w:id="278"/>
      <w:bookmarkEnd w:id="279"/>
      <w:bookmarkEnd w:id="280"/>
    </w:p>
    <w:p w14:paraId="03097E11" w14:textId="77777777" w:rsidR="00CA0DEE" w:rsidRPr="00E12D79" w:rsidRDefault="00CA0DEE" w:rsidP="00CA0DEE">
      <w:pPr>
        <w:rPr>
          <w:lang w:eastAsia="en-AU" w:bidi="ar-SA"/>
        </w:rPr>
      </w:pPr>
      <w:r w:rsidRPr="007414EF">
        <w:rPr>
          <w:i/>
          <w:lang w:eastAsia="en-AU" w:bidi="ar-SA"/>
        </w:rPr>
        <w:t>The contamination of soil or soil amendments are risk factors that apply broadly to the commodity sectors.</w:t>
      </w:r>
      <w:r w:rsidRPr="00E12D79">
        <w:rPr>
          <w:lang w:eastAsia="en-AU" w:bidi="ar-SA"/>
        </w:rPr>
        <w:t xml:space="preserve"> There is a low level of uncertainty and high level of confidence in this conclusion</w:t>
      </w:r>
      <w:r>
        <w:rPr>
          <w:lang w:eastAsia="en-AU" w:bidi="ar-SA"/>
        </w:rPr>
        <w:t>,</w:t>
      </w:r>
      <w:r w:rsidRPr="00E12D79">
        <w:rPr>
          <w:lang w:eastAsia="en-AU" w:bidi="ar-SA"/>
        </w:rPr>
        <w:t xml:space="preserve"> based on the general evidence for the presence and persistence of pathogens in soil and soil amendments, and the available evidence for leafy v</w:t>
      </w:r>
      <w:r>
        <w:rPr>
          <w:lang w:eastAsia="en-AU" w:bidi="ar-SA"/>
        </w:rPr>
        <w:t>egetables, berries, and melons.</w:t>
      </w:r>
    </w:p>
    <w:p w14:paraId="1E35F3E5" w14:textId="77777777" w:rsidR="00CA0DEE" w:rsidRPr="008B33BB" w:rsidRDefault="00CA0DEE" w:rsidP="00CA0DEE">
      <w:pPr>
        <w:pStyle w:val="Default"/>
        <w:rPr>
          <w:sz w:val="22"/>
          <w:szCs w:val="22"/>
        </w:rPr>
      </w:pPr>
    </w:p>
    <w:p w14:paraId="16DA67FF" w14:textId="77777777" w:rsidR="00CA0DEE" w:rsidRDefault="00CA0DEE" w:rsidP="00CA0DEE">
      <w:pPr>
        <w:rPr>
          <w:b/>
        </w:rPr>
      </w:pPr>
      <w:r w:rsidRPr="007414EF">
        <w:rPr>
          <w:i/>
        </w:rPr>
        <w:t>Surface contamination via contaminated soil is a risk factor for all commodities.</w:t>
      </w:r>
      <w:r w:rsidRPr="0064726A">
        <w:rPr>
          <w:b/>
        </w:rPr>
        <w:t xml:space="preserve"> </w:t>
      </w:r>
      <w:r w:rsidRPr="00E12D79">
        <w:rPr>
          <w:lang w:eastAsia="en-AU"/>
        </w:rPr>
        <w:t>There is a low level of uncertainty and high level of confidence in this conclusion</w:t>
      </w:r>
      <w:r>
        <w:rPr>
          <w:lang w:eastAsia="en-AU"/>
        </w:rPr>
        <w:t>,</w:t>
      </w:r>
      <w:r w:rsidRPr="00E12D79">
        <w:rPr>
          <w:lang w:eastAsia="en-AU"/>
        </w:rPr>
        <w:t xml:space="preserve"> based on the general evidence for the presence and persistence of pathogens in soil and soil amendments, and the available evidence for leafy vegetables, berries, and melons.</w:t>
      </w:r>
    </w:p>
    <w:p w14:paraId="53D456E9" w14:textId="77777777" w:rsidR="00CA0DEE" w:rsidRDefault="00CA0DEE" w:rsidP="00CA0DEE">
      <w:pPr>
        <w:rPr>
          <w:b/>
        </w:rPr>
      </w:pPr>
    </w:p>
    <w:p w14:paraId="1417081B" w14:textId="6AC46CB7" w:rsidR="00CA0DEE" w:rsidRPr="00E12D79" w:rsidRDefault="00CA0DEE" w:rsidP="00CA0DEE">
      <w:r w:rsidRPr="007414EF">
        <w:rPr>
          <w:i/>
        </w:rPr>
        <w:t>It is plausible that those commodities that grow closer to the ground—including lettuce, spinach, parsley, rockmelon, watermelon and strawberries—may be at a greater risk of contamination via direct contact with soil compared to blueberries and raspberries.</w:t>
      </w:r>
      <w:r w:rsidRPr="00E12D79">
        <w:t xml:space="preserve"> However, indirect contamination</w:t>
      </w:r>
      <w:r>
        <w:t>,</w:t>
      </w:r>
      <w:r w:rsidRPr="00E12D79">
        <w:t xml:space="preserve"> such as soil carried via wind or water</w:t>
      </w:r>
      <w:r>
        <w:t>,</w:t>
      </w:r>
      <w:r w:rsidRPr="00E12D79">
        <w:t xml:space="preserve"> would still present a risk to those higher growing commodities</w:t>
      </w:r>
      <w:r w:rsidRPr="008B33BB">
        <w:t xml:space="preserve">. </w:t>
      </w:r>
      <w:r>
        <w:t>S</w:t>
      </w:r>
      <w:r w:rsidRPr="008B33BB">
        <w:t xml:space="preserve">tudies directly assessing the potential for contaminated soil to transfer pathogens to the </w:t>
      </w:r>
      <w:r>
        <w:t xml:space="preserve">external </w:t>
      </w:r>
      <w:r w:rsidRPr="008B33BB">
        <w:t>portions of watermelons, raspberries, and blueberries were not identified.</w:t>
      </w:r>
      <w:r>
        <w:t xml:space="preserve"> Moreover, studies assessing differences in levels of attachment by pathogens onto different commodities as a result of the intrinsic surface properties, such as surface roughness, are limited. However, it is plausible that those commodities with rougher surfaces would afford increased protection to pathogens from environmental factors and subsequent washing and sanitising.</w:t>
      </w:r>
    </w:p>
    <w:p w14:paraId="529EB705" w14:textId="77777777" w:rsidR="00CA0DEE" w:rsidRDefault="00CA0DEE" w:rsidP="00CA0DEE">
      <w:pPr>
        <w:rPr>
          <w:b/>
          <w:lang w:eastAsia="en-AU"/>
        </w:rPr>
      </w:pPr>
    </w:p>
    <w:p w14:paraId="2DE01209" w14:textId="34A26787" w:rsidR="00CA0DEE" w:rsidRDefault="00CA0DEE" w:rsidP="00CA0DEE">
      <w:pPr>
        <w:rPr>
          <w:lang w:eastAsia="en-AU"/>
        </w:rPr>
      </w:pPr>
      <w:r w:rsidRPr="007414EF">
        <w:rPr>
          <w:i/>
          <w:lang w:eastAsia="en-AU"/>
        </w:rPr>
        <w:t>Contamination of soil or application of contaminated soil amendments that occur close to harvest are generally considered to represent an increased risk.</w:t>
      </w:r>
      <w:r w:rsidRPr="00E12D79">
        <w:rPr>
          <w:lang w:eastAsia="en-AU"/>
        </w:rPr>
        <w:t xml:space="preserve"> There is a low level of uncertainty and high level of confidence in this conclusion</w:t>
      </w:r>
      <w:r>
        <w:rPr>
          <w:lang w:eastAsia="en-AU"/>
        </w:rPr>
        <w:t>,</w:t>
      </w:r>
      <w:r w:rsidRPr="00E12D79">
        <w:rPr>
          <w:lang w:eastAsia="en-AU"/>
        </w:rPr>
        <w:t xml:space="preserve"> based on the general evidence for the presence and persistence of pathogens in soil and soil amendments</w:t>
      </w:r>
      <w:r w:rsidRPr="00E12D79">
        <w:t xml:space="preserve">. </w:t>
      </w:r>
      <w:r w:rsidRPr="00E12D79">
        <w:rPr>
          <w:lang w:eastAsia="en-AU"/>
        </w:rPr>
        <w:t xml:space="preserve">However, the persistence, decline, or growth of pathogens contaminating soil or soil amendments is reported to vary greatly in the literature reviewed. Moreover, the variety of different methods used in studies can make comparisons difficult. For example, experimental studies in laboratory environments may not represent the complexity </w:t>
      </w:r>
      <w:r>
        <w:rPr>
          <w:lang w:eastAsia="en-AU"/>
        </w:rPr>
        <w:t xml:space="preserve">of the field environment, and field studies do not always examine the same environmental parameters that can influence persistence. In general, pathogens are reported to decline in soils but that rate of decline can be highly variable due to pathogen, </w:t>
      </w:r>
      <w:r>
        <w:t>environmental, and physical soil parameters</w:t>
      </w:r>
      <w:r>
        <w:rPr>
          <w:lang w:eastAsia="en-AU"/>
        </w:rPr>
        <w:t>.</w:t>
      </w:r>
    </w:p>
    <w:p w14:paraId="0820A73C" w14:textId="77777777" w:rsidR="00CA0DEE" w:rsidRPr="00E12D79" w:rsidRDefault="00CA0DEE" w:rsidP="00CA0DEE">
      <w:pPr>
        <w:pStyle w:val="Default"/>
        <w:rPr>
          <w:color w:val="auto"/>
          <w:sz w:val="22"/>
          <w:szCs w:val="22"/>
        </w:rPr>
      </w:pPr>
    </w:p>
    <w:p w14:paraId="0F807B9E" w14:textId="77777777" w:rsidR="00FA4F4A" w:rsidRDefault="00FA4F4A">
      <w:pPr>
        <w:widowControl/>
        <w:rPr>
          <w:rFonts w:cs="Arial"/>
          <w:i/>
          <w:szCs w:val="22"/>
          <w:lang w:eastAsia="en-GB" w:bidi="ar-SA"/>
        </w:rPr>
      </w:pPr>
      <w:r>
        <w:rPr>
          <w:i/>
          <w:szCs w:val="22"/>
        </w:rPr>
        <w:br w:type="page"/>
      </w:r>
    </w:p>
    <w:p w14:paraId="67BC529B" w14:textId="38B193D1" w:rsidR="00CA0DEE" w:rsidRDefault="00CA0DEE" w:rsidP="00CA0DEE">
      <w:pPr>
        <w:pStyle w:val="Default"/>
        <w:rPr>
          <w:sz w:val="22"/>
          <w:szCs w:val="22"/>
        </w:rPr>
      </w:pPr>
      <w:r w:rsidRPr="007414EF">
        <w:rPr>
          <w:i/>
          <w:color w:val="auto"/>
          <w:sz w:val="22"/>
          <w:szCs w:val="22"/>
        </w:rPr>
        <w:t>Internalisation of pathogens contaminating soil via the roots to the edible portion of the plant is a risk factor that has been identified for leafy vegetables and strawberries.</w:t>
      </w:r>
      <w:r w:rsidRPr="00E12D79">
        <w:rPr>
          <w:b/>
          <w:color w:val="auto"/>
          <w:sz w:val="22"/>
          <w:szCs w:val="22"/>
        </w:rPr>
        <w:t xml:space="preserve"> </w:t>
      </w:r>
      <w:r w:rsidRPr="00E12D79">
        <w:rPr>
          <w:color w:val="auto"/>
          <w:sz w:val="22"/>
          <w:szCs w:val="22"/>
        </w:rPr>
        <w:t>While there is medium uncertainty and confidence in this conclusion for leafy vegetables, high uncertainty exists regarding other commodities</w:t>
      </w:r>
      <w:r w:rsidRPr="00E12D79">
        <w:rPr>
          <w:b/>
          <w:color w:val="auto"/>
          <w:sz w:val="22"/>
          <w:szCs w:val="22"/>
        </w:rPr>
        <w:t>.</w:t>
      </w:r>
      <w:r w:rsidRPr="00E12D79">
        <w:rPr>
          <w:color w:val="auto"/>
          <w:sz w:val="22"/>
          <w:szCs w:val="22"/>
        </w:rPr>
        <w:t xml:space="preserve"> Only a single study was identified for strawberries and rockmelons. No studies have investigated the potential for internalisation via roots from contaminated soil for watermelons, blueberries, and raspberries. It is likely that the larger distance required to translocate from the soil to the edible portion </w:t>
      </w:r>
      <w:r>
        <w:rPr>
          <w:sz w:val="22"/>
          <w:szCs w:val="22"/>
        </w:rPr>
        <w:t>of melons, raspberries, and blueberries may reduce the risk of internalisation of pathogens via the roots for these commodities, but further studies are needed for confirmation.</w:t>
      </w:r>
    </w:p>
    <w:p w14:paraId="3EB9EBC9" w14:textId="77777777" w:rsidR="00CA0DEE" w:rsidRDefault="00CA0DEE" w:rsidP="00CA0DEE">
      <w:pPr>
        <w:pStyle w:val="Default"/>
        <w:rPr>
          <w:sz w:val="22"/>
          <w:szCs w:val="22"/>
        </w:rPr>
      </w:pPr>
    </w:p>
    <w:p w14:paraId="7D9751F0" w14:textId="77777777" w:rsidR="00CA0DEE" w:rsidRPr="00FC4814" w:rsidRDefault="00CA0DEE" w:rsidP="00CA0DEE">
      <w:pPr>
        <w:pStyle w:val="Default"/>
        <w:rPr>
          <w:sz w:val="22"/>
          <w:szCs w:val="22"/>
          <w:lang w:eastAsia="en-US"/>
        </w:rPr>
      </w:pPr>
      <w:r w:rsidRPr="00F2204C">
        <w:rPr>
          <w:i/>
          <w:sz w:val="22"/>
          <w:szCs w:val="22"/>
        </w:rPr>
        <w:t xml:space="preserve">At the </w:t>
      </w:r>
      <w:r w:rsidRPr="007414EF">
        <w:rPr>
          <w:i/>
          <w:sz w:val="22"/>
          <w:szCs w:val="22"/>
        </w:rPr>
        <w:t>low concentrations of pathogens generally reported in the field, the available data suggest that internalisation of pathogens from contaminated soil into the edible part of leafy vegetables via the roots has a low probability</w:t>
      </w:r>
      <w:r>
        <w:rPr>
          <w:sz w:val="22"/>
          <w:szCs w:val="22"/>
        </w:rPr>
        <w:t>. However, h</w:t>
      </w:r>
      <w:r w:rsidRPr="005F5CA8">
        <w:rPr>
          <w:sz w:val="22"/>
          <w:szCs w:val="22"/>
        </w:rPr>
        <w:t>igh</w:t>
      </w:r>
      <w:r w:rsidRPr="00475221">
        <w:rPr>
          <w:sz w:val="22"/>
          <w:szCs w:val="22"/>
        </w:rPr>
        <w:t xml:space="preserve">er concentrations associated with </w:t>
      </w:r>
      <w:r w:rsidRPr="00475221">
        <w:rPr>
          <w:color w:val="auto"/>
          <w:sz w:val="22"/>
          <w:szCs w:val="22"/>
        </w:rPr>
        <w:t>contamination events (such as the application of raw manure) present an increased risk.</w:t>
      </w:r>
      <w:r w:rsidRPr="00491B75">
        <w:rPr>
          <w:b/>
          <w:color w:val="auto"/>
          <w:sz w:val="22"/>
          <w:szCs w:val="22"/>
        </w:rPr>
        <w:t xml:space="preserve"> </w:t>
      </w:r>
      <w:r w:rsidRPr="00491B75">
        <w:rPr>
          <w:color w:val="auto"/>
          <w:sz w:val="22"/>
          <w:szCs w:val="22"/>
        </w:rPr>
        <w:t xml:space="preserve">There is medium uncertainty and confidence in this conclusion for leafy vegetables. However, a variety of factors may influence the potential for internalisation of pathogens via soil </w:t>
      </w:r>
      <w:r>
        <w:rPr>
          <w:sz w:val="22"/>
          <w:szCs w:val="22"/>
        </w:rPr>
        <w:t xml:space="preserve">including the concentration, pathogen species or strain, plant cultivar, plant age, plant physiology factors, and environmental factors such as soil moisture. Moreover, factors affecting the probability that the pathogens would be present in the edible portions at the time of harvest, such as the subsequent persistence or potential for growth of pathogens in the plant tissue, are poorly documented. </w:t>
      </w:r>
    </w:p>
    <w:p w14:paraId="312F4ED0" w14:textId="77777777" w:rsidR="00CA0DEE" w:rsidRDefault="00CA0DEE" w:rsidP="00CA0DEE">
      <w:pPr>
        <w:rPr>
          <w:lang w:eastAsia="en-AU" w:bidi="ar-SA"/>
        </w:rPr>
      </w:pPr>
    </w:p>
    <w:p w14:paraId="7EEF4751" w14:textId="77777777" w:rsidR="00CA0DEE" w:rsidRPr="00182649" w:rsidRDefault="00CA0DEE" w:rsidP="00CA0DEE">
      <w:pPr>
        <w:pStyle w:val="Default"/>
        <w:rPr>
          <w:sz w:val="22"/>
          <w:szCs w:val="22"/>
        </w:rPr>
      </w:pPr>
      <w:r w:rsidRPr="008B33BB">
        <w:rPr>
          <w:sz w:val="22"/>
          <w:szCs w:val="22"/>
        </w:rPr>
        <w:t xml:space="preserve">The density of pathogens in soil associated with leafy vegetables, </w:t>
      </w:r>
      <w:r>
        <w:rPr>
          <w:sz w:val="22"/>
          <w:szCs w:val="22"/>
        </w:rPr>
        <w:t>berries</w:t>
      </w:r>
      <w:r w:rsidRPr="008B33BB">
        <w:rPr>
          <w:sz w:val="22"/>
          <w:szCs w:val="22"/>
        </w:rPr>
        <w:t xml:space="preserve"> and </w:t>
      </w:r>
      <w:r>
        <w:rPr>
          <w:sz w:val="22"/>
          <w:szCs w:val="22"/>
        </w:rPr>
        <w:t>melons</w:t>
      </w:r>
      <w:r w:rsidRPr="008B33BB">
        <w:rPr>
          <w:sz w:val="22"/>
          <w:szCs w:val="22"/>
        </w:rPr>
        <w:t xml:space="preserve"> is generally reported to be low. There are very limited studies in the Australian context for these commodities. However, high densities </w:t>
      </w:r>
      <w:r>
        <w:rPr>
          <w:sz w:val="22"/>
          <w:szCs w:val="22"/>
        </w:rPr>
        <w:t xml:space="preserve">of pathogens </w:t>
      </w:r>
      <w:r w:rsidRPr="008B33BB">
        <w:rPr>
          <w:sz w:val="22"/>
          <w:szCs w:val="22"/>
        </w:rPr>
        <w:t>have been reported in soil internationally</w:t>
      </w:r>
      <w:r>
        <w:rPr>
          <w:sz w:val="22"/>
          <w:szCs w:val="22"/>
        </w:rPr>
        <w:t>. I</w:t>
      </w:r>
      <w:r w:rsidRPr="008B33BB">
        <w:rPr>
          <w:sz w:val="22"/>
          <w:szCs w:val="22"/>
        </w:rPr>
        <w:t>t is likely that high levels of contamination can occur as sporadic events</w:t>
      </w:r>
      <w:r>
        <w:rPr>
          <w:sz w:val="22"/>
          <w:szCs w:val="22"/>
        </w:rPr>
        <w:t>,</w:t>
      </w:r>
      <w:r w:rsidRPr="008B33BB">
        <w:rPr>
          <w:sz w:val="22"/>
          <w:szCs w:val="22"/>
        </w:rPr>
        <w:t xml:space="preserve"> with pathogens likely to be </w:t>
      </w:r>
      <w:r>
        <w:rPr>
          <w:sz w:val="22"/>
          <w:szCs w:val="22"/>
        </w:rPr>
        <w:t>heterogeneously present in soil leading to difficulties in detection.</w:t>
      </w:r>
    </w:p>
    <w:p w14:paraId="3C8FF2C0" w14:textId="77777777" w:rsidR="00CA0DEE" w:rsidRDefault="00CA0DEE" w:rsidP="00CA0DEE">
      <w:pPr>
        <w:rPr>
          <w:lang w:eastAsia="en-AU" w:bidi="ar-SA"/>
        </w:rPr>
      </w:pPr>
    </w:p>
    <w:p w14:paraId="79608132" w14:textId="22D4342D" w:rsidR="00CA0DEE" w:rsidRDefault="00CA0DEE" w:rsidP="00CA0DEE">
      <w:pPr>
        <w:rPr>
          <w:lang w:eastAsia="en-AU" w:bidi="ar-SA"/>
        </w:rPr>
      </w:pPr>
      <w:r w:rsidRPr="00A05D91">
        <w:rPr>
          <w:lang w:eastAsia="en-AU" w:bidi="ar-SA"/>
        </w:rPr>
        <w:t>Previous expert scientific reports have identified soil and soil amendments as important risk factors that can contribute to surface and/or internal microbiological contamination of the in</w:t>
      </w:r>
      <w:r w:rsidRPr="00A05D91">
        <w:rPr>
          <w:lang w:eastAsia="en-AU" w:bidi="ar-SA"/>
        </w:rPr>
        <w:noBreakHyphen/>
        <w:t xml:space="preserve">scope commodities </w:t>
      </w:r>
      <w:r w:rsidR="00657FDB">
        <w:rPr>
          <w:lang w:eastAsia="en-AU" w:bidi="ar-SA"/>
        </w:rPr>
        <w:t>(EFSA Panel on Biological Hazards 2014a, 2014b, 2014c; FAO/WHO 2008b, 2011)</w:t>
      </w:r>
      <w:r w:rsidRPr="00A05D91">
        <w:rPr>
          <w:lang w:eastAsia="en-AU" w:bidi="ar-SA"/>
        </w:rPr>
        <w:t xml:space="preserve">. </w:t>
      </w:r>
    </w:p>
    <w:p w14:paraId="06494604" w14:textId="77777777" w:rsidR="00CA0DEE" w:rsidRDefault="00CA0DEE" w:rsidP="00787E56">
      <w:pPr>
        <w:pStyle w:val="Heading3"/>
        <w:numPr>
          <w:ilvl w:val="2"/>
          <w:numId w:val="11"/>
        </w:numPr>
      </w:pPr>
      <w:bookmarkStart w:id="281" w:name="_Toc56693447"/>
      <w:bookmarkStart w:id="282" w:name="_Toc58327800"/>
      <w:bookmarkStart w:id="283" w:name="_Toc58333980"/>
      <w:bookmarkStart w:id="284" w:name="_Toc64448787"/>
      <w:bookmarkStart w:id="285" w:name="_Toc87860048"/>
      <w:r>
        <w:t>Mitigation measures</w:t>
      </w:r>
      <w:bookmarkEnd w:id="281"/>
      <w:bookmarkEnd w:id="282"/>
      <w:bookmarkEnd w:id="283"/>
      <w:bookmarkEnd w:id="284"/>
      <w:bookmarkEnd w:id="285"/>
    </w:p>
    <w:p w14:paraId="440FBBD4" w14:textId="33A758E4" w:rsidR="00CA0DEE" w:rsidRPr="00EB58B3" w:rsidRDefault="00CA0DEE" w:rsidP="00CA0DEE">
      <w:pPr>
        <w:rPr>
          <w:i/>
        </w:rPr>
      </w:pPr>
      <w:r w:rsidRPr="00E705A2">
        <w:t xml:space="preserve">The majority of evidence for the efficacy of soil decontamination methods </w:t>
      </w:r>
      <w:r>
        <w:t>such as s</w:t>
      </w:r>
      <w:r w:rsidRPr="00E705A2">
        <w:t xml:space="preserve">oil fumigation </w:t>
      </w:r>
      <w:r w:rsidR="00657FDB">
        <w:t>(Tadmor et al. 2005)</w:t>
      </w:r>
      <w:r>
        <w:t xml:space="preserve">, solarisation </w:t>
      </w:r>
      <w:r w:rsidR="00657FDB">
        <w:t>(Antoniou et al. 1995)</w:t>
      </w:r>
      <w:r>
        <w:t xml:space="preserve">, and steaming </w:t>
      </w:r>
      <w:r w:rsidR="00657FDB">
        <w:t>(Gilardi et al. 2014)</w:t>
      </w:r>
      <w:r>
        <w:t xml:space="preserve"> has been described mainly for plant pathogens, and further research is required for foodborne pathogens such as </w:t>
      </w:r>
      <w:r w:rsidRPr="008471AA">
        <w:rPr>
          <w:i/>
        </w:rPr>
        <w:t>Salmonella</w:t>
      </w:r>
      <w:r>
        <w:rPr>
          <w:i/>
        </w:rPr>
        <w:t xml:space="preserve"> </w:t>
      </w:r>
      <w:r>
        <w:t xml:space="preserve">spp., </w:t>
      </w:r>
      <w:r w:rsidRPr="008471AA">
        <w:rPr>
          <w:i/>
        </w:rPr>
        <w:t>L. monocytogenes</w:t>
      </w:r>
      <w:r>
        <w:t xml:space="preserve">, and </w:t>
      </w:r>
      <w:r w:rsidRPr="008471AA">
        <w:rPr>
          <w:i/>
        </w:rPr>
        <w:t>E. coli</w:t>
      </w:r>
      <w:r>
        <w:rPr>
          <w:i/>
        </w:rPr>
        <w:t xml:space="preserve"> </w:t>
      </w:r>
      <w:r w:rsidR="00657FDB">
        <w:t>(Gurtler 2017)</w:t>
      </w:r>
      <w:r>
        <w:rPr>
          <w:i/>
        </w:rPr>
        <w:t xml:space="preserve">. </w:t>
      </w:r>
      <w:r>
        <w:t xml:space="preserve">However, all of these interventions reduce the natural populations of microbes in the soil, and </w:t>
      </w:r>
      <w:r w:rsidRPr="00E705A2">
        <w:t>it is hypothesised that the c</w:t>
      </w:r>
      <w:r>
        <w:t>olonisation of the soil by the natural micro</w:t>
      </w:r>
      <w:r w:rsidRPr="00E705A2">
        <w:t>biota makes it harder for introduced bacteria to dominate</w:t>
      </w:r>
      <w:r>
        <w:t>. For example</w:t>
      </w:r>
      <w:r w:rsidRPr="00E705A2">
        <w:t xml:space="preserve">, the </w:t>
      </w:r>
      <w:r>
        <w:t>reduction</w:t>
      </w:r>
      <w:r w:rsidRPr="00E705A2">
        <w:t xml:space="preserve"> of soil microbiota by fumigation has been </w:t>
      </w:r>
      <w:r>
        <w:t>shown</w:t>
      </w:r>
      <w:r w:rsidRPr="00E705A2">
        <w:t xml:space="preserve"> to increase the persistence and survival of subsequently introduced </w:t>
      </w:r>
      <w:r w:rsidRPr="00E705A2">
        <w:rPr>
          <w:i/>
        </w:rPr>
        <w:t xml:space="preserve">E. coli </w:t>
      </w:r>
      <w:r w:rsidR="00657FDB">
        <w:t>(van Elsas et al. 2007)</w:t>
      </w:r>
      <w:r w:rsidRPr="00E705A2">
        <w:rPr>
          <w:i/>
        </w:rPr>
        <w:t xml:space="preserve">. </w:t>
      </w:r>
      <w:r w:rsidRPr="00E705A2">
        <w:t>Soil biofumigation via the application of biomass amendments that release antimicrobial compounds has been investigated for</w:t>
      </w:r>
      <w:r>
        <w:t xml:space="preserve"> inactivation of</w:t>
      </w:r>
      <w:r w:rsidRPr="00E705A2">
        <w:t xml:space="preserve"> plant</w:t>
      </w:r>
      <w:r>
        <w:t xml:space="preserve"> </w:t>
      </w:r>
      <w:r w:rsidRPr="00E705A2">
        <w:t>pathogens</w:t>
      </w:r>
      <w:r>
        <w:t xml:space="preserve"> </w:t>
      </w:r>
      <w:r w:rsidR="00657FDB">
        <w:t>(Mazzola et al. 2001)</w:t>
      </w:r>
      <w:r>
        <w:t>, but evidence relating</w:t>
      </w:r>
      <w:r w:rsidRPr="00E705A2">
        <w:t xml:space="preserve"> to foodborne pathogens is limited. </w:t>
      </w:r>
      <w:r>
        <w:t xml:space="preserve">Some evidence is available for the inactivation of </w:t>
      </w:r>
      <w:r w:rsidRPr="005412D2">
        <w:rPr>
          <w:i/>
        </w:rPr>
        <w:t>E. coli</w:t>
      </w:r>
      <w:r>
        <w:t xml:space="preserve"> O157:H7 in soil using biochar amendments </w:t>
      </w:r>
      <w:r w:rsidR="00657FDB">
        <w:t>(Gurtler et al. 2014)</w:t>
      </w:r>
      <w:r>
        <w:t>.</w:t>
      </w:r>
    </w:p>
    <w:p w14:paraId="2AA58C95" w14:textId="77777777" w:rsidR="00CA0DEE" w:rsidRDefault="00CA0DEE" w:rsidP="00CA0DEE"/>
    <w:p w14:paraId="2C0EFE6E" w14:textId="11C3A82B" w:rsidR="00CA0DEE" w:rsidRDefault="00CA0DEE" w:rsidP="00CA0DEE">
      <w:pPr>
        <w:autoSpaceDE w:val="0"/>
        <w:autoSpaceDN w:val="0"/>
        <w:adjustRightInd w:val="0"/>
      </w:pPr>
      <w:r>
        <w:t xml:space="preserve">There is evidence that soil amendments that include animal manures treated using pasteurisation or composting can reduce levels of foodborne pathogens </w:t>
      </w:r>
      <w:r w:rsidR="00657FDB">
        <w:t>(Germer et al. 2010; Shepherd Jr et al. 2010)</w:t>
      </w:r>
      <w:r>
        <w:t xml:space="preserve">, but only if undertaken under optimised, well controlled and monitored conditions that can be complicated to implement consistently, particularly on farm </w:t>
      </w:r>
      <w:r w:rsidR="00657FDB">
        <w:t>(Erickson et al. 2010; Erickson et al. 2015a, 2015b)</w:t>
      </w:r>
      <w:r>
        <w:t xml:space="preserve">. </w:t>
      </w:r>
    </w:p>
    <w:p w14:paraId="564394AE" w14:textId="77777777" w:rsidR="00CA0DEE" w:rsidRPr="00CE156D" w:rsidRDefault="00CA0DEE" w:rsidP="00CA0DEE">
      <w:pPr>
        <w:autoSpaceDE w:val="0"/>
        <w:autoSpaceDN w:val="0"/>
        <w:adjustRightInd w:val="0"/>
        <w:rPr>
          <w:rFonts w:cs="Arial"/>
          <w:szCs w:val="22"/>
          <w:lang w:eastAsia="en-GB" w:bidi="ar-SA"/>
        </w:rPr>
      </w:pPr>
    </w:p>
    <w:p w14:paraId="79ABC56D" w14:textId="3283676A" w:rsidR="00CA0DEE" w:rsidRPr="00D85B85" w:rsidRDefault="00CA0DEE" w:rsidP="00CA0DEE">
      <w:pPr>
        <w:autoSpaceDE w:val="0"/>
        <w:autoSpaceDN w:val="0"/>
        <w:adjustRightInd w:val="0"/>
        <w:rPr>
          <w:rFonts w:cs="Arial"/>
          <w:szCs w:val="22"/>
          <w:lang w:eastAsia="en-GB" w:bidi="ar-SA"/>
        </w:rPr>
      </w:pPr>
      <w:r w:rsidRPr="00465187">
        <w:rPr>
          <w:rFonts w:cs="Arial"/>
          <w:szCs w:val="22"/>
          <w:lang w:eastAsia="en-GB" w:bidi="ar-SA"/>
        </w:rPr>
        <w:t xml:space="preserve">As indicated below, differing advice has been provided </w:t>
      </w:r>
      <w:r w:rsidRPr="00465187">
        <w:t xml:space="preserve">regarding the addition of untreated animal manures to crops of fresh produce. A recent meta-analysis that quantitatively assessed the effect of different environmental factors on the persistence and inactivation of </w:t>
      </w:r>
      <w:r w:rsidRPr="00465187">
        <w:rPr>
          <w:i/>
        </w:rPr>
        <w:t>E. coli</w:t>
      </w:r>
      <w:r w:rsidRPr="00465187">
        <w:t xml:space="preserve"> and </w:t>
      </w:r>
      <w:r w:rsidRPr="00465187">
        <w:rPr>
          <w:i/>
        </w:rPr>
        <w:t>Salmonella</w:t>
      </w:r>
      <w:r w:rsidRPr="00465187">
        <w:t xml:space="preserve"> </w:t>
      </w:r>
      <w:r>
        <w:t xml:space="preserve">spp. </w:t>
      </w:r>
      <w:r w:rsidRPr="00465187">
        <w:t>in manure amended soils determined that</w:t>
      </w:r>
      <w:r w:rsidRPr="00465187">
        <w:rPr>
          <w:rFonts w:cs="Arial"/>
          <w:szCs w:val="22"/>
          <w:lang w:eastAsia="en-GB" w:bidi="ar-SA"/>
        </w:rPr>
        <w:t xml:space="preserve"> the median time for a 1 Log reduction was 7.62 days and 5.67 days</w:t>
      </w:r>
      <w:r>
        <w:rPr>
          <w:rFonts w:cs="Arial"/>
          <w:szCs w:val="22"/>
          <w:lang w:eastAsia="en-GB" w:bidi="ar-SA"/>
        </w:rPr>
        <w:t>,</w:t>
      </w:r>
      <w:r w:rsidRPr="00465187">
        <w:rPr>
          <w:rFonts w:cs="Arial"/>
          <w:szCs w:val="22"/>
          <w:lang w:eastAsia="en-GB" w:bidi="ar-SA"/>
        </w:rPr>
        <w:t xml:space="preserve"> respectively</w:t>
      </w:r>
      <w:r>
        <w:rPr>
          <w:rFonts w:cs="Arial"/>
          <w:szCs w:val="22"/>
          <w:lang w:eastAsia="en-GB" w:bidi="ar-SA"/>
        </w:rPr>
        <w:t>,</w:t>
      </w:r>
      <w:r w:rsidRPr="00465187">
        <w:rPr>
          <w:rFonts w:cs="Arial"/>
          <w:szCs w:val="22"/>
          <w:lang w:eastAsia="en-GB" w:bidi="ar-SA"/>
        </w:rPr>
        <w:t xml:space="preserve"> in the field condi</w:t>
      </w:r>
      <w:r>
        <w:rPr>
          <w:rFonts w:cs="Arial"/>
          <w:szCs w:val="22"/>
          <w:lang w:eastAsia="en-GB" w:bidi="ar-SA"/>
        </w:rPr>
        <w:t>tions of temperatures from 10-</w:t>
      </w:r>
      <w:r w:rsidRPr="00465187">
        <w:rPr>
          <w:rFonts w:cs="Arial"/>
          <w:szCs w:val="22"/>
          <w:lang w:eastAsia="en-GB" w:bidi="ar-SA"/>
        </w:rPr>
        <w:t xml:space="preserve">20°C. While this median rate of inactivation suggests that </w:t>
      </w:r>
      <w:r w:rsidRPr="00465187">
        <w:rPr>
          <w:rFonts w:cs="Arial"/>
          <w:i/>
          <w:szCs w:val="22"/>
          <w:lang w:eastAsia="en-GB" w:bidi="ar-SA"/>
        </w:rPr>
        <w:t>E. coli</w:t>
      </w:r>
      <w:r w:rsidRPr="00465187">
        <w:rPr>
          <w:rFonts w:cs="Arial"/>
          <w:szCs w:val="22"/>
          <w:lang w:eastAsia="en-GB" w:bidi="ar-SA"/>
        </w:rPr>
        <w:t xml:space="preserve"> and </w:t>
      </w:r>
      <w:r w:rsidRPr="00465187">
        <w:rPr>
          <w:rFonts w:cs="Arial"/>
          <w:i/>
          <w:szCs w:val="22"/>
          <w:lang w:eastAsia="en-GB" w:bidi="ar-SA"/>
        </w:rPr>
        <w:t xml:space="preserve">Salmonella </w:t>
      </w:r>
      <w:r>
        <w:rPr>
          <w:rFonts w:cs="Arial"/>
          <w:szCs w:val="22"/>
          <w:lang w:eastAsia="en-GB" w:bidi="ar-SA"/>
        </w:rPr>
        <w:t xml:space="preserve">spp. </w:t>
      </w:r>
      <w:r w:rsidRPr="00465187">
        <w:rPr>
          <w:rFonts w:cs="Arial"/>
          <w:szCs w:val="22"/>
          <w:lang w:eastAsia="en-GB" w:bidi="ar-SA"/>
        </w:rPr>
        <w:t xml:space="preserve">would die off within proposed exclusion times of 90 and 120 days, the authors indicated that the 95% upper CI predicted values of inactivation provide a more conservative estimation and indicate that the Log reduction in 120 days could be 8.18 and 4.74 Log CFU/g for </w:t>
      </w:r>
      <w:r w:rsidRPr="00465187">
        <w:rPr>
          <w:rFonts w:cs="Arial"/>
          <w:i/>
          <w:szCs w:val="22"/>
          <w:lang w:eastAsia="en-GB" w:bidi="ar-SA"/>
        </w:rPr>
        <w:t>E. coli</w:t>
      </w:r>
      <w:r w:rsidRPr="00465187">
        <w:rPr>
          <w:rFonts w:cs="Arial"/>
          <w:szCs w:val="22"/>
          <w:lang w:eastAsia="en-GB" w:bidi="ar-SA"/>
        </w:rPr>
        <w:t xml:space="preserve"> and </w:t>
      </w:r>
      <w:r w:rsidRPr="00465187">
        <w:rPr>
          <w:rFonts w:cs="Arial"/>
          <w:i/>
          <w:szCs w:val="22"/>
          <w:lang w:eastAsia="en-GB" w:bidi="ar-SA"/>
        </w:rPr>
        <w:t>Salmonella</w:t>
      </w:r>
      <w:r w:rsidRPr="00465187">
        <w:rPr>
          <w:rFonts w:cs="Arial"/>
          <w:szCs w:val="22"/>
          <w:lang w:eastAsia="en-GB" w:bidi="ar-SA"/>
        </w:rPr>
        <w:t xml:space="preserve"> </w:t>
      </w:r>
      <w:r>
        <w:rPr>
          <w:rFonts w:cs="Arial"/>
          <w:szCs w:val="22"/>
          <w:lang w:eastAsia="en-GB" w:bidi="ar-SA"/>
        </w:rPr>
        <w:t xml:space="preserve">spp., </w:t>
      </w:r>
      <w:r w:rsidRPr="00465187">
        <w:rPr>
          <w:rFonts w:cs="Arial"/>
          <w:szCs w:val="22"/>
          <w:lang w:eastAsia="en-GB" w:bidi="ar-SA"/>
        </w:rPr>
        <w:t xml:space="preserve">respectively </w:t>
      </w:r>
      <w:r w:rsidR="00657FDB">
        <w:rPr>
          <w:rFonts w:cs="Arial"/>
          <w:szCs w:val="22"/>
          <w:lang w:eastAsia="en-GB" w:bidi="ar-SA"/>
        </w:rPr>
        <w:t>(Tran et al. 2020)</w:t>
      </w:r>
      <w:r w:rsidRPr="00465187">
        <w:rPr>
          <w:rFonts w:cs="Arial"/>
          <w:szCs w:val="22"/>
          <w:lang w:eastAsia="en-GB" w:bidi="ar-SA"/>
        </w:rPr>
        <w:t xml:space="preserve">. Thus, the initial contamination level of manure amended soils is an important variable to consider. The authors concluded that it is unlikely </w:t>
      </w:r>
      <w:r>
        <w:rPr>
          <w:rFonts w:cs="Arial"/>
          <w:szCs w:val="22"/>
          <w:lang w:eastAsia="en-GB" w:bidi="ar-SA"/>
        </w:rPr>
        <w:t xml:space="preserve">that </w:t>
      </w:r>
      <w:r w:rsidRPr="00465187">
        <w:rPr>
          <w:rFonts w:cs="Arial"/>
          <w:szCs w:val="22"/>
          <w:lang w:eastAsia="en-GB" w:bidi="ar-SA"/>
        </w:rPr>
        <w:t xml:space="preserve">risks from manure amendments with high loads of pathogens will be mitigated by a uniform exclusion period </w:t>
      </w:r>
      <w:r w:rsidR="00657FDB">
        <w:rPr>
          <w:rFonts w:cs="Arial"/>
          <w:szCs w:val="22"/>
          <w:lang w:eastAsia="en-GB" w:bidi="ar-SA"/>
        </w:rPr>
        <w:t>(Tran et al. 2020)</w:t>
      </w:r>
      <w:r w:rsidRPr="00465187">
        <w:rPr>
          <w:rFonts w:cs="Arial"/>
          <w:szCs w:val="22"/>
          <w:lang w:eastAsia="en-GB" w:bidi="ar-SA"/>
        </w:rPr>
        <w:t>.</w:t>
      </w:r>
    </w:p>
    <w:p w14:paraId="4DC1EE38" w14:textId="77777777" w:rsidR="00CA0DEE" w:rsidRDefault="00CA0DEE" w:rsidP="00CA0DEE"/>
    <w:p w14:paraId="23DCAB7E" w14:textId="030D17A2" w:rsidR="00CA0DEE" w:rsidRDefault="00CA0DEE" w:rsidP="001F2457">
      <w:pPr>
        <w:spacing w:after="120"/>
      </w:pPr>
      <w:r>
        <w:t xml:space="preserve">In general, the mitigation recommendations provided by other agencies, organisations and peak industry bodies are similar across the in-scope commodity sectors </w:t>
      </w:r>
      <w:r w:rsidR="00657FDB">
        <w:t>(EFSA Panel on Biological Hazards 2014a, 2014b, 2014c; FAO/WHO 2008b; FPSC A-NZ 2019; IFPA et al. 2006; NSW DPI 2019)</w:t>
      </w:r>
      <w:r>
        <w:t xml:space="preserve"> and include:</w:t>
      </w:r>
    </w:p>
    <w:p w14:paraId="63ABCFBF" w14:textId="77777777" w:rsidR="00CA0DEE" w:rsidRDefault="00CA0DEE" w:rsidP="001F2457">
      <w:pPr>
        <w:pStyle w:val="ListParagraph"/>
        <w:numPr>
          <w:ilvl w:val="0"/>
          <w:numId w:val="24"/>
        </w:numPr>
        <w:spacing w:after="120"/>
        <w:ind w:left="714" w:hanging="357"/>
      </w:pPr>
      <w:r>
        <w:t>Minimisation of soil contact and the use of plastic mulch under crops</w:t>
      </w:r>
    </w:p>
    <w:p w14:paraId="514DBD75" w14:textId="77777777" w:rsidR="00CA0DEE" w:rsidRDefault="00CA0DEE" w:rsidP="00CA0DEE">
      <w:pPr>
        <w:pStyle w:val="ListParagraph"/>
        <w:numPr>
          <w:ilvl w:val="0"/>
          <w:numId w:val="24"/>
        </w:numPr>
      </w:pPr>
      <w:r>
        <w:t>Avoiding untreated animal manures</w:t>
      </w:r>
    </w:p>
    <w:p w14:paraId="2E6A2100" w14:textId="77777777" w:rsidR="00CA0DEE" w:rsidRDefault="00CA0DEE" w:rsidP="00CA0DEE">
      <w:pPr>
        <w:pStyle w:val="ListParagraph"/>
        <w:numPr>
          <w:ilvl w:val="0"/>
          <w:numId w:val="24"/>
        </w:numPr>
      </w:pPr>
      <w:r>
        <w:t xml:space="preserve">Avoiding treated composts containing animal manures or poultry litter or, if treated soil amendments or compost are applied, documenting the source of the compost and its microbial quality test report or ensuring it is compliant with </w:t>
      </w:r>
      <w:r w:rsidRPr="00E814FF">
        <w:t>Australian Standard AS 4454-2012</w:t>
      </w:r>
      <w:r>
        <w:t xml:space="preserve">: </w:t>
      </w:r>
      <w:r w:rsidRPr="00E814FF">
        <w:t>Composts, soil conditioners and mulches</w:t>
      </w:r>
      <w:r>
        <w:t xml:space="preserve"> or the Freshcare Compliant Compost Standard</w:t>
      </w:r>
    </w:p>
    <w:p w14:paraId="3880BB44" w14:textId="77777777" w:rsidR="00CA0DEE" w:rsidRDefault="00CA0DEE" w:rsidP="00CA0DEE">
      <w:pPr>
        <w:pStyle w:val="ListParagraph"/>
        <w:numPr>
          <w:ilvl w:val="0"/>
          <w:numId w:val="24"/>
        </w:numPr>
      </w:pPr>
      <w:r>
        <w:t>If compost or soil amendments are produced on farm, validating and monitoring the process to ensure microbial quality</w:t>
      </w:r>
    </w:p>
    <w:p w14:paraId="3D9CF75F" w14:textId="77777777" w:rsidR="00CA0DEE" w:rsidRDefault="00CA0DEE" w:rsidP="00CA0DEE">
      <w:pPr>
        <w:pStyle w:val="ListParagraph"/>
        <w:numPr>
          <w:ilvl w:val="0"/>
          <w:numId w:val="24"/>
        </w:numPr>
      </w:pPr>
      <w:r>
        <w:t>Maximising the time between any soil amendment application and harvest</w:t>
      </w:r>
    </w:p>
    <w:p w14:paraId="49CABEEB" w14:textId="77777777" w:rsidR="00CA0DEE" w:rsidRDefault="00CA0DEE" w:rsidP="00CA0DEE">
      <w:pPr>
        <w:pStyle w:val="ListParagraph"/>
        <w:numPr>
          <w:ilvl w:val="0"/>
          <w:numId w:val="24"/>
        </w:numPr>
      </w:pPr>
      <w:r>
        <w:t>Implementing practices to minimise contamination of treated soil amendments</w:t>
      </w:r>
    </w:p>
    <w:p w14:paraId="020B1B2F" w14:textId="77777777" w:rsidR="00CA0DEE" w:rsidRDefault="00CA0DEE" w:rsidP="00CA0DEE">
      <w:pPr>
        <w:pStyle w:val="ListParagraph"/>
        <w:numPr>
          <w:ilvl w:val="0"/>
          <w:numId w:val="24"/>
        </w:numPr>
      </w:pPr>
      <w:r>
        <w:t>Using crop-based manures and crop rotation to improve soil health.</w:t>
      </w:r>
    </w:p>
    <w:p w14:paraId="7F1E9D6E" w14:textId="77777777" w:rsidR="00CA0DEE" w:rsidRDefault="00CA0DEE" w:rsidP="00CA0DEE"/>
    <w:p w14:paraId="548A907B" w14:textId="776B95BF" w:rsidR="00CA0DEE" w:rsidRDefault="00CA0DEE" w:rsidP="001F2457">
      <w:pPr>
        <w:spacing w:after="120"/>
      </w:pPr>
      <w:r>
        <w:t>Conflicting advice is provided regarding the addition of untreated animal manures:</w:t>
      </w:r>
    </w:p>
    <w:p w14:paraId="62D5917A" w14:textId="596B6215" w:rsidR="00CA0DEE" w:rsidRDefault="00CA0DEE" w:rsidP="00CA0DEE">
      <w:pPr>
        <w:pStyle w:val="ListParagraph"/>
        <w:numPr>
          <w:ilvl w:val="0"/>
          <w:numId w:val="30"/>
        </w:numPr>
      </w:pPr>
      <w:r>
        <w:t xml:space="preserve">Commodity specific guidelines for leafy greens </w:t>
      </w:r>
      <w:r w:rsidR="00657FDB">
        <w:t>(IFPA et al. 2006)</w:t>
      </w:r>
      <w:r>
        <w:t xml:space="preserve"> and rockmelons </w:t>
      </w:r>
      <w:r w:rsidR="00657FDB">
        <w:t>(NSW DPI 2019)</w:t>
      </w:r>
      <w:r>
        <w:t xml:space="preserve"> advise that untreated or raw animal manure must not be used during the primary production of these commodities</w:t>
      </w:r>
    </w:p>
    <w:p w14:paraId="363AEA82" w14:textId="4C290739" w:rsidR="00CA0DEE" w:rsidRDefault="00CA0DEE" w:rsidP="00CA0DEE">
      <w:pPr>
        <w:pStyle w:val="ListParagraph"/>
        <w:numPr>
          <w:ilvl w:val="0"/>
          <w:numId w:val="30"/>
        </w:numPr>
      </w:pPr>
      <w:r w:rsidRPr="008F59FB">
        <w:t>The Fresh Produce Safety Centre Australia &amp; New Zealand</w:t>
      </w:r>
      <w:r>
        <w:t>’s</w:t>
      </w:r>
      <w:r w:rsidRPr="008F59FB">
        <w:t xml:space="preserve"> </w:t>
      </w:r>
      <w:r w:rsidRPr="008F59FB">
        <w:rPr>
          <w:i/>
        </w:rPr>
        <w:t>Guidelines for Fresh Produce Food Safety 2019</w:t>
      </w:r>
      <w:r w:rsidRPr="008F59FB">
        <w:t xml:space="preserve"> </w:t>
      </w:r>
      <w:r>
        <w:t>advise to avoid using amendments with untreated animal manure for produce that may be eaten uncooked but also recommend a 90 day</w:t>
      </w:r>
      <w:r w:rsidRPr="00EA3E8B">
        <w:t xml:space="preserve"> exclusio</w:t>
      </w:r>
      <w:r>
        <w:t xml:space="preserve">n period between </w:t>
      </w:r>
      <w:r w:rsidRPr="00EA3E8B">
        <w:t>grazing</w:t>
      </w:r>
      <w:r>
        <w:t xml:space="preserve"> or the application of</w:t>
      </w:r>
      <w:r w:rsidRPr="00EA3E8B">
        <w:t xml:space="preserve"> </w:t>
      </w:r>
      <w:r>
        <w:t xml:space="preserve">soil amendments containing </w:t>
      </w:r>
      <w:r w:rsidRPr="00EA3E8B">
        <w:t>untreated</w:t>
      </w:r>
      <w:r>
        <w:t xml:space="preserve"> animal manure </w:t>
      </w:r>
      <w:r w:rsidRPr="00EA3E8B">
        <w:t>and crop harvest</w:t>
      </w:r>
      <w:r>
        <w:t xml:space="preserve"> for the in-scope commodities</w:t>
      </w:r>
      <w:r w:rsidRPr="00EA3E8B">
        <w:t>.</w:t>
      </w:r>
      <w:r>
        <w:t xml:space="preserve"> No testing is required after the exclusion period, prior to use. It is noted that some standards mandate a longer exclusion period, e.g. the Fresh Salad Producers Group (A-NZ) voluntary Standard for Fertilisers and Soil Additives (m</w:t>
      </w:r>
      <w:r w:rsidR="0083511C">
        <w:t>anure is not applied within 365 </w:t>
      </w:r>
      <w:r>
        <w:t xml:space="preserve">days of harvest) and the Harmonised Australian Retailer Produce Scheme (HARPS) </w:t>
      </w:r>
      <w:r w:rsidR="00657FDB">
        <w:t>(FPSC A-NZ 2019)</w:t>
      </w:r>
      <w:r>
        <w:t xml:space="preserve"> </w:t>
      </w:r>
    </w:p>
    <w:p w14:paraId="0D435A5E" w14:textId="7D155F89" w:rsidR="00CA0DEE" w:rsidRDefault="00CA0DEE" w:rsidP="00CA0DEE">
      <w:pPr>
        <w:pStyle w:val="ListParagraph"/>
        <w:numPr>
          <w:ilvl w:val="0"/>
          <w:numId w:val="30"/>
        </w:numPr>
      </w:pPr>
      <w:r>
        <w:t xml:space="preserve">The Freshcare </w:t>
      </w:r>
      <w:r w:rsidRPr="00397BD3">
        <w:rPr>
          <w:i/>
        </w:rPr>
        <w:t>Food Safety &amp; Quality Standard Edition 4.2</w:t>
      </w:r>
      <w:r>
        <w:t xml:space="preserve"> requires liquid or foliar sprays</w:t>
      </w:r>
      <w:r w:rsidR="00531D32">
        <w:t xml:space="preserve"> derived from untreated manures</w:t>
      </w:r>
      <w:r>
        <w:t xml:space="preserve"> that may contact the harvestable part of the crop, to have a 90 day exclusion period for produce that may be eaten uncooked and a 45 day exclusion period for all other produce. No testing is required after the exclusion periods, prior to use </w:t>
      </w:r>
      <w:r w:rsidR="00657FDB">
        <w:t>(Freshcare 2020)</w:t>
      </w:r>
    </w:p>
    <w:p w14:paraId="6BEE7328" w14:textId="58FFD3CD" w:rsidR="00CA0DEE" w:rsidRDefault="00CA0DEE" w:rsidP="00CA0DEE">
      <w:pPr>
        <w:pStyle w:val="ListParagraph"/>
        <w:numPr>
          <w:ilvl w:val="0"/>
          <w:numId w:val="30"/>
        </w:numPr>
      </w:pPr>
      <w:r>
        <w:t xml:space="preserve">The GLOBALG.A.P. </w:t>
      </w:r>
      <w:r>
        <w:rPr>
          <w:i/>
        </w:rPr>
        <w:t>Primary</w:t>
      </w:r>
      <w:r w:rsidRPr="00015753">
        <w:rPr>
          <w:i/>
        </w:rPr>
        <w:t xml:space="preserve"> farm assurance: All farm base – Crops base – Fruit and Vegetables: Control points and compliance criteria</w:t>
      </w:r>
      <w:r>
        <w:rPr>
          <w:i/>
        </w:rPr>
        <w:t xml:space="preserve"> </w:t>
      </w:r>
      <w:r>
        <w:t xml:space="preserve">states that when raw animal manure is used, it should be incorporated into the soil at least 60 days prior to harvest, and in the case of leafy vegetables raw manure should not be applied after planting. No testing is required after the exclusion period, prior to use </w:t>
      </w:r>
      <w:r w:rsidR="00657FDB">
        <w:t>(GlobalG.A.P. 2020)</w:t>
      </w:r>
    </w:p>
    <w:p w14:paraId="35C4A969" w14:textId="4FEB4300" w:rsidR="00CA0DEE" w:rsidRDefault="00CA0DEE" w:rsidP="00CA0DEE">
      <w:pPr>
        <w:pStyle w:val="ListParagraph"/>
        <w:numPr>
          <w:ilvl w:val="0"/>
          <w:numId w:val="30"/>
        </w:numPr>
      </w:pPr>
      <w:r>
        <w:t xml:space="preserve">The US 7 CFR 205.203 </w:t>
      </w:r>
      <w:r w:rsidRPr="00A20FF3">
        <w:rPr>
          <w:i/>
        </w:rPr>
        <w:t>Soil fertility and crop nutrition management practice standard</w:t>
      </w:r>
      <w:r>
        <w:t xml:space="preserve"> requires raw animal manure to be composted unless it is incorporated into the soil at least 120 or 90 days prior to the harvest for product whose edible portion does, or does not, have direct contact with the soil, respectively </w:t>
      </w:r>
      <w:r w:rsidR="00657FDB">
        <w:t>(US GPO 2011)</w:t>
      </w:r>
      <w:r>
        <w:t>.</w:t>
      </w:r>
    </w:p>
    <w:p w14:paraId="54A3FFEE" w14:textId="2C8565A1" w:rsidR="00CA0DEE" w:rsidRPr="000F1203" w:rsidRDefault="00CA0DEE" w:rsidP="00CA0DEE">
      <w:pPr>
        <w:pStyle w:val="ListParagraph"/>
        <w:numPr>
          <w:ilvl w:val="0"/>
          <w:numId w:val="30"/>
        </w:numPr>
      </w:pPr>
      <w:r>
        <w:t xml:space="preserve">The </w:t>
      </w:r>
      <w:r>
        <w:rPr>
          <w:i/>
        </w:rPr>
        <w:t>Food safety p</w:t>
      </w:r>
      <w:r w:rsidRPr="000F1203">
        <w:rPr>
          <w:i/>
        </w:rPr>
        <w:t>ractices</w:t>
      </w:r>
      <w:r>
        <w:t xml:space="preserve"> of the California Leafy Green Products Handler Marketing Agreement recommends not to use</w:t>
      </w:r>
      <w:r w:rsidRPr="000F1203">
        <w:t xml:space="preserve"> </w:t>
      </w:r>
      <w:r>
        <w:t xml:space="preserve">or apply </w:t>
      </w:r>
      <w:r w:rsidRPr="000F1203">
        <w:t xml:space="preserve">soil amendments that contain un-composted, incompletely composted or non-thermally treated animal manure to fields for lettuce and leafy </w:t>
      </w:r>
      <w:r>
        <w:t>vegetable</w:t>
      </w:r>
      <w:r w:rsidRPr="000F1203">
        <w:t xml:space="preserve"> production. If these materials have been applied to a field, </w:t>
      </w:r>
      <w:r>
        <w:t xml:space="preserve">a </w:t>
      </w:r>
      <w:r w:rsidRPr="000F1203">
        <w:t xml:space="preserve">one year </w:t>
      </w:r>
      <w:r>
        <w:t xml:space="preserve">waiting period is recommended </w:t>
      </w:r>
      <w:r w:rsidRPr="000F1203">
        <w:t xml:space="preserve">prior to producing leafy </w:t>
      </w:r>
      <w:r>
        <w:t xml:space="preserve">vegetables </w:t>
      </w:r>
      <w:r w:rsidR="00657FDB">
        <w:t>(California LGMA 2020)</w:t>
      </w:r>
      <w:r w:rsidRPr="000F1203">
        <w:t>.</w:t>
      </w:r>
    </w:p>
    <w:p w14:paraId="329E1EAF" w14:textId="77777777" w:rsidR="00CA0DEE" w:rsidRPr="000F1203" w:rsidRDefault="00CA0DEE" w:rsidP="00CA0DEE">
      <w:pPr>
        <w:pStyle w:val="ListParagraph"/>
      </w:pPr>
    </w:p>
    <w:p w14:paraId="770BF584" w14:textId="77777777" w:rsidR="00CA0DEE" w:rsidRPr="00FE3604" w:rsidRDefault="00CA0DEE" w:rsidP="00CA0DEE">
      <w:pPr>
        <w:pStyle w:val="Heading2"/>
        <w:numPr>
          <w:ilvl w:val="1"/>
          <w:numId w:val="11"/>
        </w:numPr>
      </w:pPr>
      <w:bookmarkStart w:id="286" w:name="_Toc45275358"/>
      <w:bookmarkStart w:id="287" w:name="_Toc56693448"/>
      <w:bookmarkStart w:id="288" w:name="_Toc58327801"/>
      <w:bookmarkStart w:id="289" w:name="_Toc58333981"/>
      <w:bookmarkStart w:id="290" w:name="_Toc64448788"/>
      <w:bookmarkStart w:id="291" w:name="_Toc87860049"/>
      <w:r w:rsidRPr="00FE3604">
        <w:t>Water</w:t>
      </w:r>
      <w:bookmarkEnd w:id="286"/>
      <w:bookmarkEnd w:id="287"/>
      <w:bookmarkEnd w:id="288"/>
      <w:bookmarkEnd w:id="289"/>
      <w:bookmarkEnd w:id="290"/>
      <w:bookmarkEnd w:id="291"/>
      <w:r w:rsidRPr="00FE3604">
        <w:t xml:space="preserve"> </w:t>
      </w:r>
    </w:p>
    <w:p w14:paraId="20D6AFE8" w14:textId="1BFB2F2D" w:rsidR="00CA0DEE" w:rsidRPr="00DF1A2B" w:rsidRDefault="00CA0DEE" w:rsidP="00CA0DEE">
      <w:pPr>
        <w:rPr>
          <w:lang w:eastAsia="en-AU" w:bidi="ar-SA"/>
        </w:rPr>
      </w:pPr>
      <w:r w:rsidRPr="00DF1A2B">
        <w:rPr>
          <w:lang w:eastAsia="en-AU" w:bidi="ar-SA"/>
        </w:rPr>
        <w:t xml:space="preserve">Water is an important source of contamination </w:t>
      </w:r>
      <w:r>
        <w:rPr>
          <w:lang w:eastAsia="en-AU" w:bidi="ar-SA"/>
        </w:rPr>
        <w:t>of</w:t>
      </w:r>
      <w:r w:rsidRPr="00DF1A2B">
        <w:rPr>
          <w:lang w:eastAsia="en-AU" w:bidi="ar-SA"/>
        </w:rPr>
        <w:t xml:space="preserve"> fresh produce. For example, water used for irrigation can be a vehicle for viral, bacterial or parasitic pathogens. The use of contaminated irrigation water can increase the risk of exposure of roots, plants, and produce to pathogens </w:t>
      </w:r>
      <w:r w:rsidR="00657FDB">
        <w:rPr>
          <w:lang w:eastAsia="en-AU" w:bidi="ar-SA"/>
        </w:rPr>
        <w:t>(FAO/WHO 2008b; Uyttendaele et al. 2015)</w:t>
      </w:r>
      <w:r w:rsidRPr="00DF1A2B">
        <w:rPr>
          <w:lang w:eastAsia="en-AU" w:bidi="ar-SA"/>
        </w:rPr>
        <w:t xml:space="preserve">. </w:t>
      </w:r>
    </w:p>
    <w:p w14:paraId="672720EF" w14:textId="77777777" w:rsidR="00CA0DEE" w:rsidRPr="00DF1A2B" w:rsidRDefault="00CA0DEE" w:rsidP="00CA0DEE">
      <w:pPr>
        <w:rPr>
          <w:lang w:eastAsia="en-AU" w:bidi="ar-SA"/>
        </w:rPr>
      </w:pPr>
    </w:p>
    <w:p w14:paraId="63275FDE" w14:textId="5881DB92" w:rsidR="00CA0DEE" w:rsidRPr="00DF1A2B" w:rsidRDefault="00CA0DEE" w:rsidP="00CA0DEE">
      <w:pPr>
        <w:rPr>
          <w:lang w:eastAsia="en-AU" w:bidi="ar-SA"/>
        </w:rPr>
      </w:pPr>
      <w:r w:rsidRPr="00DF1A2B">
        <w:rPr>
          <w:lang w:eastAsia="en-AU" w:bidi="ar-SA"/>
        </w:rPr>
        <w:t xml:space="preserve">The production of fresh produce relies on the use of water that can be obtained from a variety of different sources including surface water (e.g. streams, rivers, lakes and ponds), groundwater, rainwater, reclaimed water, or potable water sources. Water can be supplied through channels, irrigation ditches, or piping and can also be collected in basins, wells, or </w:t>
      </w:r>
      <w:r>
        <w:rPr>
          <w:lang w:eastAsia="en-AU" w:bidi="ar-SA"/>
        </w:rPr>
        <w:t>dams. Pre</w:t>
      </w:r>
      <w:r w:rsidRPr="00DF1A2B">
        <w:rPr>
          <w:lang w:eastAsia="en-AU" w:bidi="ar-SA"/>
        </w:rPr>
        <w:t xml:space="preserve">harvest water use also includes application of farm chemicals to crops and the cleaning of field equipment </w:t>
      </w:r>
      <w:r w:rsidR="00657FDB">
        <w:rPr>
          <w:lang w:eastAsia="en-AU" w:bidi="ar-SA"/>
        </w:rPr>
        <w:t>(FAO/WHO 2008b; Uyttendaele et al. 2015)</w:t>
      </w:r>
      <w:r w:rsidRPr="00DF1A2B">
        <w:rPr>
          <w:lang w:eastAsia="en-AU" w:bidi="ar-SA"/>
        </w:rPr>
        <w:t xml:space="preserve">. </w:t>
      </w:r>
      <w:r w:rsidRPr="00DF1A2B">
        <w:rPr>
          <w:rFonts w:cs="Arial"/>
          <w:lang w:eastAsia="en-GB"/>
        </w:rPr>
        <w:t xml:space="preserve">Use of agricultural chemicals, such as pesticides or fungicides mixed with contaminated water can also led to pathogen contamination of the crop </w:t>
      </w:r>
      <w:r w:rsidR="00657FDB">
        <w:rPr>
          <w:rFonts w:cs="Arial"/>
          <w:lang w:eastAsia="en-GB"/>
        </w:rPr>
        <w:t>(Miranda and Schaffner 2018)</w:t>
      </w:r>
      <w:r w:rsidRPr="00DF1A2B">
        <w:rPr>
          <w:rFonts w:cs="Arial"/>
          <w:lang w:eastAsia="en-GB"/>
        </w:rPr>
        <w:t>.</w:t>
      </w:r>
    </w:p>
    <w:p w14:paraId="7895A8D4" w14:textId="77777777" w:rsidR="00CA0DEE" w:rsidRPr="00DF1A2B" w:rsidRDefault="00CA0DEE" w:rsidP="00CA0DEE">
      <w:pPr>
        <w:rPr>
          <w:lang w:eastAsia="en-AU" w:bidi="ar-SA"/>
        </w:rPr>
      </w:pPr>
    </w:p>
    <w:p w14:paraId="207ABD69" w14:textId="75FC9951" w:rsidR="00CA0DEE" w:rsidRPr="00DF1A2B" w:rsidRDefault="00CA0DEE" w:rsidP="00CA0DEE">
      <w:pPr>
        <w:rPr>
          <w:lang w:eastAsia="en-AU" w:bidi="ar-SA"/>
        </w:rPr>
      </w:pPr>
      <w:r w:rsidRPr="00DF1A2B">
        <w:rPr>
          <w:lang w:eastAsia="en-AU" w:bidi="ar-SA"/>
        </w:rPr>
        <w:t xml:space="preserve">The quality of agricultural water can be affected by </w:t>
      </w:r>
      <w:r w:rsidRPr="00DF1A2B">
        <w:t xml:space="preserve">the type of water source, upstream land use, rainfall levels and runoff, flooding, drought, biofilms in irrigation equipment, the topography and land use of the surrounding area, and animal activity in and around water sources </w:t>
      </w:r>
      <w:r w:rsidR="00657FDB">
        <w:rPr>
          <w:lang w:eastAsia="en-AU" w:bidi="ar-SA"/>
        </w:rPr>
        <w:t>(FAO/WHO 2008b)</w:t>
      </w:r>
      <w:r w:rsidRPr="00DF1A2B">
        <w:t>.</w:t>
      </w:r>
    </w:p>
    <w:p w14:paraId="1FC12A4E" w14:textId="77777777" w:rsidR="00CA0DEE" w:rsidRDefault="00CA0DEE" w:rsidP="00787E56">
      <w:pPr>
        <w:pStyle w:val="Heading3"/>
        <w:numPr>
          <w:ilvl w:val="2"/>
          <w:numId w:val="11"/>
        </w:numPr>
      </w:pPr>
      <w:bookmarkStart w:id="292" w:name="_Toc56693449"/>
      <w:bookmarkStart w:id="293" w:name="_Toc58327802"/>
      <w:bookmarkStart w:id="294" w:name="_Toc58333982"/>
      <w:bookmarkStart w:id="295" w:name="_Toc64448789"/>
      <w:bookmarkStart w:id="296" w:name="_Toc87860050"/>
      <w:bookmarkStart w:id="297" w:name="_Toc45275360"/>
      <w:r>
        <w:t>Available data</w:t>
      </w:r>
      <w:bookmarkEnd w:id="292"/>
      <w:bookmarkEnd w:id="293"/>
      <w:bookmarkEnd w:id="294"/>
      <w:bookmarkEnd w:id="295"/>
      <w:bookmarkEnd w:id="296"/>
    </w:p>
    <w:p w14:paraId="5080BEE9" w14:textId="51081C55" w:rsidR="00CA0DEE" w:rsidRPr="00DF1A2B" w:rsidRDefault="00CA0DEE" w:rsidP="00CA0DEE">
      <w:pPr>
        <w:rPr>
          <w:lang w:eastAsia="en-AU" w:bidi="ar-SA"/>
        </w:rPr>
      </w:pPr>
      <w:r w:rsidRPr="00DF1A2B">
        <w:rPr>
          <w:lang w:eastAsia="en-AU" w:bidi="ar-SA"/>
        </w:rPr>
        <w:t xml:space="preserve">The sources of agricultural water are generally associated with different levels of risk based on their likelihood to contain microbial pathogens. Municipal potable water is considered the best quality water, followed by groundwater, rainwater, surface water, and the least acceptable being wastewater </w:t>
      </w:r>
      <w:r w:rsidR="00657FDB">
        <w:rPr>
          <w:lang w:eastAsia="en-AU" w:bidi="ar-SA"/>
        </w:rPr>
        <w:t>(Leifert et al. 2008; Uyttendaele et al. 2015)</w:t>
      </w:r>
      <w:r w:rsidRPr="00DF1A2B">
        <w:rPr>
          <w:lang w:eastAsia="en-AU" w:bidi="ar-SA"/>
        </w:rPr>
        <w:t>. Due to the generally acceptable quality and low cost of groundwater, this source of water is increasingly being used</w:t>
      </w:r>
      <w:r>
        <w:rPr>
          <w:lang w:eastAsia="en-AU" w:bidi="ar-SA"/>
        </w:rPr>
        <w:t xml:space="preserve"> on horticultural crops</w:t>
      </w:r>
      <w:r w:rsidRPr="00DF1A2B">
        <w:rPr>
          <w:lang w:eastAsia="en-AU" w:bidi="ar-SA"/>
        </w:rPr>
        <w:t xml:space="preserve"> </w:t>
      </w:r>
      <w:r w:rsidR="00657FDB">
        <w:rPr>
          <w:lang w:eastAsia="en-AU" w:bidi="ar-SA"/>
        </w:rPr>
        <w:t>(Uyttendaele et al. 2015)</w:t>
      </w:r>
      <w:r w:rsidRPr="00DF1A2B">
        <w:rPr>
          <w:lang w:eastAsia="en-AU" w:bidi="ar-SA"/>
        </w:rPr>
        <w:t>.</w:t>
      </w:r>
    </w:p>
    <w:p w14:paraId="7628E2E8" w14:textId="77777777" w:rsidR="00CA0DEE" w:rsidRPr="00DF1A2B" w:rsidRDefault="00CA0DEE" w:rsidP="00CA0DEE">
      <w:pPr>
        <w:rPr>
          <w:lang w:eastAsia="en-AU" w:bidi="ar-SA"/>
        </w:rPr>
      </w:pPr>
    </w:p>
    <w:p w14:paraId="1995DE90" w14:textId="53217AB6" w:rsidR="00CA0DEE" w:rsidRDefault="00CA0DEE" w:rsidP="00CA0DEE">
      <w:pPr>
        <w:rPr>
          <w:lang w:eastAsia="en-AU" w:bidi="ar-SA"/>
        </w:rPr>
      </w:pPr>
      <w:r w:rsidRPr="00DF1A2B">
        <w:rPr>
          <w:lang w:eastAsia="en-AU" w:bidi="ar-SA"/>
        </w:rPr>
        <w:t>Irrigation water is recognised as a potential vehicle for microbial pathogens in Australia. However, studies describing the prevalence of different foodborne pathogens in different types of water sources</w:t>
      </w:r>
      <w:r>
        <w:rPr>
          <w:lang w:eastAsia="en-AU" w:bidi="ar-SA"/>
        </w:rPr>
        <w:t>,</w:t>
      </w:r>
      <w:r w:rsidRPr="00DF1A2B">
        <w:rPr>
          <w:lang w:eastAsia="en-AU" w:bidi="ar-SA"/>
        </w:rPr>
        <w:t xml:space="preserve"> and the environmental factors that may influence their prevalence</w:t>
      </w:r>
      <w:r>
        <w:rPr>
          <w:lang w:eastAsia="en-AU" w:bidi="ar-SA"/>
        </w:rPr>
        <w:t>,</w:t>
      </w:r>
      <w:r w:rsidRPr="00DF1A2B">
        <w:rPr>
          <w:lang w:eastAsia="en-AU" w:bidi="ar-SA"/>
        </w:rPr>
        <w:t xml:space="preserve"> are limited.</w:t>
      </w:r>
      <w:r w:rsidRPr="008D7DEF">
        <w:rPr>
          <w:lang w:eastAsia="en-AU" w:bidi="ar-SA"/>
        </w:rPr>
        <w:t xml:space="preserve"> </w:t>
      </w:r>
      <w:r w:rsidRPr="008D7DEF">
        <w:rPr>
          <w:i/>
          <w:lang w:eastAsia="en-AU" w:bidi="ar-SA"/>
        </w:rPr>
        <w:t>E. coli</w:t>
      </w:r>
      <w:r>
        <w:rPr>
          <w:lang w:eastAsia="en-AU" w:bidi="ar-SA"/>
        </w:rPr>
        <w:t xml:space="preserve"> and faecal coliforms have been found in c</w:t>
      </w:r>
      <w:r w:rsidRPr="00DF1A2B">
        <w:rPr>
          <w:lang w:eastAsia="en-AU" w:bidi="ar-SA"/>
        </w:rPr>
        <w:t>reeks that flow through ar</w:t>
      </w:r>
      <w:r>
        <w:rPr>
          <w:lang w:eastAsia="en-AU" w:bidi="ar-SA"/>
        </w:rPr>
        <w:t>eas of pristine land, farm land</w:t>
      </w:r>
      <w:r w:rsidRPr="00DF1A2B">
        <w:rPr>
          <w:lang w:eastAsia="en-AU" w:bidi="ar-SA"/>
        </w:rPr>
        <w:t xml:space="preserve"> or mixed</w:t>
      </w:r>
      <w:r>
        <w:rPr>
          <w:lang w:eastAsia="en-AU" w:bidi="ar-SA"/>
        </w:rPr>
        <w:t>-</w:t>
      </w:r>
      <w:r w:rsidRPr="00DF1A2B">
        <w:rPr>
          <w:lang w:eastAsia="en-AU" w:bidi="ar-SA"/>
        </w:rPr>
        <w:t>use land</w:t>
      </w:r>
      <w:r>
        <w:rPr>
          <w:lang w:eastAsia="en-AU" w:bidi="ar-SA"/>
        </w:rPr>
        <w:t>,</w:t>
      </w:r>
      <w:r w:rsidRPr="00DF1A2B">
        <w:rPr>
          <w:lang w:eastAsia="en-AU" w:bidi="ar-SA"/>
        </w:rPr>
        <w:t xml:space="preserve"> and</w:t>
      </w:r>
      <w:r>
        <w:rPr>
          <w:lang w:eastAsia="en-AU" w:bidi="ar-SA"/>
        </w:rPr>
        <w:t xml:space="preserve"> in</w:t>
      </w:r>
      <w:r w:rsidRPr="00DF1A2B">
        <w:rPr>
          <w:lang w:eastAsia="en-AU" w:bidi="ar-SA"/>
        </w:rPr>
        <w:t xml:space="preserve"> associated drinking water reservoirs</w:t>
      </w:r>
      <w:r>
        <w:rPr>
          <w:lang w:eastAsia="en-AU" w:bidi="ar-SA"/>
        </w:rPr>
        <w:t xml:space="preserve"> in Australia</w:t>
      </w:r>
      <w:r w:rsidRPr="00DF1A2B">
        <w:rPr>
          <w:lang w:eastAsia="en-AU" w:bidi="ar-SA"/>
        </w:rPr>
        <w:t xml:space="preserve"> </w:t>
      </w:r>
      <w:r w:rsidR="00657FDB">
        <w:rPr>
          <w:lang w:eastAsia="en-AU" w:bidi="ar-SA"/>
        </w:rPr>
        <w:t>(Miles et al. 2010; Thurman et al. 1998)</w:t>
      </w:r>
      <w:r w:rsidRPr="00DF1A2B">
        <w:rPr>
          <w:lang w:eastAsia="en-AU" w:bidi="ar-SA"/>
        </w:rPr>
        <w:t xml:space="preserve">. </w:t>
      </w:r>
      <w:r w:rsidRPr="00121BC8">
        <w:rPr>
          <w:lang w:eastAsia="en-AU" w:bidi="ar-SA"/>
        </w:rPr>
        <w:t>In thei</w:t>
      </w:r>
      <w:r>
        <w:rPr>
          <w:lang w:eastAsia="en-AU" w:bidi="ar-SA"/>
        </w:rPr>
        <w:t xml:space="preserve">r modelling of the risk from </w:t>
      </w:r>
      <w:r w:rsidRPr="00121BC8">
        <w:rPr>
          <w:i/>
          <w:lang w:eastAsia="en-AU" w:bidi="ar-SA"/>
        </w:rPr>
        <w:t>E. coli</w:t>
      </w:r>
      <w:r>
        <w:rPr>
          <w:lang w:eastAsia="en-AU" w:bidi="ar-SA"/>
        </w:rPr>
        <w:t> </w:t>
      </w:r>
      <w:r w:rsidRPr="00121BC8">
        <w:rPr>
          <w:lang w:eastAsia="en-AU" w:bidi="ar-SA"/>
        </w:rPr>
        <w:t>O1</w:t>
      </w:r>
      <w:r>
        <w:rPr>
          <w:lang w:eastAsia="en-AU" w:bidi="ar-SA"/>
        </w:rPr>
        <w:t xml:space="preserve">57:H7 in fresh cut cos lettuce, </w:t>
      </w:r>
      <w:r w:rsidR="00657FDB">
        <w:rPr>
          <w:lang w:eastAsia="en-AU" w:bidi="ar-SA"/>
        </w:rPr>
        <w:t>(Bozkurt et al. 2021)</w:t>
      </w:r>
      <w:r>
        <w:rPr>
          <w:lang w:eastAsia="en-AU" w:bidi="ar-SA"/>
        </w:rPr>
        <w:t xml:space="preserve"> </w:t>
      </w:r>
      <w:r w:rsidRPr="00121BC8">
        <w:rPr>
          <w:lang w:eastAsia="en-AU" w:bidi="ar-SA"/>
        </w:rPr>
        <w:t xml:space="preserve">used a prevalence of </w:t>
      </w:r>
      <w:r>
        <w:rPr>
          <w:lang w:eastAsia="en-AU" w:bidi="ar-SA"/>
        </w:rPr>
        <w:t>4.9</w:t>
      </w:r>
      <w:r w:rsidRPr="00121BC8">
        <w:rPr>
          <w:lang w:eastAsia="en-AU" w:bidi="ar-SA"/>
        </w:rPr>
        <w:t xml:space="preserve">% </w:t>
      </w:r>
      <w:r>
        <w:rPr>
          <w:lang w:eastAsia="en-AU" w:bidi="ar-SA"/>
        </w:rPr>
        <w:t xml:space="preserve">in irrigation water </w:t>
      </w:r>
      <w:r w:rsidRPr="00121BC8">
        <w:rPr>
          <w:lang w:eastAsia="en-AU" w:bidi="ar-SA"/>
        </w:rPr>
        <w:t xml:space="preserve">as an input of the model, based on recorded levels of </w:t>
      </w:r>
      <w:r w:rsidRPr="00121BC8">
        <w:rPr>
          <w:i/>
          <w:lang w:eastAsia="en-AU" w:bidi="ar-SA"/>
        </w:rPr>
        <w:t>E. coli</w:t>
      </w:r>
      <w:r w:rsidRPr="00121BC8">
        <w:rPr>
          <w:lang w:eastAsia="en-AU" w:bidi="ar-SA"/>
        </w:rPr>
        <w:t xml:space="preserve"> in </w:t>
      </w:r>
      <w:r>
        <w:t xml:space="preserve">irrigation water </w:t>
      </w:r>
      <w:r w:rsidRPr="00121BC8">
        <w:rPr>
          <w:lang w:eastAsia="en-AU" w:bidi="ar-SA"/>
        </w:rPr>
        <w:t>in Australia</w:t>
      </w:r>
      <w:r>
        <w:rPr>
          <w:lang w:eastAsia="en-AU" w:bidi="ar-SA"/>
        </w:rPr>
        <w:t>.</w:t>
      </w:r>
    </w:p>
    <w:p w14:paraId="2587EC97" w14:textId="77777777" w:rsidR="00CA0DEE" w:rsidRDefault="00CA0DEE" w:rsidP="00CA0DEE">
      <w:pPr>
        <w:rPr>
          <w:lang w:eastAsia="en-AU" w:bidi="ar-SA"/>
        </w:rPr>
      </w:pPr>
    </w:p>
    <w:p w14:paraId="6A8C321F" w14:textId="3DFAFE43" w:rsidR="00CA0DEE" w:rsidRPr="00DF1A2B" w:rsidRDefault="00CA0DEE" w:rsidP="00CA0DEE">
      <w:pPr>
        <w:rPr>
          <w:lang w:eastAsia="en-AU" w:bidi="ar-SA"/>
        </w:rPr>
      </w:pPr>
      <w:r w:rsidRPr="00DF1A2B">
        <w:rPr>
          <w:lang w:eastAsia="en-AU" w:bidi="ar-SA"/>
        </w:rPr>
        <w:t xml:space="preserve">A variety of </w:t>
      </w:r>
      <w:r w:rsidRPr="00DF1A2B">
        <w:rPr>
          <w:i/>
          <w:lang w:eastAsia="en-AU" w:bidi="ar-SA"/>
        </w:rPr>
        <w:t xml:space="preserve">Salmonella </w:t>
      </w:r>
      <w:r w:rsidRPr="00DF1A2B">
        <w:rPr>
          <w:lang w:eastAsia="en-AU" w:bidi="ar-SA"/>
        </w:rPr>
        <w:t xml:space="preserve">serovars have been isolated from different water sources during outbreak investigations including agricultural water sources in Western Australia </w:t>
      </w:r>
      <w:r w:rsidR="00657FDB">
        <w:rPr>
          <w:lang w:eastAsia="en-AU" w:bidi="ar-SA"/>
        </w:rPr>
        <w:t>(Gibbs et al. 2009)</w:t>
      </w:r>
      <w:r w:rsidRPr="00DF1A2B">
        <w:rPr>
          <w:lang w:eastAsia="en-AU" w:bidi="ar-SA"/>
        </w:rPr>
        <w:t xml:space="preserve">, Queensland, and the Northern Territory </w:t>
      </w:r>
      <w:r w:rsidR="00657FDB">
        <w:rPr>
          <w:lang w:eastAsia="en-AU" w:bidi="ar-SA"/>
        </w:rPr>
        <w:t>(Munnoch et al. 2009)</w:t>
      </w:r>
      <w:r w:rsidRPr="00DF1A2B">
        <w:rPr>
          <w:lang w:eastAsia="en-AU" w:bidi="ar-SA"/>
        </w:rPr>
        <w:t xml:space="preserve">. Recent sampling of various types of agricultural water sources in NSW also detected </w:t>
      </w:r>
      <w:r w:rsidRPr="00DF1A2B">
        <w:rPr>
          <w:i/>
          <w:lang w:eastAsia="en-AU" w:bidi="ar-SA"/>
        </w:rPr>
        <w:t>Salmonella</w:t>
      </w:r>
      <w:r w:rsidRPr="00DF1A2B">
        <w:rPr>
          <w:lang w:eastAsia="en-AU" w:bidi="ar-SA"/>
        </w:rPr>
        <w:t xml:space="preserve"> spp. and </w:t>
      </w:r>
      <w:r w:rsidRPr="00DF1A2B">
        <w:rPr>
          <w:i/>
          <w:lang w:eastAsia="en-AU" w:bidi="ar-SA"/>
        </w:rPr>
        <w:t>E. coli</w:t>
      </w:r>
      <w:r w:rsidRPr="00DF1A2B">
        <w:rPr>
          <w:lang w:eastAsia="en-AU" w:bidi="ar-SA"/>
        </w:rPr>
        <w:t xml:space="preserve"> in water and sediment </w:t>
      </w:r>
      <w:r w:rsidR="00657FDB">
        <w:rPr>
          <w:lang w:eastAsia="en-AU" w:bidi="ar-SA"/>
        </w:rPr>
        <w:t>(van Ogtrop 2018)</w:t>
      </w:r>
      <w:r w:rsidRPr="00DF1A2B">
        <w:rPr>
          <w:lang w:eastAsia="en-AU" w:bidi="ar-SA"/>
        </w:rPr>
        <w:t xml:space="preserve">. Comparatively, very limited information is available for </w:t>
      </w:r>
      <w:r w:rsidRPr="00DF1A2B">
        <w:rPr>
          <w:i/>
          <w:lang w:eastAsia="en-AU" w:bidi="ar-SA"/>
        </w:rPr>
        <w:t>L. monocytogenes</w:t>
      </w:r>
      <w:r w:rsidRPr="00DF1A2B">
        <w:rPr>
          <w:lang w:eastAsia="en-AU" w:bidi="ar-SA"/>
        </w:rPr>
        <w:t xml:space="preserve">, though it has been detected in dam water in Australia </w:t>
      </w:r>
      <w:r w:rsidR="00657FDB">
        <w:rPr>
          <w:lang w:eastAsia="en-AU" w:bidi="ar-SA"/>
        </w:rPr>
        <w:t>(McAuley et al. 2014)</w:t>
      </w:r>
      <w:r w:rsidRPr="00DF1A2B">
        <w:rPr>
          <w:lang w:eastAsia="en-AU" w:bidi="ar-SA"/>
        </w:rPr>
        <w:t>.</w:t>
      </w:r>
    </w:p>
    <w:p w14:paraId="1F6BC43A" w14:textId="77777777" w:rsidR="00CA0DEE" w:rsidRPr="00DF1A2B" w:rsidRDefault="00CA0DEE" w:rsidP="00CA0DEE">
      <w:pPr>
        <w:rPr>
          <w:lang w:eastAsia="en-AU" w:bidi="ar-SA"/>
        </w:rPr>
      </w:pPr>
    </w:p>
    <w:p w14:paraId="0453AD4E" w14:textId="0E79E54A" w:rsidR="00CA0DEE" w:rsidRPr="00DF1A2B" w:rsidRDefault="00CA0DEE" w:rsidP="00CA0DEE">
      <w:pPr>
        <w:rPr>
          <w:lang w:eastAsia="en-AU" w:bidi="ar-SA"/>
        </w:rPr>
      </w:pPr>
      <w:r w:rsidRPr="00DF1A2B">
        <w:rPr>
          <w:lang w:eastAsia="en-AU" w:bidi="ar-SA"/>
        </w:rPr>
        <w:t xml:space="preserve">The contamination of water sources by NoV or HAV is generally the result of wastewater leakage or overflow. </w:t>
      </w:r>
      <w:r w:rsidRPr="00DF1A2B">
        <w:t xml:space="preserve">NoV is shed in large numbers in the faeces of both symptomatic and non-symptomatic carriers and is commonly present in wastewater. A high genotypic diversity of NoV has been reported in wastewater in NSW and Victoria </w:t>
      </w:r>
      <w:r w:rsidR="00657FDB">
        <w:t>(Lun et al. 2018)</w:t>
      </w:r>
      <w:r w:rsidRPr="00DF1A2B">
        <w:t xml:space="preserve">. HAV is less common than NoV in Australia, </w:t>
      </w:r>
      <w:r>
        <w:t>though</w:t>
      </w:r>
      <w:r w:rsidRPr="00DF1A2B">
        <w:t xml:space="preserve"> the presence </w:t>
      </w:r>
      <w:r>
        <w:t>(</w:t>
      </w:r>
      <w:r w:rsidRPr="00DF1A2B">
        <w:t>or absence</w:t>
      </w:r>
      <w:r>
        <w:t>)</w:t>
      </w:r>
      <w:r w:rsidRPr="00DF1A2B">
        <w:t xml:space="preserve"> of the virus in Australian waters or wastewater is poorly documented.</w:t>
      </w:r>
    </w:p>
    <w:p w14:paraId="192C40B6" w14:textId="77777777" w:rsidR="00CA0DEE" w:rsidRPr="00DF1A2B" w:rsidRDefault="00CA0DEE" w:rsidP="00CA0DEE">
      <w:pPr>
        <w:rPr>
          <w:lang w:eastAsia="en-AU" w:bidi="ar-SA"/>
        </w:rPr>
      </w:pPr>
    </w:p>
    <w:p w14:paraId="51BB4282" w14:textId="52B5320F" w:rsidR="00CA0DEE" w:rsidRPr="00DF1A2B" w:rsidRDefault="00CA0DEE" w:rsidP="00CA0DEE">
      <w:r w:rsidRPr="00DF1A2B">
        <w:rPr>
          <w:lang w:eastAsia="en-AU" w:bidi="ar-SA"/>
        </w:rPr>
        <w:t xml:space="preserve">Extended survival times in autoclaved river water have been reported for </w:t>
      </w:r>
      <w:r w:rsidRPr="00DF1A2B">
        <w:rPr>
          <w:i/>
          <w:lang w:eastAsia="en-AU" w:bidi="ar-SA"/>
        </w:rPr>
        <w:t>Salmonella</w:t>
      </w:r>
      <w:r>
        <w:rPr>
          <w:i/>
          <w:lang w:eastAsia="en-AU" w:bidi="ar-SA"/>
        </w:rPr>
        <w:t xml:space="preserve"> </w:t>
      </w:r>
      <w:r>
        <w:rPr>
          <w:lang w:eastAsia="en-AU" w:bidi="ar-SA"/>
        </w:rPr>
        <w:t>spp.</w:t>
      </w:r>
      <w:r w:rsidRPr="00DF1A2B">
        <w:rPr>
          <w:i/>
          <w:lang w:eastAsia="en-AU" w:bidi="ar-SA"/>
        </w:rPr>
        <w:t xml:space="preserve"> </w:t>
      </w:r>
      <w:r w:rsidRPr="00DF1A2B">
        <w:rPr>
          <w:lang w:eastAsia="en-AU" w:bidi="ar-SA"/>
        </w:rPr>
        <w:t xml:space="preserve">(&gt;100 days), </w:t>
      </w:r>
      <w:r w:rsidRPr="00DF1A2B">
        <w:rPr>
          <w:i/>
          <w:lang w:eastAsia="en-AU" w:bidi="ar-SA"/>
        </w:rPr>
        <w:t xml:space="preserve">E. coli </w:t>
      </w:r>
      <w:r w:rsidRPr="00DF1A2B">
        <w:rPr>
          <w:lang w:eastAsia="en-AU" w:bidi="ar-SA"/>
        </w:rPr>
        <w:t>O157:H7</w:t>
      </w:r>
      <w:r w:rsidRPr="00DF1A2B">
        <w:rPr>
          <w:i/>
          <w:lang w:eastAsia="en-AU" w:bidi="ar-SA"/>
        </w:rPr>
        <w:t xml:space="preserve"> </w:t>
      </w:r>
      <w:r w:rsidRPr="00DF1A2B">
        <w:rPr>
          <w:lang w:eastAsia="en-AU" w:bidi="ar-SA"/>
        </w:rPr>
        <w:t>(&gt;100 days)</w:t>
      </w:r>
      <w:r w:rsidRPr="00DF1A2B">
        <w:rPr>
          <w:i/>
          <w:lang w:eastAsia="en-AU" w:bidi="ar-SA"/>
        </w:rPr>
        <w:t>,</w:t>
      </w:r>
      <w:r w:rsidRPr="00DF1A2B">
        <w:rPr>
          <w:lang w:eastAsia="en-AU" w:bidi="ar-SA"/>
        </w:rPr>
        <w:t xml:space="preserve"> and </w:t>
      </w:r>
      <w:r>
        <w:rPr>
          <w:lang w:eastAsia="en-AU" w:bidi="ar-SA"/>
        </w:rPr>
        <w:t>NoV</w:t>
      </w:r>
      <w:r w:rsidRPr="00DF1A2B">
        <w:rPr>
          <w:lang w:eastAsia="en-AU" w:bidi="ar-SA"/>
        </w:rPr>
        <w:t xml:space="preserve"> (up to 60 days) </w:t>
      </w:r>
      <w:r w:rsidR="00657FDB">
        <w:rPr>
          <w:lang w:eastAsia="en-AU" w:bidi="ar-SA"/>
        </w:rPr>
        <w:t>(Ibrahim et al. 2019)</w:t>
      </w:r>
      <w:r w:rsidRPr="00DF1A2B">
        <w:rPr>
          <w:lang w:eastAsia="en-AU" w:bidi="ar-SA"/>
        </w:rPr>
        <w:t xml:space="preserve">. </w:t>
      </w:r>
      <w:r w:rsidRPr="00DF1A2B">
        <w:rPr>
          <w:i/>
          <w:lang w:eastAsia="en-AU" w:bidi="ar-SA"/>
        </w:rPr>
        <w:t>L.</w:t>
      </w:r>
      <w:r>
        <w:rPr>
          <w:i/>
          <w:lang w:eastAsia="en-AU" w:bidi="ar-SA"/>
        </w:rPr>
        <w:t> </w:t>
      </w:r>
      <w:r w:rsidRPr="00DF1A2B">
        <w:rPr>
          <w:i/>
          <w:lang w:eastAsia="en-AU" w:bidi="ar-SA"/>
        </w:rPr>
        <w:t>monocytogenes</w:t>
      </w:r>
      <w:r w:rsidRPr="00DF1A2B">
        <w:rPr>
          <w:lang w:eastAsia="en-AU" w:bidi="ar-SA"/>
        </w:rPr>
        <w:t xml:space="preserve"> was reported to survive 120 days in river water </w:t>
      </w:r>
      <w:r w:rsidR="00657FDB">
        <w:rPr>
          <w:lang w:eastAsia="en-AU" w:bidi="ar-SA"/>
        </w:rPr>
        <w:t>(Budzińska et al. 2012)</w:t>
      </w:r>
      <w:r w:rsidRPr="00DF1A2B">
        <w:rPr>
          <w:lang w:eastAsia="en-AU" w:bidi="ar-SA"/>
        </w:rPr>
        <w:t xml:space="preserve">, and HAV survived for up to 56 days in sterile groundwater </w:t>
      </w:r>
      <w:r w:rsidR="00657FDB">
        <w:rPr>
          <w:lang w:eastAsia="en-AU" w:bidi="ar-SA"/>
        </w:rPr>
        <w:t>(Sobsey et al. 1986)</w:t>
      </w:r>
      <w:r w:rsidRPr="00DF1A2B">
        <w:rPr>
          <w:lang w:eastAsia="en-AU" w:bidi="ar-SA"/>
        </w:rPr>
        <w:t xml:space="preserve">. </w:t>
      </w:r>
      <w:r>
        <w:t>Mean viral inactivation rates</w:t>
      </w:r>
      <w:r w:rsidRPr="00DF1A2B">
        <w:t xml:space="preserve"> in tap water, polluted river water, unpolluted river water, and ground water have been </w:t>
      </w:r>
      <w:r>
        <w:t>reported to all be less than 1 L</w:t>
      </w:r>
      <w:r w:rsidRPr="00DF1A2B">
        <w:t xml:space="preserve">og per day, indicating that survival and persistence in these water sources could be prolonged depending on the initial concentrations </w:t>
      </w:r>
      <w:r w:rsidR="00657FDB">
        <w:t>(Rzezutka and Cook 2004)</w:t>
      </w:r>
      <w:r w:rsidRPr="00DF1A2B">
        <w:t xml:space="preserve">. </w:t>
      </w:r>
    </w:p>
    <w:p w14:paraId="17F35E81" w14:textId="77777777" w:rsidR="00CA0DEE" w:rsidRPr="00DF1A2B" w:rsidRDefault="00CA0DEE" w:rsidP="00CA0DEE"/>
    <w:p w14:paraId="6E7D3634" w14:textId="2219096C" w:rsidR="00CA0DEE" w:rsidRPr="00DF1A2B" w:rsidRDefault="00CA0DEE" w:rsidP="00CA0DEE">
      <w:pPr>
        <w:rPr>
          <w:lang w:eastAsia="en-AU" w:bidi="ar-SA"/>
        </w:rPr>
      </w:pPr>
      <w:r w:rsidRPr="00DF1A2B">
        <w:rPr>
          <w:lang w:eastAsia="en-AU" w:bidi="ar-SA"/>
        </w:rPr>
        <w:t xml:space="preserve">However, survival and persistence of pathogens in agricultural waters depends on multiple factors, such as the pathogen, potential for biofilm formation, temperature, pH, salt, dissolved oxygen concentration, nutrient availability, interaction with other microorganisms, and exposure to UV light radiation </w:t>
      </w:r>
      <w:r w:rsidR="00657FDB">
        <w:rPr>
          <w:lang w:eastAsia="en-AU" w:bidi="ar-SA"/>
        </w:rPr>
        <w:t>(Liu et al. 2018)</w:t>
      </w:r>
      <w:r w:rsidRPr="00DF1A2B">
        <w:rPr>
          <w:lang w:eastAsia="en-AU" w:bidi="ar-SA"/>
        </w:rPr>
        <w:t>. Therefore, generalised survival times should be interpreted with caution. Furthermore, limited evidence is available regarding the potential for growth of foodborne pathogens in different agricultural water sources.</w:t>
      </w:r>
    </w:p>
    <w:p w14:paraId="549563B2" w14:textId="77777777" w:rsidR="00CA0DEE" w:rsidRPr="00DF1A2B" w:rsidRDefault="00CA0DEE" w:rsidP="00CA0DEE">
      <w:pPr>
        <w:rPr>
          <w:lang w:eastAsia="en-AU" w:bidi="ar-SA"/>
        </w:rPr>
      </w:pPr>
    </w:p>
    <w:p w14:paraId="021E98C8" w14:textId="7F751CA8" w:rsidR="00CA0DEE" w:rsidRDefault="00CA0DEE" w:rsidP="00CA0DEE">
      <w:pPr>
        <w:rPr>
          <w:lang w:eastAsia="en-AU" w:bidi="ar-SA"/>
        </w:rPr>
      </w:pPr>
      <w:r w:rsidRPr="00DF1A2B">
        <w:rPr>
          <w:lang w:eastAsia="en-AU" w:bidi="ar-SA"/>
        </w:rPr>
        <w:t>Whereas irrigation water contacting the edible parts of fresh produce can be minimi</w:t>
      </w:r>
      <w:r>
        <w:rPr>
          <w:lang w:eastAsia="en-AU" w:bidi="ar-SA"/>
        </w:rPr>
        <w:t>s</w:t>
      </w:r>
      <w:r w:rsidRPr="00DF1A2B">
        <w:rPr>
          <w:lang w:eastAsia="en-AU" w:bidi="ar-SA"/>
        </w:rPr>
        <w:t xml:space="preserve">ed by using drip irrigation, the contact of pesticides/fungicides with the crop is desired or unavoidable for their successful application </w:t>
      </w:r>
      <w:r w:rsidR="00657FDB">
        <w:rPr>
          <w:lang w:eastAsia="en-AU" w:bidi="ar-SA"/>
        </w:rPr>
        <w:t>(Verhaelen et al. 2013a)</w:t>
      </w:r>
      <w:r w:rsidRPr="00DF1A2B">
        <w:rPr>
          <w:lang w:eastAsia="en-AU" w:bidi="ar-SA"/>
        </w:rPr>
        <w:t xml:space="preserve">. The growth and persistence of </w:t>
      </w:r>
      <w:r w:rsidRPr="00DF1A2B">
        <w:rPr>
          <w:i/>
          <w:lang w:eastAsia="en-AU" w:bidi="ar-SA"/>
        </w:rPr>
        <w:t xml:space="preserve">Salmonella enterica </w:t>
      </w:r>
      <w:r w:rsidRPr="00DF1A2B">
        <w:rPr>
          <w:lang w:eastAsia="en-AU" w:bidi="ar-SA"/>
        </w:rPr>
        <w:t xml:space="preserve">was found to be supported by some pesticide formulations depending on the type of water used for reconstitution and the temperature of storage </w:t>
      </w:r>
      <w:r w:rsidR="00657FDB">
        <w:rPr>
          <w:lang w:eastAsia="en-AU" w:bidi="ar-SA"/>
        </w:rPr>
        <w:t>(Lopez-Velasco et al. 2013)</w:t>
      </w:r>
      <w:r w:rsidRPr="00DF1A2B">
        <w:rPr>
          <w:lang w:eastAsia="en-AU" w:bidi="ar-SA"/>
        </w:rPr>
        <w:t xml:space="preserve">. Similarly, </w:t>
      </w:r>
      <w:r w:rsidR="00657FDB">
        <w:rPr>
          <w:lang w:eastAsia="en-AU" w:bidi="ar-SA"/>
        </w:rPr>
        <w:t>Dobhal et al.</w:t>
      </w:r>
      <w:r w:rsidRPr="00DF1A2B">
        <w:rPr>
          <w:lang w:eastAsia="en-AU" w:bidi="ar-SA"/>
        </w:rPr>
        <w:t xml:space="preserve"> </w:t>
      </w:r>
      <w:r w:rsidR="00657FDB">
        <w:rPr>
          <w:lang w:eastAsia="en-AU" w:bidi="ar-SA"/>
        </w:rPr>
        <w:t>(2014)</w:t>
      </w:r>
      <w:r w:rsidRPr="00DF1A2B">
        <w:rPr>
          <w:lang w:eastAsia="en-AU" w:bidi="ar-SA"/>
        </w:rPr>
        <w:t xml:space="preserve"> concluded that pesticides and fungicides should be tested for their ability to support pathogen survival or growth prior to application on fresh produce to understand the risks associated with their application, based on their inconsistent observations of inactivation, persistence, or growth of </w:t>
      </w:r>
      <w:r w:rsidRPr="00DF1A2B">
        <w:rPr>
          <w:i/>
          <w:lang w:eastAsia="en-AU" w:bidi="ar-SA"/>
        </w:rPr>
        <w:t>E. coli</w:t>
      </w:r>
      <w:r w:rsidRPr="00DF1A2B">
        <w:rPr>
          <w:lang w:eastAsia="en-AU" w:bidi="ar-SA"/>
        </w:rPr>
        <w:t xml:space="preserve"> or </w:t>
      </w:r>
      <w:r w:rsidRPr="00DF1A2B">
        <w:rPr>
          <w:i/>
          <w:lang w:eastAsia="en-AU" w:bidi="ar-SA"/>
        </w:rPr>
        <w:t>Salmonella</w:t>
      </w:r>
      <w:r w:rsidRPr="00DF1A2B">
        <w:rPr>
          <w:lang w:eastAsia="en-AU" w:bidi="ar-SA"/>
        </w:rPr>
        <w:t xml:space="preserve"> </w:t>
      </w:r>
      <w:r>
        <w:rPr>
          <w:lang w:eastAsia="en-AU" w:bidi="ar-SA"/>
        </w:rPr>
        <w:t xml:space="preserve">spp. </w:t>
      </w:r>
      <w:r w:rsidRPr="00DF1A2B">
        <w:rPr>
          <w:lang w:eastAsia="en-AU" w:bidi="ar-SA"/>
        </w:rPr>
        <w:t>in a variety of pesticides. NoV does not multipl</w:t>
      </w:r>
      <w:r>
        <w:rPr>
          <w:lang w:eastAsia="en-AU" w:bidi="ar-SA"/>
        </w:rPr>
        <w:t>y</w:t>
      </w:r>
      <w:r w:rsidRPr="00DF1A2B">
        <w:rPr>
          <w:lang w:eastAsia="en-AU" w:bidi="ar-SA"/>
        </w:rPr>
        <w:t xml:space="preserve"> outside the human host, but ha</w:t>
      </w:r>
      <w:r>
        <w:rPr>
          <w:lang w:eastAsia="en-AU" w:bidi="ar-SA"/>
        </w:rPr>
        <w:t>s</w:t>
      </w:r>
      <w:r w:rsidRPr="00DF1A2B">
        <w:rPr>
          <w:lang w:eastAsia="en-AU" w:bidi="ar-SA"/>
        </w:rPr>
        <w:t xml:space="preserve"> been observed to remain infectious when </w:t>
      </w:r>
      <w:r>
        <w:rPr>
          <w:lang w:eastAsia="en-AU" w:bidi="ar-SA"/>
        </w:rPr>
        <w:t>contaminated water is mixed with</w:t>
      </w:r>
      <w:r w:rsidRPr="00DF1A2B">
        <w:rPr>
          <w:lang w:eastAsia="en-AU" w:bidi="ar-SA"/>
        </w:rPr>
        <w:t xml:space="preserve"> a variety of pesticides over a 2</w:t>
      </w:r>
      <w:r>
        <w:rPr>
          <w:lang w:eastAsia="en-AU" w:bidi="ar-SA"/>
        </w:rPr>
        <w:t xml:space="preserve"> </w:t>
      </w:r>
      <w:r w:rsidRPr="00DF1A2B">
        <w:rPr>
          <w:lang w:eastAsia="en-AU" w:bidi="ar-SA"/>
        </w:rPr>
        <w:t>h</w:t>
      </w:r>
      <w:r>
        <w:rPr>
          <w:lang w:eastAsia="en-AU" w:bidi="ar-SA"/>
        </w:rPr>
        <w:t>our</w:t>
      </w:r>
      <w:r w:rsidRPr="00DF1A2B">
        <w:rPr>
          <w:lang w:eastAsia="en-AU" w:bidi="ar-SA"/>
        </w:rPr>
        <w:t xml:space="preserve"> study period </w:t>
      </w:r>
      <w:r w:rsidR="00657FDB">
        <w:rPr>
          <w:lang w:eastAsia="en-AU" w:bidi="ar-SA"/>
        </w:rPr>
        <w:t>(Verhaelen et al. 2013a)</w:t>
      </w:r>
      <w:r w:rsidRPr="00DF1A2B">
        <w:rPr>
          <w:lang w:eastAsia="en-AU" w:bidi="ar-SA"/>
        </w:rPr>
        <w:t xml:space="preserve">. Therefore, the use of viral or bacterial contaminated water to reconstitute pesticides can represent a risk of microbial contamination if applied to fresh produce. </w:t>
      </w:r>
    </w:p>
    <w:p w14:paraId="4AD967B2" w14:textId="77777777" w:rsidR="00705359" w:rsidRDefault="00705359" w:rsidP="00CA0DEE">
      <w:pPr>
        <w:rPr>
          <w:lang w:eastAsia="en-AU" w:bidi="ar-SA"/>
        </w:rPr>
      </w:pPr>
    </w:p>
    <w:p w14:paraId="76CAE45C" w14:textId="77777777" w:rsidR="00CA0DEE" w:rsidRPr="00DF1A2B" w:rsidRDefault="00CA0DEE" w:rsidP="00CA0DEE">
      <w:pPr>
        <w:rPr>
          <w:lang w:eastAsia="en-AU" w:bidi="ar-SA"/>
        </w:rPr>
      </w:pPr>
      <w:r>
        <w:rPr>
          <w:lang w:eastAsia="en-AU" w:bidi="ar-SA"/>
        </w:rPr>
        <w:t>T</w:t>
      </w:r>
      <w:r w:rsidRPr="00DF1A2B">
        <w:rPr>
          <w:lang w:eastAsia="en-AU" w:bidi="ar-SA"/>
        </w:rPr>
        <w:t>he evidence spec</w:t>
      </w:r>
      <w:r>
        <w:rPr>
          <w:lang w:eastAsia="en-AU" w:bidi="ar-SA"/>
        </w:rPr>
        <w:t>ifically associated with the in-</w:t>
      </w:r>
      <w:r w:rsidRPr="00DF1A2B">
        <w:rPr>
          <w:lang w:eastAsia="en-AU" w:bidi="ar-SA"/>
        </w:rPr>
        <w:t>scope commodities and hazards</w:t>
      </w:r>
      <w:r>
        <w:rPr>
          <w:lang w:eastAsia="en-AU" w:bidi="ar-SA"/>
        </w:rPr>
        <w:t xml:space="preserve"> is summarised below</w:t>
      </w:r>
      <w:r w:rsidRPr="00DF1A2B">
        <w:rPr>
          <w:lang w:eastAsia="en-AU" w:bidi="ar-SA"/>
        </w:rPr>
        <w:t>.</w:t>
      </w:r>
    </w:p>
    <w:bookmarkEnd w:id="297"/>
    <w:p w14:paraId="60A797EE" w14:textId="77777777" w:rsidR="00CA0DEE" w:rsidRDefault="00CA0DEE" w:rsidP="00CA0DEE">
      <w:pPr>
        <w:pStyle w:val="Heading4"/>
        <w:numPr>
          <w:ilvl w:val="3"/>
          <w:numId w:val="11"/>
        </w:numPr>
      </w:pPr>
      <w:r>
        <w:t>Leafy vegetables</w:t>
      </w:r>
    </w:p>
    <w:p w14:paraId="6820BAE7" w14:textId="678434A7" w:rsidR="00210021" w:rsidRDefault="00CA0DEE" w:rsidP="00210021">
      <w:pPr>
        <w:rPr>
          <w:lang w:bidi="ar-SA"/>
        </w:rPr>
      </w:pPr>
      <w:r>
        <w:rPr>
          <w:lang w:bidi="ar-SA"/>
        </w:rPr>
        <w:t xml:space="preserve">There is a strong link between the presence of </w:t>
      </w:r>
      <w:r w:rsidRPr="009C57F1">
        <w:rPr>
          <w:i/>
          <w:lang w:bidi="ar-SA"/>
        </w:rPr>
        <w:t>Salmonella</w:t>
      </w:r>
      <w:r>
        <w:rPr>
          <w:i/>
          <w:lang w:bidi="ar-SA"/>
        </w:rPr>
        <w:t xml:space="preserve"> </w:t>
      </w:r>
      <w:r>
        <w:rPr>
          <w:lang w:bidi="ar-SA"/>
        </w:rPr>
        <w:t xml:space="preserve">spp., </w:t>
      </w:r>
      <w:r w:rsidRPr="009C57F1">
        <w:rPr>
          <w:i/>
          <w:lang w:bidi="ar-SA"/>
        </w:rPr>
        <w:t>E. coli</w:t>
      </w:r>
      <w:r>
        <w:rPr>
          <w:lang w:bidi="ar-SA"/>
        </w:rPr>
        <w:t xml:space="preserve">, </w:t>
      </w:r>
      <w:r w:rsidRPr="009C57F1">
        <w:rPr>
          <w:i/>
          <w:lang w:bidi="ar-SA"/>
        </w:rPr>
        <w:t>L. monocytogenes</w:t>
      </w:r>
      <w:r>
        <w:rPr>
          <w:lang w:bidi="ar-SA"/>
        </w:rPr>
        <w:t xml:space="preserve"> and other pathogens in water used for irrigation and application of agricultural chemicals and the contamination of leafy vegetables </w:t>
      </w:r>
      <w:r w:rsidR="00657FDB">
        <w:rPr>
          <w:lang w:bidi="ar-SA"/>
        </w:rPr>
        <w:t>(Ceuppens et al. 2014)</w:t>
      </w:r>
      <w:r>
        <w:rPr>
          <w:lang w:bidi="ar-SA"/>
        </w:rPr>
        <w:t xml:space="preserve">. Water source strongly influences the level of risk </w:t>
      </w:r>
      <w:r w:rsidR="00657FDB">
        <w:rPr>
          <w:lang w:bidi="ar-SA"/>
        </w:rPr>
        <w:t>(Jung et al. 2014)</w:t>
      </w:r>
      <w:r>
        <w:rPr>
          <w:lang w:bidi="ar-SA"/>
        </w:rPr>
        <w:t xml:space="preserve">, with </w:t>
      </w:r>
      <w:r w:rsidRPr="00182649">
        <w:rPr>
          <w:i/>
          <w:szCs w:val="22"/>
        </w:rPr>
        <w:t>Salmonella</w:t>
      </w:r>
      <w:r>
        <w:rPr>
          <w:szCs w:val="22"/>
        </w:rPr>
        <w:t xml:space="preserve"> spp. associated with the use of surface water </w:t>
      </w:r>
      <w:r w:rsidRPr="004F1624">
        <w:rPr>
          <w:szCs w:val="22"/>
        </w:rPr>
        <w:t>as the</w:t>
      </w:r>
      <w:r>
        <w:rPr>
          <w:szCs w:val="22"/>
        </w:rPr>
        <w:t xml:space="preserve"> irrigation water source and </w:t>
      </w:r>
      <w:r w:rsidRPr="004F1624">
        <w:rPr>
          <w:szCs w:val="22"/>
        </w:rPr>
        <w:t xml:space="preserve">STEC more often </w:t>
      </w:r>
      <w:r>
        <w:rPr>
          <w:szCs w:val="22"/>
        </w:rPr>
        <w:t>associated with the use of collected rainfall water</w:t>
      </w:r>
      <w:r>
        <w:rPr>
          <w:lang w:bidi="ar-SA"/>
        </w:rPr>
        <w:t xml:space="preserve"> </w:t>
      </w:r>
      <w:r w:rsidR="00657FDB">
        <w:rPr>
          <w:lang w:bidi="ar-SA"/>
        </w:rPr>
        <w:t>(Ceuppens et al. 2015; Jung et al. 2014)</w:t>
      </w:r>
      <w:r>
        <w:rPr>
          <w:lang w:bidi="ar-SA"/>
        </w:rPr>
        <w:t xml:space="preserve">. Spray/mist application of contaminated water can directly deposit pathogens on the edible portions of the crop </w:t>
      </w:r>
      <w:r w:rsidR="00657FDB">
        <w:rPr>
          <w:lang w:bidi="ar-SA"/>
        </w:rPr>
        <w:t>(Erickson et al. 2019b)</w:t>
      </w:r>
      <w:r>
        <w:rPr>
          <w:lang w:bidi="ar-SA"/>
        </w:rPr>
        <w:t xml:space="preserve"> or cause splashing from contaminated soils </w:t>
      </w:r>
      <w:r w:rsidR="00657FDB">
        <w:rPr>
          <w:lang w:bidi="ar-SA"/>
        </w:rPr>
        <w:t>(Honjoh et al. 2014)</w:t>
      </w:r>
      <w:r>
        <w:rPr>
          <w:lang w:bidi="ar-SA"/>
        </w:rPr>
        <w:t xml:space="preserve">, while drip, furrow and flood irrigation methods can introduce pathogens to the root zone. In either case, there is potential for internalisation of pathogens in the edible parts of </w:t>
      </w:r>
      <w:r w:rsidRPr="00E630A3">
        <w:rPr>
          <w:lang w:bidi="ar-SA"/>
        </w:rPr>
        <w:t>the plants. Contaminated irrigation water has been implicated in large outbreaks of foodborne illness associated with consumption of leafy vegetables</w:t>
      </w:r>
      <w:r>
        <w:rPr>
          <w:lang w:bidi="ar-SA"/>
        </w:rPr>
        <w:t xml:space="preserve"> (spinach and lettuce)</w:t>
      </w:r>
      <w:r w:rsidRPr="00E630A3">
        <w:rPr>
          <w:lang w:bidi="ar-SA"/>
        </w:rPr>
        <w:t xml:space="preserve"> </w:t>
      </w:r>
      <w:r w:rsidR="00657FDB">
        <w:rPr>
          <w:lang w:bidi="ar-SA"/>
        </w:rPr>
        <w:t>(FDA 2018; Gelting et al. 2011; Gelting et al. 2015)</w:t>
      </w:r>
      <w:r w:rsidRPr="00E630A3">
        <w:rPr>
          <w:lang w:bidi="ar-SA"/>
        </w:rPr>
        <w:t xml:space="preserve">. </w:t>
      </w:r>
      <w:r>
        <w:rPr>
          <w:lang w:bidi="ar-SA"/>
        </w:rPr>
        <w:t xml:space="preserve">An FDA–led environmental assessment on a 2018 outbreak of </w:t>
      </w:r>
      <w:r w:rsidRPr="00A81743">
        <w:rPr>
          <w:i/>
          <w:lang w:bidi="ar-SA"/>
        </w:rPr>
        <w:t>E. coli</w:t>
      </w:r>
      <w:r w:rsidRPr="00A81743">
        <w:rPr>
          <w:lang w:bidi="ar-SA"/>
        </w:rPr>
        <w:t xml:space="preserve"> O157:H7</w:t>
      </w:r>
      <w:r>
        <w:rPr>
          <w:lang w:bidi="ar-SA"/>
        </w:rPr>
        <w:t xml:space="preserve"> associated with romaine lettuce from the Yuma growing region of Arizona and California determined that contaminated canal water used for the application of crop protection chemicals was the most plausible route of crop contamination </w:t>
      </w:r>
      <w:r w:rsidR="00657FDB">
        <w:rPr>
          <w:lang w:bidi="ar-SA"/>
        </w:rPr>
        <w:t>(FDA 2018)</w:t>
      </w:r>
      <w:r>
        <w:rPr>
          <w:lang w:bidi="ar-SA"/>
        </w:rPr>
        <w:t>. The report noted that plants might have been rendered more susceptible to microbial colonisation due to leaf damage caused by a freeze event that preceded aerial application of pesticides in the weeks before harvest.</w:t>
      </w:r>
      <w:r w:rsidR="00210021">
        <w:rPr>
          <w:lang w:bidi="ar-SA"/>
        </w:rPr>
        <w:t xml:space="preserve"> </w:t>
      </w:r>
    </w:p>
    <w:p w14:paraId="55E4D763" w14:textId="77777777" w:rsidR="00FA4F4A" w:rsidRDefault="00FA4F4A" w:rsidP="00210021">
      <w:pPr>
        <w:rPr>
          <w:lang w:bidi="ar-SA"/>
        </w:rPr>
      </w:pPr>
    </w:p>
    <w:p w14:paraId="0B16EA36" w14:textId="77777777" w:rsidR="00CA0DEE" w:rsidRDefault="00CA0DEE" w:rsidP="00CA0DEE">
      <w:pPr>
        <w:rPr>
          <w:lang w:bidi="ar-SA"/>
        </w:rPr>
      </w:pPr>
      <w:r w:rsidRPr="00E630A3">
        <w:rPr>
          <w:lang w:bidi="ar-SA"/>
        </w:rPr>
        <w:t>Specific</w:t>
      </w:r>
      <w:r w:rsidRPr="004F1624">
        <w:rPr>
          <w:lang w:bidi="ar-SA"/>
        </w:rPr>
        <w:t xml:space="preserve"> experimental evidence of the ability of pathogens in irrigation water to contaminate leafy vegetables is summarised below.</w:t>
      </w:r>
    </w:p>
    <w:p w14:paraId="0923BE8F" w14:textId="77777777" w:rsidR="00CA0DEE" w:rsidRDefault="00CA0DEE" w:rsidP="00CA0DEE">
      <w:pPr>
        <w:rPr>
          <w:lang w:bidi="ar-SA"/>
        </w:rPr>
      </w:pPr>
    </w:p>
    <w:p w14:paraId="3B523C7B" w14:textId="3449380C" w:rsidR="00CA0DEE" w:rsidRDefault="00CA0DEE" w:rsidP="00CA0DEE">
      <w:pPr>
        <w:rPr>
          <w:lang w:bidi="ar-SA"/>
        </w:rPr>
      </w:pPr>
      <w:r w:rsidRPr="001C65D3">
        <w:rPr>
          <w:i/>
          <w:lang w:bidi="ar-SA"/>
        </w:rPr>
        <w:t>Salmonella</w:t>
      </w:r>
      <w:r>
        <w:rPr>
          <w:lang w:bidi="ar-SA"/>
        </w:rPr>
        <w:t xml:space="preserve"> </w:t>
      </w:r>
      <w:r w:rsidRPr="001C65D3">
        <w:rPr>
          <w:lang w:bidi="ar-SA"/>
        </w:rPr>
        <w:t>Typhimurium</w:t>
      </w:r>
      <w:r>
        <w:rPr>
          <w:lang w:bidi="ar-SA"/>
        </w:rPr>
        <w:t>,</w:t>
      </w:r>
      <w:r w:rsidRPr="001C65D3">
        <w:rPr>
          <w:lang w:bidi="ar-SA"/>
        </w:rPr>
        <w:t xml:space="preserve"> </w:t>
      </w:r>
      <w:r>
        <w:rPr>
          <w:lang w:bidi="ar-SA"/>
        </w:rPr>
        <w:t xml:space="preserve">present in spray irrigation water at </w:t>
      </w:r>
      <w:r w:rsidRPr="001C65D3">
        <w:rPr>
          <w:lang w:bidi="ar-SA"/>
        </w:rPr>
        <w:t>10</w:t>
      </w:r>
      <w:r w:rsidRPr="001C65D3">
        <w:rPr>
          <w:vertAlign w:val="superscript"/>
          <w:lang w:bidi="ar-SA"/>
        </w:rPr>
        <w:t>5</w:t>
      </w:r>
      <w:r>
        <w:rPr>
          <w:lang w:bidi="ar-SA"/>
        </w:rPr>
        <w:t> CFU</w:t>
      </w:r>
      <w:r w:rsidRPr="001C65D3">
        <w:rPr>
          <w:lang w:bidi="ar-SA"/>
        </w:rPr>
        <w:t>/mL</w:t>
      </w:r>
      <w:r>
        <w:rPr>
          <w:lang w:bidi="ar-SA"/>
        </w:rPr>
        <w:t xml:space="preserve">, has been shown to persist on lettuce and parsley plants for significant periods of time: 63 days and 231 days, respectively, in a field trial </w:t>
      </w:r>
      <w:r w:rsidR="00657FDB">
        <w:rPr>
          <w:rFonts w:cs="Arial"/>
          <w:szCs w:val="22"/>
          <w:lang w:bidi="ar-SA"/>
        </w:rPr>
        <w:t>(Islam et al. 2004b)</w:t>
      </w:r>
      <w:r>
        <w:rPr>
          <w:lang w:bidi="ar-SA"/>
        </w:rPr>
        <w:t xml:space="preserve">. Applied at similar levels (5.3-5.8 Log CFU/mL in spray irrigation water) to lettuce plants in a growth chamber, a mix of </w:t>
      </w:r>
      <w:r w:rsidRPr="00B51785">
        <w:rPr>
          <w:i/>
          <w:lang w:bidi="ar-SA"/>
        </w:rPr>
        <w:t>Salmonella</w:t>
      </w:r>
      <w:r>
        <w:rPr>
          <w:lang w:bidi="ar-SA"/>
        </w:rPr>
        <w:t xml:space="preserve"> </w:t>
      </w:r>
      <w:r w:rsidRPr="001C65D3">
        <w:rPr>
          <w:lang w:bidi="ar-SA"/>
        </w:rPr>
        <w:t>se</w:t>
      </w:r>
      <w:r>
        <w:rPr>
          <w:lang w:bidi="ar-SA"/>
        </w:rPr>
        <w:t>rovars Enteritidis and Newport was found to rapidly and durably colonise (&gt;85% of plants at day 12) and internalise in leaf tissue (35 of 48 plants 1 hour after applic</w:t>
      </w:r>
      <w:r w:rsidR="0083511C">
        <w:rPr>
          <w:lang w:bidi="ar-SA"/>
        </w:rPr>
        <w:t>ation; 21 of 48 plants after 24 </w:t>
      </w:r>
      <w:r>
        <w:rPr>
          <w:lang w:bidi="ar-SA"/>
        </w:rPr>
        <w:t xml:space="preserve">hours) </w:t>
      </w:r>
      <w:r w:rsidR="00657FDB">
        <w:rPr>
          <w:lang w:bidi="ar-SA"/>
        </w:rPr>
        <w:t>(Erickson et al. 2019b)</w:t>
      </w:r>
      <w:r>
        <w:rPr>
          <w:lang w:bidi="ar-SA"/>
        </w:rPr>
        <w:t>. When applied at 10</w:t>
      </w:r>
      <w:r w:rsidRPr="00A82D4D">
        <w:rPr>
          <w:vertAlign w:val="superscript"/>
          <w:lang w:bidi="ar-SA"/>
        </w:rPr>
        <w:t>8</w:t>
      </w:r>
      <w:r>
        <w:rPr>
          <w:lang w:bidi="ar-SA"/>
        </w:rPr>
        <w:t xml:space="preserve"> CFU/mL in sub-irrigation water three </w:t>
      </w:r>
      <w:r w:rsidRPr="00A82D4D">
        <w:rPr>
          <w:lang w:bidi="ar-SA"/>
        </w:rPr>
        <w:t>days prior to harvest</w:t>
      </w:r>
      <w:r>
        <w:rPr>
          <w:lang w:bidi="ar-SA"/>
        </w:rPr>
        <w:t xml:space="preserve"> of lettuce plants grown in sandy soil in a greenhouse, </w:t>
      </w:r>
      <w:r w:rsidRPr="00A82D4D">
        <w:rPr>
          <w:i/>
          <w:lang w:bidi="ar-SA"/>
        </w:rPr>
        <w:t>S</w:t>
      </w:r>
      <w:r>
        <w:rPr>
          <w:lang w:bidi="ar-SA"/>
        </w:rPr>
        <w:t xml:space="preserve">. Infantis internally colonised leaves of 29% of plants </w:t>
      </w:r>
      <w:r w:rsidR="00657FDB">
        <w:rPr>
          <w:lang w:bidi="ar-SA"/>
        </w:rPr>
        <w:t>(Zhang et al. 2016)</w:t>
      </w:r>
      <w:r>
        <w:rPr>
          <w:lang w:bidi="ar-SA"/>
        </w:rPr>
        <w:t>. No internalised bacteria were found in leaves of lettuce grown in loamy soil, or when present at 10</w:t>
      </w:r>
      <w:r w:rsidRPr="00A82D4D">
        <w:rPr>
          <w:vertAlign w:val="superscript"/>
          <w:lang w:bidi="ar-SA"/>
        </w:rPr>
        <w:t>5</w:t>
      </w:r>
      <w:r>
        <w:rPr>
          <w:lang w:bidi="ar-SA"/>
        </w:rPr>
        <w:t xml:space="preserve"> CFU/mL in the irrigation water.</w:t>
      </w:r>
    </w:p>
    <w:p w14:paraId="5CE70DED" w14:textId="77777777" w:rsidR="00CA0DEE" w:rsidRDefault="00CA0DEE" w:rsidP="00CA0DEE">
      <w:pPr>
        <w:rPr>
          <w:lang w:bidi="ar-SA"/>
        </w:rPr>
      </w:pPr>
    </w:p>
    <w:p w14:paraId="270E35BC" w14:textId="4495EC06" w:rsidR="00CA0DEE" w:rsidRDefault="00CA0DEE" w:rsidP="00CA0DEE">
      <w:pPr>
        <w:rPr>
          <w:lang w:bidi="ar-SA"/>
        </w:rPr>
      </w:pPr>
      <w:r w:rsidRPr="00064E66">
        <w:rPr>
          <w:i/>
          <w:lang w:bidi="ar-SA"/>
        </w:rPr>
        <w:t xml:space="preserve">E. coli </w:t>
      </w:r>
      <w:r>
        <w:rPr>
          <w:lang w:bidi="ar-SA"/>
        </w:rPr>
        <w:t>O157:H7</w:t>
      </w:r>
      <w:r w:rsidRPr="00064E66">
        <w:rPr>
          <w:lang w:bidi="ar-SA"/>
        </w:rPr>
        <w:t xml:space="preserve"> present in irrigation water </w:t>
      </w:r>
      <w:r>
        <w:rPr>
          <w:lang w:bidi="ar-SA"/>
        </w:rPr>
        <w:t xml:space="preserve">applied to soil or leaves </w:t>
      </w:r>
      <w:r w:rsidRPr="00064E66">
        <w:rPr>
          <w:lang w:bidi="ar-SA"/>
        </w:rPr>
        <w:t xml:space="preserve">has been shown to </w:t>
      </w:r>
      <w:r>
        <w:rPr>
          <w:lang w:bidi="ar-SA"/>
        </w:rPr>
        <w:t xml:space="preserve">colonise and </w:t>
      </w:r>
      <w:r w:rsidRPr="00064E66">
        <w:rPr>
          <w:lang w:bidi="ar-SA"/>
        </w:rPr>
        <w:t>persist on</w:t>
      </w:r>
      <w:r>
        <w:rPr>
          <w:lang w:bidi="ar-SA"/>
        </w:rPr>
        <w:t xml:space="preserve"> edible parts of leafy vegetables</w:t>
      </w:r>
      <w:r w:rsidRPr="00064E66">
        <w:rPr>
          <w:lang w:bidi="ar-SA"/>
        </w:rPr>
        <w:t xml:space="preserve"> f</w:t>
      </w:r>
      <w:r>
        <w:rPr>
          <w:lang w:bidi="ar-SA"/>
        </w:rPr>
        <w:t>or significant periods of time—and to internalise under some conditions.</w:t>
      </w:r>
    </w:p>
    <w:p w14:paraId="673031B4" w14:textId="77777777" w:rsidR="00CA0DEE" w:rsidRDefault="00CA0DEE" w:rsidP="00CA0DEE">
      <w:pPr>
        <w:rPr>
          <w:lang w:bidi="ar-SA"/>
        </w:rPr>
      </w:pPr>
    </w:p>
    <w:p w14:paraId="3EEFC060" w14:textId="610E92C0" w:rsidR="00CA0DEE" w:rsidRDefault="00CA0DEE" w:rsidP="00CA0DEE">
      <w:pPr>
        <w:rPr>
          <w:lang w:bidi="ar-SA"/>
        </w:rPr>
      </w:pPr>
      <w:r>
        <w:rPr>
          <w:lang w:bidi="ar-SA"/>
        </w:rPr>
        <w:t xml:space="preserve">Several studies have demonstrated the ability of </w:t>
      </w:r>
      <w:r w:rsidRPr="00DB429A">
        <w:rPr>
          <w:i/>
          <w:lang w:bidi="ar-SA"/>
        </w:rPr>
        <w:t>E. coli</w:t>
      </w:r>
      <w:r>
        <w:rPr>
          <w:lang w:bidi="ar-SA"/>
        </w:rPr>
        <w:t xml:space="preserve"> O157:H7 to colonise lettuce leaf surfaces when applied in irrigation water to the soil surface or into the root zone </w:t>
      </w:r>
      <w:r w:rsidR="00657FDB">
        <w:rPr>
          <w:lang w:bidi="ar-SA"/>
        </w:rPr>
        <w:t>(Habteselassie et al. 2010; Mootian et al. 2009; Oliveira et al. 2012; Solomon et al. 2002a; Solomon et al. 2002b)</w:t>
      </w:r>
      <w:r>
        <w:rPr>
          <w:lang w:bidi="ar-SA"/>
        </w:rPr>
        <w:t xml:space="preserve">. Experimental conditions—including the level of </w:t>
      </w:r>
      <w:r w:rsidRPr="00BD4046">
        <w:rPr>
          <w:i/>
          <w:lang w:bidi="ar-SA"/>
        </w:rPr>
        <w:t>E. coli</w:t>
      </w:r>
      <w:r>
        <w:rPr>
          <w:lang w:bidi="ar-SA"/>
        </w:rPr>
        <w:t xml:space="preserve"> applied to the plants and the period between inoculation and sampling—differ significantly between these studies. But all demonstrate high prevalence of contamination (40–82%) persisting for between &gt;5 days and 9 weeks after exposure. Internalisation of </w:t>
      </w:r>
      <w:r w:rsidRPr="00DB429A">
        <w:rPr>
          <w:i/>
          <w:lang w:bidi="ar-SA"/>
        </w:rPr>
        <w:t>E. coli</w:t>
      </w:r>
      <w:r>
        <w:rPr>
          <w:lang w:bidi="ar-SA"/>
        </w:rPr>
        <w:t xml:space="preserve"> O157:H7 was observed in up to 16% of plants by </w:t>
      </w:r>
      <w:r w:rsidR="00657FDB">
        <w:rPr>
          <w:lang w:bidi="ar-SA"/>
        </w:rPr>
        <w:t>Mootian et al.</w:t>
      </w:r>
      <w:r>
        <w:rPr>
          <w:lang w:bidi="ar-SA"/>
        </w:rPr>
        <w:t xml:space="preserve"> </w:t>
      </w:r>
      <w:r w:rsidR="00657FDB">
        <w:rPr>
          <w:lang w:bidi="ar-SA"/>
        </w:rPr>
        <w:t>(2009)</w:t>
      </w:r>
      <w:r>
        <w:rPr>
          <w:lang w:bidi="ar-SA"/>
        </w:rPr>
        <w:t xml:space="preserve"> and 10% of plants by </w:t>
      </w:r>
      <w:r w:rsidR="00657FDB">
        <w:rPr>
          <w:lang w:bidi="ar-SA"/>
        </w:rPr>
        <w:t>Solomon et al.</w:t>
      </w:r>
      <w:r>
        <w:rPr>
          <w:lang w:bidi="ar-SA"/>
        </w:rPr>
        <w:t xml:space="preserve"> </w:t>
      </w:r>
      <w:r w:rsidR="00657FDB">
        <w:rPr>
          <w:lang w:bidi="ar-SA"/>
        </w:rPr>
        <w:t>(2002a)</w:t>
      </w:r>
      <w:r>
        <w:rPr>
          <w:lang w:bidi="ar-SA"/>
        </w:rPr>
        <w:t xml:space="preserve">. However, </w:t>
      </w:r>
      <w:r w:rsidR="00657FDB">
        <w:rPr>
          <w:lang w:bidi="ar-SA"/>
        </w:rPr>
        <w:t>Zhang et al.</w:t>
      </w:r>
      <w:r>
        <w:rPr>
          <w:lang w:bidi="ar-SA"/>
        </w:rPr>
        <w:t xml:space="preserve"> </w:t>
      </w:r>
      <w:r w:rsidR="00657FDB">
        <w:rPr>
          <w:lang w:bidi="ar-SA"/>
        </w:rPr>
        <w:t>(2009a)</w:t>
      </w:r>
      <w:r>
        <w:rPr>
          <w:lang w:bidi="ar-SA"/>
        </w:rPr>
        <w:t xml:space="preserve"> saw no internalisation</w:t>
      </w:r>
      <w:r w:rsidR="0083511C">
        <w:rPr>
          <w:lang w:bidi="ar-SA"/>
        </w:rPr>
        <w:t xml:space="preserve"> in lettuce plants exposed to 6 </w:t>
      </w:r>
      <w:r>
        <w:rPr>
          <w:lang w:bidi="ar-SA"/>
        </w:rPr>
        <w:t>Log CFU/g by sub-surface watering of sandy loam soil.</w:t>
      </w:r>
    </w:p>
    <w:p w14:paraId="0EB3F1A1" w14:textId="77777777" w:rsidR="00CA0DEE" w:rsidRDefault="00CA0DEE" w:rsidP="00CA0DEE">
      <w:pPr>
        <w:rPr>
          <w:lang w:bidi="ar-SA"/>
        </w:rPr>
      </w:pPr>
    </w:p>
    <w:p w14:paraId="28495D4B" w14:textId="29545356" w:rsidR="00CA0DEE" w:rsidRDefault="00CA0DEE" w:rsidP="00CA0DEE">
      <w:pPr>
        <w:rPr>
          <w:lang w:bidi="ar-SA"/>
        </w:rPr>
      </w:pPr>
      <w:r>
        <w:rPr>
          <w:lang w:bidi="ar-SA"/>
        </w:rPr>
        <w:t xml:space="preserve">Results of studies applying </w:t>
      </w:r>
      <w:r w:rsidRPr="00DB429A">
        <w:rPr>
          <w:i/>
          <w:lang w:bidi="ar-SA"/>
        </w:rPr>
        <w:t>E. coli</w:t>
      </w:r>
      <w:r w:rsidRPr="00DB429A">
        <w:rPr>
          <w:lang w:bidi="ar-SA"/>
        </w:rPr>
        <w:t xml:space="preserve"> O157:H7 </w:t>
      </w:r>
      <w:r>
        <w:rPr>
          <w:lang w:bidi="ar-SA"/>
        </w:rPr>
        <w:t>contaminated irrig</w:t>
      </w:r>
      <w:r w:rsidR="0083511C">
        <w:rPr>
          <w:lang w:bidi="ar-SA"/>
        </w:rPr>
        <w:t>ation water (at levels of 5 Log </w:t>
      </w:r>
      <w:r>
        <w:rPr>
          <w:lang w:bidi="ar-SA"/>
        </w:rPr>
        <w:t xml:space="preserve">CFU/mL or higher) directly to lettuce or spinach leaf surfaces are highly variable </w:t>
      </w:r>
      <w:r w:rsidR="00657FDB">
        <w:rPr>
          <w:lang w:bidi="ar-SA"/>
        </w:rPr>
        <w:t>(Alam et al. 2014; Bezanson et al. 2012; Erickson et al. 2019b; Islam et al. 2004a; Oliveira et al. 2012; Patel et al. 2010; Solomon et al. 2002a; Zhang et al. 2009b)</w:t>
      </w:r>
      <w:r>
        <w:rPr>
          <w:lang w:bidi="ar-SA"/>
        </w:rPr>
        <w:t xml:space="preserve">. However, they demonstrate persistence for between 2 and 22 weeks, usually at high prevalence. For example, </w:t>
      </w:r>
      <w:r w:rsidR="00657FDB">
        <w:rPr>
          <w:lang w:bidi="ar-SA"/>
        </w:rPr>
        <w:t>Islam et al.</w:t>
      </w:r>
      <w:r>
        <w:rPr>
          <w:lang w:bidi="ar-SA"/>
        </w:rPr>
        <w:t xml:space="preserve"> </w:t>
      </w:r>
      <w:r w:rsidR="00657FDB">
        <w:rPr>
          <w:lang w:bidi="ar-SA"/>
        </w:rPr>
        <w:t>(2004a)</w:t>
      </w:r>
      <w:r>
        <w:rPr>
          <w:lang w:bidi="ar-SA"/>
        </w:rPr>
        <w:t xml:space="preserve"> reported levels of around 1 Log CFU/g in lettuce and spinach plants in a field trial 77 and 177 days, respectively, after a single irrigation treatment with water containing 5 Log CFU/mL of a GFP-labelled, </w:t>
      </w:r>
      <w:r w:rsidRPr="00EF47B2">
        <w:rPr>
          <w:i/>
          <w:lang w:bidi="ar-SA"/>
        </w:rPr>
        <w:t>stx</w:t>
      </w:r>
      <w:r w:rsidRPr="00EF47B2">
        <w:rPr>
          <w:vertAlign w:val="superscript"/>
          <w:lang w:bidi="ar-SA"/>
        </w:rPr>
        <w:t>-</w:t>
      </w:r>
      <w:r>
        <w:rPr>
          <w:lang w:bidi="ar-SA"/>
        </w:rPr>
        <w:t xml:space="preserve"> strain of </w:t>
      </w:r>
      <w:r w:rsidRPr="00DB429A">
        <w:rPr>
          <w:i/>
          <w:lang w:bidi="ar-SA"/>
        </w:rPr>
        <w:t>E. coli</w:t>
      </w:r>
      <w:r w:rsidRPr="00DB429A">
        <w:rPr>
          <w:lang w:bidi="ar-SA"/>
        </w:rPr>
        <w:t xml:space="preserve"> O157:H7</w:t>
      </w:r>
      <w:r>
        <w:rPr>
          <w:lang w:bidi="ar-SA"/>
        </w:rPr>
        <w:t xml:space="preserve">. </w:t>
      </w:r>
      <w:r w:rsidRPr="00EF47B2">
        <w:rPr>
          <w:lang w:bidi="ar-SA"/>
        </w:rPr>
        <w:t xml:space="preserve">Internalisation of E. coli O157:H7 </w:t>
      </w:r>
      <w:r>
        <w:rPr>
          <w:lang w:bidi="ar-SA"/>
        </w:rPr>
        <w:t xml:space="preserve">in leaf-irrigated lettuce </w:t>
      </w:r>
      <w:r w:rsidRPr="00EF47B2">
        <w:rPr>
          <w:lang w:bidi="ar-SA"/>
        </w:rPr>
        <w:t xml:space="preserve">was observed in </w:t>
      </w:r>
      <w:r>
        <w:rPr>
          <w:lang w:bidi="ar-SA"/>
        </w:rPr>
        <w:t>30–100</w:t>
      </w:r>
      <w:r w:rsidRPr="00EF47B2">
        <w:rPr>
          <w:lang w:bidi="ar-SA"/>
        </w:rPr>
        <w:t>% of plants</w:t>
      </w:r>
      <w:r>
        <w:rPr>
          <w:lang w:bidi="ar-SA"/>
        </w:rPr>
        <w:t xml:space="preserve"> </w:t>
      </w:r>
      <w:r w:rsidRPr="00EF47B2">
        <w:rPr>
          <w:lang w:bidi="ar-SA"/>
        </w:rPr>
        <w:t>by</w:t>
      </w:r>
      <w:r>
        <w:rPr>
          <w:lang w:bidi="ar-SA"/>
        </w:rPr>
        <w:t xml:space="preserve"> </w:t>
      </w:r>
      <w:r w:rsidR="00657FDB">
        <w:rPr>
          <w:lang w:bidi="ar-SA"/>
        </w:rPr>
        <w:t>Solomon et al.</w:t>
      </w:r>
      <w:r>
        <w:rPr>
          <w:lang w:bidi="ar-SA"/>
        </w:rPr>
        <w:t xml:space="preserve"> </w:t>
      </w:r>
      <w:r w:rsidR="00657FDB">
        <w:rPr>
          <w:lang w:bidi="ar-SA"/>
        </w:rPr>
        <w:t>(2002a)</w:t>
      </w:r>
      <w:r>
        <w:rPr>
          <w:lang w:bidi="ar-SA"/>
        </w:rPr>
        <w:t xml:space="preserve">, depending on experimental conditions. However, </w:t>
      </w:r>
      <w:r w:rsidR="00657FDB">
        <w:rPr>
          <w:lang w:bidi="ar-SA"/>
        </w:rPr>
        <w:t>Zhang et al.</w:t>
      </w:r>
      <w:r>
        <w:rPr>
          <w:lang w:bidi="ar-SA"/>
        </w:rPr>
        <w:t xml:space="preserve"> </w:t>
      </w:r>
      <w:r w:rsidR="00657FDB">
        <w:rPr>
          <w:lang w:bidi="ar-SA"/>
        </w:rPr>
        <w:t>(2009b)</w:t>
      </w:r>
      <w:r>
        <w:rPr>
          <w:lang w:bidi="ar-SA"/>
        </w:rPr>
        <w:t xml:space="preserve"> saw no internalisation in lettuce plants inoculated at 6 log CFU/plant directly onto leaf surfaces.</w:t>
      </w:r>
    </w:p>
    <w:p w14:paraId="218CDBBE" w14:textId="77777777" w:rsidR="00CA0DEE" w:rsidRPr="00A41B9A" w:rsidRDefault="00CA0DEE" w:rsidP="00CA0DEE">
      <w:pPr>
        <w:rPr>
          <w:lang w:bidi="ar-SA"/>
        </w:rPr>
      </w:pPr>
    </w:p>
    <w:p w14:paraId="33D6C52A" w14:textId="321CF62C" w:rsidR="00CA0DEE" w:rsidRPr="00A41B9A" w:rsidRDefault="00CA0DEE" w:rsidP="00CA0DEE">
      <w:pPr>
        <w:rPr>
          <w:lang w:bidi="ar-SA"/>
        </w:rPr>
      </w:pPr>
      <w:r w:rsidRPr="00A41B9A">
        <w:rPr>
          <w:lang w:bidi="ar-SA"/>
        </w:rPr>
        <w:t>A study b</w:t>
      </w:r>
      <w:r>
        <w:rPr>
          <w:lang w:bidi="ar-SA"/>
        </w:rPr>
        <w:t xml:space="preserve">y </w:t>
      </w:r>
      <w:r w:rsidR="00657FDB">
        <w:rPr>
          <w:lang w:bidi="ar-SA"/>
        </w:rPr>
        <w:t>Zhang et al.</w:t>
      </w:r>
      <w:r>
        <w:rPr>
          <w:lang w:bidi="ar-SA"/>
        </w:rPr>
        <w:t xml:space="preserve"> </w:t>
      </w:r>
      <w:r w:rsidR="00657FDB">
        <w:rPr>
          <w:lang w:bidi="ar-SA"/>
        </w:rPr>
        <w:t>(2016)</w:t>
      </w:r>
      <w:r w:rsidRPr="00A41B9A">
        <w:rPr>
          <w:lang w:bidi="ar-SA"/>
        </w:rPr>
        <w:t xml:space="preserve"> observed differential effects of </w:t>
      </w:r>
      <w:r w:rsidRPr="00A41B9A">
        <w:rPr>
          <w:i/>
          <w:lang w:bidi="ar-SA"/>
        </w:rPr>
        <w:t>Salmonella</w:t>
      </w:r>
      <w:r w:rsidRPr="00A41B9A">
        <w:rPr>
          <w:lang w:bidi="ar-SA"/>
        </w:rPr>
        <w:t xml:space="preserve"> contamination in irrigation water and soil type in colonisation and internalisation of a </w:t>
      </w:r>
      <w:r w:rsidRPr="00A41B9A">
        <w:rPr>
          <w:i/>
          <w:lang w:bidi="ar-SA"/>
        </w:rPr>
        <w:t>Salmonella</w:t>
      </w:r>
      <w:r w:rsidRPr="00A41B9A">
        <w:rPr>
          <w:lang w:bidi="ar-SA"/>
        </w:rPr>
        <w:t xml:space="preserve"> Infantis strain in lettuce. No internalisation of </w:t>
      </w:r>
      <w:r w:rsidRPr="00A41B9A">
        <w:rPr>
          <w:i/>
          <w:lang w:bidi="ar-SA"/>
        </w:rPr>
        <w:t>S.</w:t>
      </w:r>
      <w:r w:rsidRPr="00A41B9A">
        <w:rPr>
          <w:lang w:bidi="ar-SA"/>
        </w:rPr>
        <w:t xml:space="preserve"> Infantis into lettuce was observed when irrigation water contained 5 Log CFU/mL. However, when irrigation water contained 8 Log CFU/mL </w:t>
      </w:r>
      <w:r w:rsidRPr="00A41B9A">
        <w:rPr>
          <w:i/>
          <w:lang w:bidi="ar-SA"/>
        </w:rPr>
        <w:t>S. </w:t>
      </w:r>
      <w:r w:rsidRPr="00A41B9A">
        <w:rPr>
          <w:lang w:bidi="ar-SA"/>
        </w:rPr>
        <w:t xml:space="preserve">Infantis, internalisation occurred in 29% (7/24) of plants grown in sandy soil, while no internalisation was observed in plants grown in loamy soil (0/24). It should be noted that the 8 Log CFU/mL </w:t>
      </w:r>
      <w:r w:rsidRPr="00A41B9A">
        <w:rPr>
          <w:i/>
          <w:lang w:bidi="ar-SA"/>
        </w:rPr>
        <w:t>S. </w:t>
      </w:r>
      <w:r w:rsidRPr="00A41B9A">
        <w:rPr>
          <w:lang w:bidi="ar-SA"/>
        </w:rPr>
        <w:t>Infantis level used in this study is higher than what would be anticipated to occur.</w:t>
      </w:r>
    </w:p>
    <w:p w14:paraId="5156BE7D" w14:textId="77777777" w:rsidR="00CA0DEE" w:rsidRPr="00A41B9A" w:rsidRDefault="00CA0DEE" w:rsidP="00CA0DEE">
      <w:pPr>
        <w:rPr>
          <w:lang w:bidi="ar-SA"/>
        </w:rPr>
      </w:pPr>
    </w:p>
    <w:p w14:paraId="48C5E60F" w14:textId="30E22A36" w:rsidR="00210021" w:rsidRDefault="00CA0DEE" w:rsidP="00210021">
      <w:pPr>
        <w:rPr>
          <w:lang w:bidi="ar-SA"/>
        </w:rPr>
      </w:pPr>
      <w:r>
        <w:rPr>
          <w:lang w:bidi="ar-SA"/>
        </w:rPr>
        <w:t xml:space="preserve">Few studies have assessed the persistence of </w:t>
      </w:r>
      <w:r w:rsidRPr="007A56B2">
        <w:rPr>
          <w:i/>
          <w:lang w:bidi="ar-SA"/>
        </w:rPr>
        <w:t>L. monocytogenes</w:t>
      </w:r>
      <w:r>
        <w:rPr>
          <w:lang w:bidi="ar-SA"/>
        </w:rPr>
        <w:t xml:space="preserve"> in leafy vegetables due to irrigation with contaminated water,</w:t>
      </w:r>
      <w:r w:rsidRPr="00BE186A">
        <w:rPr>
          <w:lang w:bidi="ar-SA"/>
        </w:rPr>
        <w:t xml:space="preserve"> </w:t>
      </w:r>
      <w:r>
        <w:rPr>
          <w:lang w:bidi="ar-SA"/>
        </w:rPr>
        <w:t>and none have demonstrated internalisation of the pathogen.</w:t>
      </w:r>
      <w:r w:rsidR="00210021">
        <w:rPr>
          <w:lang w:bidi="ar-SA"/>
        </w:rPr>
        <w:t xml:space="preserve"> </w:t>
      </w:r>
    </w:p>
    <w:p w14:paraId="6F7A266B" w14:textId="77777777" w:rsidR="00FA4F4A" w:rsidRDefault="00FA4F4A" w:rsidP="00210021">
      <w:pPr>
        <w:rPr>
          <w:lang w:bidi="ar-SA"/>
        </w:rPr>
      </w:pPr>
    </w:p>
    <w:p w14:paraId="5F2068CC" w14:textId="62799DD6" w:rsidR="00CA0DEE" w:rsidRDefault="00CA0DEE" w:rsidP="00CA0DEE">
      <w:pPr>
        <w:rPr>
          <w:lang w:bidi="ar-SA"/>
        </w:rPr>
      </w:pPr>
      <w:r>
        <w:rPr>
          <w:lang w:bidi="ar-SA"/>
        </w:rPr>
        <w:t xml:space="preserve">In a three </w:t>
      </w:r>
      <w:r w:rsidRPr="007C01E8">
        <w:rPr>
          <w:lang w:bidi="ar-SA"/>
        </w:rPr>
        <w:t xml:space="preserve">year longitudinal field trial, </w:t>
      </w:r>
      <w:r w:rsidR="00657FDB">
        <w:rPr>
          <w:lang w:bidi="ar-SA"/>
        </w:rPr>
        <w:t>Guévremont et al.</w:t>
      </w:r>
      <w:r>
        <w:rPr>
          <w:lang w:bidi="ar-SA"/>
        </w:rPr>
        <w:t xml:space="preserve"> </w:t>
      </w:r>
      <w:r w:rsidR="00657FDB">
        <w:rPr>
          <w:lang w:bidi="ar-SA"/>
        </w:rPr>
        <w:t>(2017)</w:t>
      </w:r>
      <w:r>
        <w:rPr>
          <w:lang w:bidi="ar-SA"/>
        </w:rPr>
        <w:t xml:space="preserve"> </w:t>
      </w:r>
      <w:r w:rsidRPr="007C01E8">
        <w:rPr>
          <w:lang w:bidi="ar-SA"/>
        </w:rPr>
        <w:t xml:space="preserve">found </w:t>
      </w:r>
      <w:r w:rsidRPr="007A56B2">
        <w:rPr>
          <w:i/>
          <w:lang w:bidi="ar-SA"/>
        </w:rPr>
        <w:t>L. monocytogenes</w:t>
      </w:r>
      <w:r w:rsidRPr="007C01E8">
        <w:rPr>
          <w:lang w:bidi="ar-SA"/>
        </w:rPr>
        <w:t xml:space="preserve"> in only one of 288 let</w:t>
      </w:r>
      <w:r>
        <w:rPr>
          <w:lang w:bidi="ar-SA"/>
        </w:rPr>
        <w:t xml:space="preserve">tuce samples irrigated with pig and cattle </w:t>
      </w:r>
      <w:r w:rsidRPr="007C01E8">
        <w:rPr>
          <w:lang w:bidi="ar-SA"/>
        </w:rPr>
        <w:t>manure contaminated water or aerated pond water</w:t>
      </w:r>
      <w:r>
        <w:rPr>
          <w:lang w:bidi="ar-SA"/>
        </w:rPr>
        <w:t xml:space="preserve">, indicating low prevalence and/or environmental persistence under the experimental conditions. In a study of risk factors for </w:t>
      </w:r>
      <w:r w:rsidRPr="007A56B2">
        <w:rPr>
          <w:i/>
          <w:lang w:bidi="ar-SA"/>
        </w:rPr>
        <w:t>L. monocytogenes</w:t>
      </w:r>
      <w:r w:rsidRPr="007A56B2">
        <w:rPr>
          <w:lang w:bidi="ar-SA"/>
        </w:rPr>
        <w:t xml:space="preserve"> </w:t>
      </w:r>
      <w:r>
        <w:rPr>
          <w:lang w:bidi="ar-SA"/>
        </w:rPr>
        <w:t xml:space="preserve">contamination, </w:t>
      </w:r>
      <w:r w:rsidR="00657FDB">
        <w:rPr>
          <w:lang w:bidi="ar-SA"/>
        </w:rPr>
        <w:t>Weller et al.</w:t>
      </w:r>
      <w:r>
        <w:rPr>
          <w:lang w:bidi="ar-SA"/>
        </w:rPr>
        <w:t xml:space="preserve"> </w:t>
      </w:r>
      <w:r w:rsidR="00657FDB">
        <w:rPr>
          <w:lang w:bidi="ar-SA"/>
        </w:rPr>
        <w:t>(2015)</w:t>
      </w:r>
      <w:r>
        <w:rPr>
          <w:lang w:bidi="ar-SA"/>
        </w:rPr>
        <w:t xml:space="preserve"> found only two of 334 positive spinach leaf samples. Since the survey identified 86/1092 positive soil samples and 33/52 positive surface water samples, it implies that transfer of the pathogen to spinach is either rare or short-lived.</w:t>
      </w:r>
    </w:p>
    <w:p w14:paraId="7961416F" w14:textId="77777777" w:rsidR="00CA0DEE" w:rsidRDefault="00CA0DEE" w:rsidP="00CA0DEE">
      <w:pPr>
        <w:rPr>
          <w:lang w:bidi="ar-SA"/>
        </w:rPr>
      </w:pPr>
    </w:p>
    <w:p w14:paraId="23182BAC" w14:textId="45C4BAD8" w:rsidR="00CA0DEE" w:rsidRDefault="00CA0DEE" w:rsidP="00CA0DEE">
      <w:pPr>
        <w:rPr>
          <w:lang w:bidi="ar-SA"/>
        </w:rPr>
      </w:pPr>
      <w:r>
        <w:rPr>
          <w:lang w:bidi="ar-SA"/>
        </w:rPr>
        <w:t xml:space="preserve">In lettuce planted in soil contaminated to 8 log CFU/g </w:t>
      </w:r>
      <w:r w:rsidRPr="00BE186A">
        <w:rPr>
          <w:i/>
          <w:lang w:bidi="ar-SA"/>
        </w:rPr>
        <w:t>L. monocytogenes</w:t>
      </w:r>
      <w:r>
        <w:rPr>
          <w:lang w:bidi="ar-SA"/>
        </w:rPr>
        <w:t xml:space="preserve"> and further contaminated by soil surface irrigation every two weeks for ten weeks with 2x10</w:t>
      </w:r>
      <w:r w:rsidRPr="004C46B8">
        <w:rPr>
          <w:vertAlign w:val="superscript"/>
          <w:lang w:bidi="ar-SA"/>
        </w:rPr>
        <w:t>10</w:t>
      </w:r>
      <w:r>
        <w:rPr>
          <w:lang w:bidi="ar-SA"/>
        </w:rPr>
        <w:t xml:space="preserve"> CFU in water, </w:t>
      </w:r>
      <w:r w:rsidR="00657FDB">
        <w:rPr>
          <w:lang w:bidi="ar-SA"/>
        </w:rPr>
        <w:t>Honjoh et al.</w:t>
      </w:r>
      <w:r>
        <w:rPr>
          <w:lang w:bidi="ar-SA"/>
        </w:rPr>
        <w:t xml:space="preserve"> </w:t>
      </w:r>
      <w:r w:rsidR="00657FDB">
        <w:rPr>
          <w:lang w:bidi="ar-SA"/>
        </w:rPr>
        <w:t>(2018)</w:t>
      </w:r>
      <w:r>
        <w:rPr>
          <w:lang w:bidi="ar-SA"/>
        </w:rPr>
        <w:t xml:space="preserve"> found 3/12 samples above the limit of detection, and no internalisation. Due to the experimental setup, they could not rule out direct contamination of the leaves with contaminated soil. When </w:t>
      </w:r>
      <w:r w:rsidRPr="00BE186A">
        <w:rPr>
          <w:i/>
          <w:lang w:bidi="ar-SA"/>
        </w:rPr>
        <w:t>L. monocytogenes</w:t>
      </w:r>
      <w:r>
        <w:rPr>
          <w:lang w:bidi="ar-SA"/>
        </w:rPr>
        <w:t xml:space="preserve"> was applied by direct spray inoculation of leaves, contamination was detected 7 days later only when the inoculum was greater than 1,600 CFU/plant. In a further experiment, 4 or 6 Log CFU </w:t>
      </w:r>
      <w:r w:rsidRPr="00BE186A">
        <w:rPr>
          <w:i/>
          <w:lang w:bidi="ar-SA"/>
        </w:rPr>
        <w:t>L. monocytogenes</w:t>
      </w:r>
      <w:r>
        <w:rPr>
          <w:lang w:bidi="ar-SA"/>
        </w:rPr>
        <w:t xml:space="preserve"> directly surface spotted onto the main vein of leaves could be detected up to 6–12 days, with higher inoculum and/or leaf surface damage prolonging the survival period.</w:t>
      </w:r>
    </w:p>
    <w:p w14:paraId="71503222" w14:textId="77777777" w:rsidR="00CA0DEE" w:rsidRDefault="00CA0DEE" w:rsidP="00CA0DEE">
      <w:pPr>
        <w:pStyle w:val="Heading4"/>
        <w:numPr>
          <w:ilvl w:val="3"/>
          <w:numId w:val="11"/>
        </w:numPr>
      </w:pPr>
      <w:r>
        <w:t>Berries</w:t>
      </w:r>
    </w:p>
    <w:p w14:paraId="2CA03B96" w14:textId="707D0F20" w:rsidR="00CA0DEE" w:rsidRDefault="00CA0DEE" w:rsidP="00CA0DEE">
      <w:r>
        <w:t xml:space="preserve">Surface water, such as dams and rivers, are commonly used for irrigation of berries in Australia. The different types of berries utilise varied irrigation methods. For strawberries, overhead irrigation is commonly used to establish young plants and to cool plants in hot weather. Drip irrigation can be used in addition to overhead irrigation for young plants to promote root establishment. Once strawberry plants are established, drip irrigation is routinely used </w:t>
      </w:r>
      <w:r w:rsidR="00657FDB">
        <w:t>(DPIRD WA 2016b; Hort Innovation 2019a)</w:t>
      </w:r>
      <w:r>
        <w:t xml:space="preserve">. Raspberries are commonly irrigated via drip or mini-sprinklers </w:t>
      </w:r>
      <w:r w:rsidR="00657FDB">
        <w:t>(Menzies and Brien 2002)</w:t>
      </w:r>
      <w:r>
        <w:t xml:space="preserve">. The majority of blueberries use drip irrigation, although in some parts of Australia micro-jet sprinklers are also used </w:t>
      </w:r>
      <w:r w:rsidR="00657FDB">
        <w:t>(DPIRD WA 2016a; Wilk et al. 2009)</w:t>
      </w:r>
      <w:r>
        <w:t>. The water used for agrochemicals may vary across the industry from surface water to potable water.</w:t>
      </w:r>
    </w:p>
    <w:p w14:paraId="1A1ABF70" w14:textId="77777777" w:rsidR="00CA0DEE" w:rsidRDefault="00CA0DEE" w:rsidP="00CA0DEE"/>
    <w:p w14:paraId="0F2EEC47" w14:textId="0A5788B6" w:rsidR="00CA0DEE" w:rsidRDefault="00CA0DEE" w:rsidP="00CA0DEE">
      <w:pPr>
        <w:rPr>
          <w:rFonts w:eastAsia="OpenSans" w:cs="Arial"/>
          <w:lang w:eastAsia="en-GB"/>
        </w:rPr>
      </w:pPr>
      <w:r>
        <w:t xml:space="preserve">Fungicides and pesticides are often applied to berry fruit just before harvest to prolong shelf life. Insecticides can also be applied, for example to raspberries that are to be mechanically harvested (this harvesting technique can led to insect contamination of harvested fruit). The application of agrochemicals onto the fruit can introduce pathogens if contaminated water is used for reconstitution </w:t>
      </w:r>
      <w:r w:rsidR="00657FDB">
        <w:rPr>
          <w:rFonts w:eastAsia="OpenSans" w:cs="Arial"/>
          <w:lang w:eastAsia="en-GB"/>
        </w:rPr>
        <w:t>(Verhaelen et al. 2013a)</w:t>
      </w:r>
      <w:r w:rsidRPr="001B0C66">
        <w:rPr>
          <w:rFonts w:eastAsia="OpenSans" w:cs="Arial"/>
          <w:lang w:eastAsia="en-GB"/>
        </w:rPr>
        <w:t>.</w:t>
      </w:r>
      <w:r>
        <w:rPr>
          <w:rFonts w:eastAsia="OpenSans" w:cs="Arial"/>
          <w:lang w:eastAsia="en-GB"/>
        </w:rPr>
        <w:t xml:space="preserve"> The withholding period of some agrochemicals used in berry production in Australia</w:t>
      </w:r>
      <w:r w:rsidRPr="001B0C66">
        <w:rPr>
          <w:rFonts w:eastAsia="OpenSans" w:cs="Arial"/>
          <w:lang w:eastAsia="en-GB"/>
        </w:rPr>
        <w:t xml:space="preserve"> </w:t>
      </w:r>
      <w:r>
        <w:rPr>
          <w:rFonts w:eastAsia="OpenSans" w:cs="Arial"/>
          <w:lang w:eastAsia="en-GB"/>
        </w:rPr>
        <w:t xml:space="preserve">is very short. For example, blueberries, rubus berries (raspberries) and strawberries can be harvested after three days, one day or immediately (no withholding period), respectively, after treatment with certain fungicides to prevent grey mould </w:t>
      </w:r>
      <w:r w:rsidR="00657FDB">
        <w:rPr>
          <w:rFonts w:eastAsia="OpenSans" w:cs="Arial"/>
          <w:lang w:eastAsia="en-GB"/>
        </w:rPr>
        <w:t>(APVMA 2017; DPIRD WA 2015)</w:t>
      </w:r>
      <w:r>
        <w:rPr>
          <w:rFonts w:eastAsia="OpenSans" w:cs="Arial"/>
          <w:lang w:eastAsia="en-GB"/>
        </w:rPr>
        <w:t>. Under such circumstance, if contaminated water is used to apply agrochemicals then pathogen die-off on the produce surface may not have occurred during the short withholding period.</w:t>
      </w:r>
    </w:p>
    <w:p w14:paraId="162B294D" w14:textId="77777777" w:rsidR="00CA0DEE" w:rsidRPr="00B57215" w:rsidRDefault="00CA0DEE" w:rsidP="00CA0DEE">
      <w:pPr>
        <w:autoSpaceDE w:val="0"/>
        <w:autoSpaceDN w:val="0"/>
        <w:adjustRightInd w:val="0"/>
      </w:pPr>
    </w:p>
    <w:p w14:paraId="10DC29B8" w14:textId="1777787E" w:rsidR="00CA0DEE" w:rsidRPr="00B57215" w:rsidRDefault="00CA0DEE" w:rsidP="00CA0DEE">
      <w:pPr>
        <w:rPr>
          <w:rFonts w:eastAsiaTheme="minorHAnsi" w:cstheme="minorBidi"/>
        </w:rPr>
      </w:pPr>
      <w:r w:rsidRPr="00B57215">
        <w:t xml:space="preserve">STEC and human NoV strains have been detected internationally in irrigation water collected from strawberry farms, while HAV was not detected. </w:t>
      </w:r>
      <w:r w:rsidRPr="00B57215">
        <w:rPr>
          <w:rFonts w:eastAsia="OpenSans" w:cs="Arial"/>
          <w:lang w:eastAsia="en-GB"/>
        </w:rPr>
        <w:t>In a Belgi</w:t>
      </w:r>
      <w:r>
        <w:rPr>
          <w:rFonts w:eastAsia="OpenSans" w:cs="Arial"/>
          <w:lang w:eastAsia="en-GB"/>
        </w:rPr>
        <w:t>an</w:t>
      </w:r>
      <w:r w:rsidRPr="00B57215">
        <w:rPr>
          <w:rFonts w:eastAsia="OpenSans" w:cs="Arial"/>
          <w:lang w:eastAsia="en-GB"/>
        </w:rPr>
        <w:t xml:space="preserve"> study, STEC was detected </w:t>
      </w:r>
      <w:r w:rsidRPr="00B57215">
        <w:rPr>
          <w:rFonts w:cs="Arial"/>
        </w:rPr>
        <w:t xml:space="preserve">(via RT-PCR) </w:t>
      </w:r>
      <w:r w:rsidRPr="00B57215">
        <w:rPr>
          <w:rFonts w:eastAsia="OpenSans" w:cs="Arial"/>
          <w:lang w:eastAsia="en-GB"/>
        </w:rPr>
        <w:t xml:space="preserve">in </w:t>
      </w:r>
      <w:r w:rsidRPr="00B57215">
        <w:rPr>
          <w:rFonts w:cs="Arial"/>
        </w:rPr>
        <w:t xml:space="preserve">11/78 (14.1%) of irrigation water samples (bore water and ponds), with culture isolates (STEC O26) obtained from 2/78 (2.6%) of the irrigation water samples </w:t>
      </w:r>
      <w:r w:rsidR="00657FDB">
        <w:rPr>
          <w:rFonts w:cs="Arial"/>
        </w:rPr>
        <w:t>(Delbeke et al. 2015)</w:t>
      </w:r>
      <w:r w:rsidRPr="00B57215">
        <w:rPr>
          <w:rFonts w:cs="Arial"/>
        </w:rPr>
        <w:t xml:space="preserve">. </w:t>
      </w:r>
      <w:r w:rsidRPr="00B57215">
        <w:t xml:space="preserve">In Norway, </w:t>
      </w:r>
      <w:r w:rsidRPr="00B57215">
        <w:rPr>
          <w:rFonts w:eastAsia="OpenSans" w:cs="Arial"/>
          <w:lang w:eastAsia="en-GB"/>
        </w:rPr>
        <w:t xml:space="preserve">10/16 (62.5%) of irrigation water samples were presumptive positive for STEC (via PCR), but none were culture confirmed. Generic </w:t>
      </w:r>
      <w:r w:rsidRPr="00B57215">
        <w:rPr>
          <w:rFonts w:eastAsia="OpenSans" w:cs="Arial"/>
          <w:i/>
          <w:lang w:eastAsia="en-GB"/>
        </w:rPr>
        <w:t>E. coli</w:t>
      </w:r>
      <w:r w:rsidRPr="00B57215">
        <w:rPr>
          <w:rFonts w:eastAsia="OpenSans" w:cs="Arial"/>
          <w:lang w:eastAsia="en-GB"/>
        </w:rPr>
        <w:t xml:space="preserve"> was detected in all 16 irrigation water samples </w:t>
      </w:r>
      <w:r w:rsidR="00657FDB">
        <w:rPr>
          <w:rFonts w:eastAsia="OpenSans" w:cs="Arial"/>
          <w:lang w:eastAsia="en-GB"/>
        </w:rPr>
        <w:t>(Johannessen et al. 2015)</w:t>
      </w:r>
      <w:r w:rsidRPr="00B57215">
        <w:rPr>
          <w:rFonts w:eastAsia="OpenSans" w:cs="Arial"/>
          <w:lang w:eastAsia="en-GB"/>
        </w:rPr>
        <w:t xml:space="preserve">. NoV was detected in 3/23 (13%) or irrigation </w:t>
      </w:r>
      <w:r>
        <w:rPr>
          <w:rFonts w:eastAsia="OpenSans" w:cs="Arial"/>
          <w:lang w:eastAsia="en-GB"/>
        </w:rPr>
        <w:t>samples collected in the Czech R</w:t>
      </w:r>
      <w:r w:rsidRPr="00B57215">
        <w:rPr>
          <w:rFonts w:eastAsia="OpenSans" w:cs="Arial"/>
          <w:lang w:eastAsia="en-GB"/>
        </w:rPr>
        <w:t xml:space="preserve">epublic, while HAV was not detected in any samples </w:t>
      </w:r>
      <w:r w:rsidR="00657FDB">
        <w:rPr>
          <w:rFonts w:cs="Arial"/>
          <w:lang w:eastAsia="en-GB"/>
        </w:rPr>
        <w:t>(Dziedzinska et al. 2018)</w:t>
      </w:r>
      <w:r w:rsidRPr="00B57215">
        <w:rPr>
          <w:rFonts w:cs="Arial"/>
          <w:lang w:eastAsia="en-GB"/>
        </w:rPr>
        <w:t xml:space="preserve">. In European and South Korean studies NoV GI was not detected (0/56) and detected in 2/3 samples of irrigation water, respectively, and NoV GII was detected in 2.6% (2/56) and 2/3 or irrigation water samples, respectively. HAV was not detected in the irrigation water collected </w:t>
      </w:r>
      <w:r w:rsidR="0083511C">
        <w:rPr>
          <w:rFonts w:cs="Arial"/>
          <w:lang w:eastAsia="en-GB"/>
        </w:rPr>
        <w:t>in the European (0/56) or South </w:t>
      </w:r>
      <w:r w:rsidRPr="00B57215">
        <w:rPr>
          <w:rFonts w:cs="Arial"/>
          <w:lang w:eastAsia="en-GB"/>
        </w:rPr>
        <w:t xml:space="preserve">Korean (0/3) studies </w:t>
      </w:r>
      <w:r w:rsidR="00657FDB">
        <w:rPr>
          <w:rFonts w:cs="Arial"/>
          <w:lang w:eastAsia="en-GB"/>
        </w:rPr>
        <w:t>(Maunula et al. 2013; Shin et al. 2019)</w:t>
      </w:r>
      <w:r w:rsidRPr="00B57215">
        <w:rPr>
          <w:rFonts w:cs="Arial"/>
          <w:lang w:eastAsia="en-GB"/>
        </w:rPr>
        <w:t xml:space="preserve">. </w:t>
      </w:r>
    </w:p>
    <w:p w14:paraId="69393AE7" w14:textId="77777777" w:rsidR="00CA0DEE" w:rsidRDefault="00CA0DEE" w:rsidP="00CA0DEE">
      <w:pPr>
        <w:rPr>
          <w:rFonts w:eastAsia="OpenSans" w:cs="Arial"/>
          <w:lang w:eastAsia="en-GB"/>
        </w:rPr>
      </w:pPr>
    </w:p>
    <w:p w14:paraId="53959F8F" w14:textId="0A44B0A8" w:rsidR="00CA0DEE" w:rsidRPr="003A5D27" w:rsidRDefault="00CA0DEE" w:rsidP="00CA0DEE">
      <w:r w:rsidRPr="00753BE8">
        <w:t xml:space="preserve">Contaminated irrigation water was the suspected source of contamination for some international HAV and NoV outbreaks in berries. </w:t>
      </w:r>
      <w:r>
        <w:t>For example, t</w:t>
      </w:r>
      <w:r w:rsidRPr="00753BE8">
        <w:t xml:space="preserve">he 2002 New Zealand HAV outbreak </w:t>
      </w:r>
      <w:r>
        <w:t xml:space="preserve">associated with raw blueberries was suspected to have been caused by </w:t>
      </w:r>
      <w:r>
        <w:rPr>
          <w:rFonts w:eastAsia="OpenSans" w:cs="Arial"/>
          <w:lang w:eastAsia="en-GB"/>
        </w:rPr>
        <w:t>faecally polluted groundwater or an infected food handler. This was because</w:t>
      </w:r>
      <w:r>
        <w:t xml:space="preserve"> the implicated orchard only had pit latrines and no running water and there had been high rainfall during the harvest season.</w:t>
      </w:r>
      <w:r w:rsidRPr="00C26570">
        <w:rPr>
          <w:rFonts w:eastAsia="OpenSans" w:cs="Arial"/>
          <w:lang w:eastAsia="en-GB"/>
        </w:rPr>
        <w:t xml:space="preserve"> </w:t>
      </w:r>
      <w:r>
        <w:rPr>
          <w:rFonts w:eastAsia="OpenSans" w:cs="Arial"/>
          <w:lang w:eastAsia="en-GB"/>
        </w:rPr>
        <w:t xml:space="preserve">However, ground water samples were not tested for the presence of HAV </w:t>
      </w:r>
      <w:r w:rsidR="00657FDB">
        <w:rPr>
          <w:rFonts w:eastAsia="OpenSans" w:cs="Arial"/>
          <w:lang w:eastAsia="en-GB"/>
        </w:rPr>
        <w:t>(Calder et al. 2007)</w:t>
      </w:r>
      <w:r>
        <w:rPr>
          <w:rFonts w:eastAsia="OpenSans" w:cs="Arial"/>
          <w:lang w:eastAsia="en-GB"/>
        </w:rPr>
        <w:t>. Similarly, the source of contamination of the 2012 German NoV outbreak linked to strawberries</w:t>
      </w:r>
      <w:r w:rsidRPr="00753BE8">
        <w:rPr>
          <w:rFonts w:eastAsia="OpenSans" w:cs="Arial"/>
          <w:lang w:eastAsia="en-GB"/>
        </w:rPr>
        <w:t xml:space="preserve"> </w:t>
      </w:r>
      <w:r>
        <w:rPr>
          <w:rFonts w:eastAsia="OpenSans" w:cs="Arial"/>
          <w:lang w:eastAsia="en-GB"/>
        </w:rPr>
        <w:t xml:space="preserve">was not determined, but was hypothesised to be due to </w:t>
      </w:r>
      <w:r w:rsidRPr="003A5D27">
        <w:rPr>
          <w:rFonts w:eastAsia="OpenSans" w:cs="Arial"/>
          <w:lang w:eastAsia="en-GB"/>
        </w:rPr>
        <w:t xml:space="preserve">contaminated water as several different NoV genotypes were detected in the strawberries </w:t>
      </w:r>
      <w:r w:rsidR="00657FDB" w:rsidRPr="003A5D27">
        <w:rPr>
          <w:rFonts w:eastAsia="OpenSans" w:cs="Arial"/>
          <w:lang w:eastAsia="en-GB"/>
        </w:rPr>
        <w:t>(Bernard et al. 2014)</w:t>
      </w:r>
      <w:r w:rsidRPr="003A5D27">
        <w:rPr>
          <w:rFonts w:eastAsia="OpenSans" w:cs="Arial"/>
          <w:lang w:eastAsia="en-GB"/>
        </w:rPr>
        <w:t>.</w:t>
      </w:r>
    </w:p>
    <w:p w14:paraId="2E172384" w14:textId="77777777" w:rsidR="00CA0DEE" w:rsidRDefault="00CA0DEE" w:rsidP="00CA0DEE">
      <w:pPr>
        <w:rPr>
          <w:rFonts w:eastAsia="OpenSans" w:cs="Arial"/>
          <w:lang w:eastAsia="en-GB"/>
        </w:rPr>
      </w:pPr>
    </w:p>
    <w:p w14:paraId="48BA4E60" w14:textId="2E1AEDC2" w:rsidR="00CA0DEE" w:rsidRPr="00890E02" w:rsidRDefault="00CA0DEE" w:rsidP="00CA0DEE">
      <w:pPr>
        <w:rPr>
          <w:rFonts w:eastAsia="OpenSans" w:cs="Arial"/>
          <w:lang w:eastAsia="en-GB"/>
        </w:rPr>
      </w:pPr>
      <w:r>
        <w:rPr>
          <w:rFonts w:eastAsia="OpenSans" w:cs="Arial"/>
          <w:lang w:eastAsia="en-GB"/>
        </w:rPr>
        <w:t>There is no evidence of pathogen internalisation into berry plants via contaminated water.</w:t>
      </w:r>
    </w:p>
    <w:p w14:paraId="2E5DA765" w14:textId="77777777" w:rsidR="00CA0DEE" w:rsidRDefault="00CA0DEE" w:rsidP="00CA0DEE">
      <w:pPr>
        <w:pStyle w:val="Heading4"/>
        <w:numPr>
          <w:ilvl w:val="3"/>
          <w:numId w:val="11"/>
        </w:numPr>
      </w:pPr>
      <w:r>
        <w:t>Melons</w:t>
      </w:r>
    </w:p>
    <w:p w14:paraId="59EBA475" w14:textId="1AACFF69" w:rsidR="00CA0DEE" w:rsidRPr="00465187" w:rsidRDefault="00CA0DEE" w:rsidP="00CA0DEE">
      <w:pPr>
        <w:pStyle w:val="Default"/>
        <w:rPr>
          <w:color w:val="auto"/>
          <w:sz w:val="22"/>
          <w:szCs w:val="22"/>
        </w:rPr>
      </w:pPr>
      <w:r w:rsidRPr="00465187">
        <w:rPr>
          <w:color w:val="auto"/>
          <w:sz w:val="22"/>
          <w:szCs w:val="22"/>
        </w:rPr>
        <w:t xml:space="preserve">In Australia, different water sources are used for the irrigation of melons with surface water including dams, streams, and rivers the most common. The methods of irrigation also vary across the industry with above surface or sub-surfaces drip irrigation commonly used, and furrow irrigation and overhead sprinklers used less commonly by the industry </w:t>
      </w:r>
      <w:r w:rsidR="00657FDB">
        <w:rPr>
          <w:color w:val="auto"/>
          <w:sz w:val="22"/>
          <w:szCs w:val="22"/>
        </w:rPr>
        <w:t>(NSW DPI 2019)</w:t>
      </w:r>
      <w:r w:rsidRPr="00465187">
        <w:rPr>
          <w:color w:val="auto"/>
          <w:sz w:val="22"/>
          <w:szCs w:val="22"/>
        </w:rPr>
        <w:t>.</w:t>
      </w:r>
    </w:p>
    <w:p w14:paraId="40110361" w14:textId="77777777" w:rsidR="00CA0DEE" w:rsidRPr="00465187" w:rsidRDefault="00CA0DEE" w:rsidP="00CA0DEE">
      <w:pPr>
        <w:pStyle w:val="Default"/>
        <w:rPr>
          <w:color w:val="auto"/>
          <w:sz w:val="22"/>
          <w:szCs w:val="22"/>
        </w:rPr>
      </w:pPr>
    </w:p>
    <w:p w14:paraId="67BB8923" w14:textId="5E62C444" w:rsidR="00CA0DEE" w:rsidRPr="00465187" w:rsidRDefault="00CA0DEE" w:rsidP="00CA0DEE">
      <w:r w:rsidRPr="00465187">
        <w:t>Only limited evidence of environmental testing of water sources</w:t>
      </w:r>
      <w:r w:rsidRPr="00465187">
        <w:rPr>
          <w:rStyle w:val="FootnoteReference"/>
        </w:rPr>
        <w:footnoteReference w:id="19"/>
      </w:r>
      <w:r w:rsidRPr="00465187">
        <w:t xml:space="preserve"> used in Australia for the production of melons was available. </w:t>
      </w:r>
      <w:r w:rsidRPr="00465187">
        <w:rPr>
          <w:i/>
        </w:rPr>
        <w:t xml:space="preserve">Salmonella </w:t>
      </w:r>
      <w:r w:rsidRPr="00465187">
        <w:t>Chester was isolated from a small number of water samples</w:t>
      </w:r>
      <w:r>
        <w:t>,</w:t>
      </w:r>
      <w:r w:rsidRPr="00465187">
        <w:t xml:space="preserve"> 11.8% (2/17)</w:t>
      </w:r>
      <w:r>
        <w:t>,</w:t>
      </w:r>
      <w:r w:rsidRPr="00465187">
        <w:t xml:space="preserve"> taken from untreated irrigation channel water destined to be treated and used in the production of Australian melons. In contrast, </w:t>
      </w:r>
      <w:r w:rsidRPr="00465187">
        <w:rPr>
          <w:i/>
        </w:rPr>
        <w:t xml:space="preserve">L. monocytogenes </w:t>
      </w:r>
      <w:r w:rsidRPr="00465187">
        <w:t xml:space="preserve">was not isolated from the same agricultural water samples </w:t>
      </w:r>
      <w:r w:rsidR="00657FDB">
        <w:t>(NSW DPI 2020)</w:t>
      </w:r>
      <w:r w:rsidRPr="00465187">
        <w:t xml:space="preserve">. </w:t>
      </w:r>
    </w:p>
    <w:p w14:paraId="2088E8F2" w14:textId="77777777" w:rsidR="00CA0DEE" w:rsidRPr="00465187" w:rsidRDefault="00CA0DEE" w:rsidP="00CA0DEE">
      <w:pPr>
        <w:pStyle w:val="Default"/>
        <w:rPr>
          <w:color w:val="auto"/>
          <w:sz w:val="22"/>
          <w:szCs w:val="22"/>
        </w:rPr>
      </w:pPr>
    </w:p>
    <w:p w14:paraId="3F5D4E9A" w14:textId="7A0E0648" w:rsidR="00CA0DEE" w:rsidRPr="00465187" w:rsidRDefault="00CA0DEE" w:rsidP="00CA0DEE">
      <w:pPr>
        <w:pStyle w:val="Default"/>
        <w:rPr>
          <w:color w:val="auto"/>
          <w:sz w:val="22"/>
          <w:szCs w:val="22"/>
        </w:rPr>
      </w:pPr>
      <w:r w:rsidRPr="00465187">
        <w:rPr>
          <w:color w:val="auto"/>
          <w:sz w:val="22"/>
          <w:szCs w:val="22"/>
        </w:rPr>
        <w:t xml:space="preserve">There is international evidence that various water sources used for rockmelon irrigation can be contaminated with </w:t>
      </w:r>
      <w:r w:rsidRPr="00465187">
        <w:rPr>
          <w:i/>
          <w:color w:val="auto"/>
          <w:sz w:val="22"/>
          <w:szCs w:val="22"/>
        </w:rPr>
        <w:t>Salmonella</w:t>
      </w:r>
      <w:r>
        <w:rPr>
          <w:i/>
          <w:color w:val="auto"/>
          <w:sz w:val="22"/>
          <w:szCs w:val="22"/>
        </w:rPr>
        <w:t xml:space="preserve"> </w:t>
      </w:r>
      <w:r>
        <w:rPr>
          <w:color w:val="auto"/>
          <w:sz w:val="22"/>
          <w:szCs w:val="22"/>
        </w:rPr>
        <w:t>spp</w:t>
      </w:r>
      <w:r w:rsidRPr="00465187">
        <w:rPr>
          <w:color w:val="auto"/>
          <w:sz w:val="22"/>
          <w:szCs w:val="22"/>
        </w:rPr>
        <w:t xml:space="preserve">. </w:t>
      </w:r>
      <w:r w:rsidRPr="00465187">
        <w:rPr>
          <w:i/>
          <w:color w:val="auto"/>
          <w:sz w:val="22"/>
          <w:szCs w:val="22"/>
        </w:rPr>
        <w:t xml:space="preserve">Salmonella </w:t>
      </w:r>
      <w:r>
        <w:rPr>
          <w:color w:val="auto"/>
          <w:sz w:val="22"/>
          <w:szCs w:val="22"/>
        </w:rPr>
        <w:t xml:space="preserve">spp. </w:t>
      </w:r>
      <w:r w:rsidRPr="00465187">
        <w:rPr>
          <w:color w:val="auto"/>
          <w:sz w:val="22"/>
          <w:szCs w:val="22"/>
        </w:rPr>
        <w:t xml:space="preserve">were detected in 4/17 (23.5%) irrigation water samples taken from drippers and furrows and 1/11 (9.1%) ground water samples taken after filtration from Mexican rockmelon farms </w:t>
      </w:r>
      <w:r w:rsidR="00657FDB">
        <w:rPr>
          <w:color w:val="auto"/>
          <w:sz w:val="22"/>
          <w:szCs w:val="22"/>
        </w:rPr>
        <w:t>(Espinoza-Medina et al. 2006)</w:t>
      </w:r>
      <w:r w:rsidRPr="00465187">
        <w:rPr>
          <w:color w:val="auto"/>
          <w:sz w:val="22"/>
          <w:szCs w:val="22"/>
        </w:rPr>
        <w:t xml:space="preserve">. </w:t>
      </w:r>
      <w:r w:rsidRPr="00465187">
        <w:rPr>
          <w:i/>
          <w:color w:val="auto"/>
          <w:sz w:val="22"/>
          <w:szCs w:val="22"/>
        </w:rPr>
        <w:t xml:space="preserve">Salmonella </w:t>
      </w:r>
      <w:r>
        <w:rPr>
          <w:color w:val="auto"/>
          <w:sz w:val="22"/>
          <w:szCs w:val="22"/>
        </w:rPr>
        <w:t xml:space="preserve">spp. </w:t>
      </w:r>
      <w:r w:rsidRPr="00465187">
        <w:rPr>
          <w:color w:val="auto"/>
          <w:sz w:val="22"/>
          <w:szCs w:val="22"/>
        </w:rPr>
        <w:t>have been isolated from water samples on US melons farms taken from 9/70 (12.8%) irrigation water source samples (including river</w:t>
      </w:r>
      <w:r w:rsidR="0083511C">
        <w:rPr>
          <w:color w:val="auto"/>
          <w:sz w:val="22"/>
          <w:szCs w:val="22"/>
        </w:rPr>
        <w:t>, aquifer or underground), 1/15 </w:t>
      </w:r>
      <w:r w:rsidRPr="00465187">
        <w:rPr>
          <w:color w:val="auto"/>
          <w:sz w:val="22"/>
          <w:szCs w:val="22"/>
        </w:rPr>
        <w:t xml:space="preserve">(6.7%) tank water samples, 2/25 (8.0%) irrigation water samples delivered in the field by drip or irrigation channel, and from water from a pipe used to deliver irrigation water to the field </w:t>
      </w:r>
      <w:r w:rsidR="00657FDB">
        <w:rPr>
          <w:color w:val="auto"/>
          <w:sz w:val="22"/>
          <w:szCs w:val="22"/>
        </w:rPr>
        <w:t>(Castillo et al. 2004)</w:t>
      </w:r>
      <w:r w:rsidRPr="00465187">
        <w:rPr>
          <w:color w:val="auto"/>
          <w:sz w:val="22"/>
          <w:szCs w:val="22"/>
        </w:rPr>
        <w:t xml:space="preserve">. These isolates included </w:t>
      </w:r>
      <w:r w:rsidRPr="00465187">
        <w:rPr>
          <w:i/>
          <w:color w:val="auto"/>
          <w:sz w:val="22"/>
          <w:szCs w:val="22"/>
        </w:rPr>
        <w:t xml:space="preserve">Salmonella </w:t>
      </w:r>
      <w:r w:rsidRPr="00465187">
        <w:rPr>
          <w:color w:val="auto"/>
          <w:sz w:val="22"/>
          <w:szCs w:val="22"/>
        </w:rPr>
        <w:t xml:space="preserve">serovars linked to three large outbreaks associated with melons in the US. </w:t>
      </w:r>
      <w:r w:rsidRPr="00465187">
        <w:rPr>
          <w:i/>
          <w:color w:val="auto"/>
          <w:sz w:val="22"/>
          <w:szCs w:val="22"/>
        </w:rPr>
        <w:t>Salmonella</w:t>
      </w:r>
      <w:r w:rsidRPr="00465187">
        <w:rPr>
          <w:color w:val="auto"/>
          <w:sz w:val="22"/>
          <w:szCs w:val="22"/>
        </w:rPr>
        <w:t xml:space="preserve"> </w:t>
      </w:r>
      <w:r>
        <w:rPr>
          <w:color w:val="auto"/>
          <w:sz w:val="22"/>
          <w:szCs w:val="22"/>
        </w:rPr>
        <w:t>spp. were</w:t>
      </w:r>
      <w:r w:rsidR="0083511C">
        <w:rPr>
          <w:color w:val="auto"/>
          <w:sz w:val="22"/>
          <w:szCs w:val="22"/>
        </w:rPr>
        <w:t xml:space="preserve"> also isolated from 4/15 </w:t>
      </w:r>
      <w:r w:rsidRPr="00465187">
        <w:rPr>
          <w:color w:val="auto"/>
          <w:sz w:val="22"/>
          <w:szCs w:val="22"/>
        </w:rPr>
        <w:t xml:space="preserve">(26.7%) water source samples including well, canal, or dam water, and 1/15 (6.7%) irrigation water samples delivered in the field by drip or irrigation channels in Mexican melon fields </w:t>
      </w:r>
      <w:r w:rsidR="00657FDB">
        <w:rPr>
          <w:color w:val="auto"/>
          <w:sz w:val="22"/>
          <w:szCs w:val="22"/>
        </w:rPr>
        <w:t>(Castillo et al. 2004)</w:t>
      </w:r>
      <w:r w:rsidRPr="00465187">
        <w:rPr>
          <w:color w:val="auto"/>
          <w:sz w:val="22"/>
          <w:szCs w:val="22"/>
        </w:rPr>
        <w:t xml:space="preserve">. 25% (3/12) </w:t>
      </w:r>
      <w:r>
        <w:rPr>
          <w:color w:val="auto"/>
          <w:sz w:val="22"/>
          <w:szCs w:val="22"/>
        </w:rPr>
        <w:t xml:space="preserve">of </w:t>
      </w:r>
      <w:r w:rsidRPr="00465187">
        <w:rPr>
          <w:color w:val="auto"/>
          <w:sz w:val="22"/>
          <w:szCs w:val="22"/>
        </w:rPr>
        <w:t xml:space="preserve">water samples taken from US melon fields were positive for </w:t>
      </w:r>
      <w:r w:rsidRPr="00465187">
        <w:rPr>
          <w:i/>
          <w:color w:val="auto"/>
          <w:sz w:val="22"/>
          <w:szCs w:val="22"/>
        </w:rPr>
        <w:t xml:space="preserve">Salmonella </w:t>
      </w:r>
      <w:r>
        <w:rPr>
          <w:color w:val="auto"/>
          <w:sz w:val="22"/>
          <w:szCs w:val="22"/>
        </w:rPr>
        <w:t xml:space="preserve">spp. </w:t>
      </w:r>
      <w:r w:rsidRPr="00465187">
        <w:rPr>
          <w:color w:val="auto"/>
          <w:sz w:val="22"/>
          <w:szCs w:val="22"/>
        </w:rPr>
        <w:t xml:space="preserve">but not for </w:t>
      </w:r>
      <w:r w:rsidRPr="00465187">
        <w:rPr>
          <w:i/>
          <w:color w:val="auto"/>
          <w:sz w:val="22"/>
          <w:szCs w:val="22"/>
        </w:rPr>
        <w:t>L. monocytogenes</w:t>
      </w:r>
      <w:r w:rsidRPr="00465187">
        <w:rPr>
          <w:color w:val="auto"/>
          <w:sz w:val="22"/>
          <w:szCs w:val="22"/>
        </w:rPr>
        <w:t xml:space="preserve"> </w:t>
      </w:r>
      <w:r w:rsidR="00657FDB">
        <w:rPr>
          <w:color w:val="auto"/>
          <w:sz w:val="22"/>
          <w:szCs w:val="22"/>
        </w:rPr>
        <w:t>(Dev Kumar et al. 2015)</w:t>
      </w:r>
      <w:r w:rsidRPr="00465187">
        <w:rPr>
          <w:color w:val="auto"/>
          <w:sz w:val="22"/>
          <w:szCs w:val="22"/>
        </w:rPr>
        <w:t xml:space="preserve">. </w:t>
      </w:r>
    </w:p>
    <w:p w14:paraId="254661DD" w14:textId="77777777" w:rsidR="00705359" w:rsidRPr="00465187" w:rsidRDefault="00705359" w:rsidP="00705359">
      <w:pPr>
        <w:pStyle w:val="Default"/>
        <w:rPr>
          <w:color w:val="auto"/>
          <w:sz w:val="22"/>
          <w:szCs w:val="22"/>
        </w:rPr>
      </w:pPr>
    </w:p>
    <w:p w14:paraId="1F4A1E32" w14:textId="161CDA19" w:rsidR="00CA0DEE" w:rsidRPr="00465187" w:rsidRDefault="00CA0DEE" w:rsidP="00CA0DEE">
      <w:pPr>
        <w:pStyle w:val="Default"/>
        <w:rPr>
          <w:i/>
          <w:color w:val="auto"/>
          <w:sz w:val="22"/>
          <w:szCs w:val="22"/>
        </w:rPr>
      </w:pPr>
      <w:r w:rsidRPr="00465187">
        <w:rPr>
          <w:i/>
          <w:color w:val="auto"/>
          <w:sz w:val="22"/>
          <w:szCs w:val="22"/>
        </w:rPr>
        <w:t xml:space="preserve">L. monocytogenes </w:t>
      </w:r>
      <w:r w:rsidRPr="00465187">
        <w:rPr>
          <w:color w:val="auto"/>
          <w:sz w:val="22"/>
          <w:szCs w:val="22"/>
        </w:rPr>
        <w:t xml:space="preserve">was not isolated from irrigation water samples taken from rockmelon farms in Korea (0/6 samples) </w:t>
      </w:r>
      <w:r w:rsidR="00657FDB">
        <w:rPr>
          <w:color w:val="auto"/>
          <w:sz w:val="22"/>
          <w:szCs w:val="22"/>
        </w:rPr>
        <w:t>(Park et al. 2013a)</w:t>
      </w:r>
      <w:r w:rsidRPr="00465187">
        <w:rPr>
          <w:color w:val="auto"/>
          <w:sz w:val="22"/>
          <w:szCs w:val="22"/>
        </w:rPr>
        <w:t xml:space="preserve">, Mexico (0/38 samples) </w:t>
      </w:r>
      <w:r w:rsidR="00657FDB">
        <w:rPr>
          <w:color w:val="auto"/>
          <w:sz w:val="22"/>
          <w:szCs w:val="22"/>
        </w:rPr>
        <w:t>(Heredia et al. 2016)</w:t>
      </w:r>
      <w:r w:rsidRPr="00465187">
        <w:rPr>
          <w:color w:val="auto"/>
          <w:sz w:val="22"/>
          <w:szCs w:val="22"/>
        </w:rPr>
        <w:t xml:space="preserve">, or the US (0/12 samples) </w:t>
      </w:r>
      <w:r w:rsidR="00657FDB">
        <w:rPr>
          <w:color w:val="auto"/>
          <w:sz w:val="22"/>
          <w:szCs w:val="22"/>
        </w:rPr>
        <w:t>(Dev Kumar et al. 2015)</w:t>
      </w:r>
      <w:r w:rsidRPr="00465187">
        <w:rPr>
          <w:color w:val="auto"/>
          <w:sz w:val="22"/>
          <w:szCs w:val="22"/>
        </w:rPr>
        <w:t>.</w:t>
      </w:r>
    </w:p>
    <w:p w14:paraId="797531B6" w14:textId="77777777" w:rsidR="00CA0DEE" w:rsidRPr="00465187" w:rsidRDefault="00CA0DEE" w:rsidP="00CA0DEE"/>
    <w:p w14:paraId="2001133F" w14:textId="1D6599B4" w:rsidR="00CA0DEE" w:rsidRDefault="00CA0DEE" w:rsidP="00CA0DEE">
      <w:pPr>
        <w:pStyle w:val="Default"/>
        <w:rPr>
          <w:color w:val="auto"/>
          <w:sz w:val="22"/>
          <w:szCs w:val="22"/>
        </w:rPr>
      </w:pPr>
      <w:r w:rsidRPr="00465187">
        <w:rPr>
          <w:color w:val="auto"/>
          <w:sz w:val="22"/>
          <w:szCs w:val="22"/>
        </w:rPr>
        <w:t xml:space="preserve">There is evidence that </w:t>
      </w:r>
      <w:r w:rsidRPr="00465187">
        <w:rPr>
          <w:i/>
          <w:color w:val="auto"/>
          <w:sz w:val="22"/>
          <w:szCs w:val="22"/>
        </w:rPr>
        <w:t>Salmonella</w:t>
      </w:r>
      <w:r w:rsidRPr="00465187">
        <w:rPr>
          <w:color w:val="auto"/>
          <w:sz w:val="22"/>
          <w:szCs w:val="22"/>
        </w:rPr>
        <w:t xml:space="preserve"> contaminated water can be a source of exposure to vines, fruit rind, and roots of melon plants, but internalisation via the roots to the internal flesh of rockmelons has not been observed. An attenuated </w:t>
      </w:r>
      <w:r w:rsidRPr="00465187">
        <w:rPr>
          <w:i/>
          <w:color w:val="auto"/>
          <w:sz w:val="22"/>
          <w:szCs w:val="22"/>
        </w:rPr>
        <w:t>Salmonella</w:t>
      </w:r>
      <w:r w:rsidRPr="00465187">
        <w:rPr>
          <w:color w:val="auto"/>
          <w:sz w:val="22"/>
          <w:szCs w:val="22"/>
        </w:rPr>
        <w:t xml:space="preserve"> Typhimurium strain was applied via either furrow irrigation </w:t>
      </w:r>
      <w:r>
        <w:rPr>
          <w:color w:val="auto"/>
          <w:sz w:val="22"/>
          <w:szCs w:val="22"/>
        </w:rPr>
        <w:t>(2.12-</w:t>
      </w:r>
      <w:r w:rsidRPr="00465187">
        <w:rPr>
          <w:color w:val="auto"/>
          <w:sz w:val="22"/>
          <w:szCs w:val="22"/>
        </w:rPr>
        <w:t>3.01 Log CFU/mL) or subsurface drip irrigation (</w:t>
      </w:r>
      <w:r>
        <w:rPr>
          <w:color w:val="auto"/>
          <w:sz w:val="22"/>
          <w:szCs w:val="22"/>
        </w:rPr>
        <w:t>4.17-</w:t>
      </w:r>
      <w:r w:rsidRPr="00465187">
        <w:rPr>
          <w:color w:val="auto"/>
          <w:sz w:val="22"/>
          <w:szCs w:val="22"/>
        </w:rPr>
        <w:t xml:space="preserve">5.89 Log CFU/mL) to rockmelon and honeydew plants at the initial flowering stage. The use of contaminated water for furrow irrigation lead to contaminated soil in furrows and the edge of beds, but not in the centre beds or around the root zone of melon plants. The authors concluded this was due to a lack of lateral transfer of </w:t>
      </w:r>
      <w:r w:rsidRPr="00465187">
        <w:rPr>
          <w:i/>
          <w:color w:val="auto"/>
          <w:sz w:val="22"/>
          <w:szCs w:val="22"/>
        </w:rPr>
        <w:t>Salmonella</w:t>
      </w:r>
      <w:r w:rsidRPr="00465187">
        <w:rPr>
          <w:color w:val="auto"/>
          <w:sz w:val="22"/>
          <w:szCs w:val="22"/>
        </w:rPr>
        <w:t xml:space="preserve"> through the soil profile. However, </w:t>
      </w:r>
      <w:r w:rsidRPr="00465187">
        <w:rPr>
          <w:i/>
          <w:color w:val="auto"/>
          <w:sz w:val="22"/>
          <w:szCs w:val="22"/>
        </w:rPr>
        <w:t>Salmonella</w:t>
      </w:r>
      <w:r w:rsidRPr="00465187">
        <w:rPr>
          <w:color w:val="auto"/>
          <w:sz w:val="22"/>
          <w:szCs w:val="22"/>
        </w:rPr>
        <w:t xml:space="preserve"> was detected in the rhizosphere and soil near the roots of drip irrigated plants. Despite high recovery in the rhizosphere following irrigation with contaminated water, internalisation of </w:t>
      </w:r>
      <w:r w:rsidRPr="00465187">
        <w:rPr>
          <w:i/>
          <w:color w:val="auto"/>
          <w:sz w:val="22"/>
          <w:szCs w:val="22"/>
        </w:rPr>
        <w:t>Salmonella</w:t>
      </w:r>
      <w:r w:rsidRPr="00465187">
        <w:rPr>
          <w:color w:val="auto"/>
          <w:sz w:val="22"/>
          <w:szCs w:val="22"/>
        </w:rPr>
        <w:t xml:space="preserve"> in mature harvested melons was not detected in the study (</w:t>
      </w:r>
      <w:r w:rsidR="0083511C">
        <w:rPr>
          <w:color w:val="auto"/>
          <w:sz w:val="22"/>
          <w:szCs w:val="22"/>
        </w:rPr>
        <w:t>n=</w:t>
      </w:r>
      <w:r w:rsidRPr="0065173A">
        <w:rPr>
          <w:color w:val="auto"/>
          <w:sz w:val="22"/>
          <w:szCs w:val="22"/>
        </w:rPr>
        <w:t xml:space="preserve">485 </w:t>
      </w:r>
      <w:r w:rsidRPr="00465187">
        <w:rPr>
          <w:color w:val="auto"/>
          <w:sz w:val="22"/>
          <w:szCs w:val="22"/>
        </w:rPr>
        <w:t xml:space="preserve">melons). Conversely, contamination by </w:t>
      </w:r>
      <w:r w:rsidRPr="00465187">
        <w:rPr>
          <w:i/>
          <w:color w:val="auto"/>
          <w:sz w:val="22"/>
          <w:szCs w:val="22"/>
        </w:rPr>
        <w:t xml:space="preserve">Salmonella </w:t>
      </w:r>
      <w:r w:rsidRPr="00465187">
        <w:rPr>
          <w:color w:val="auto"/>
          <w:sz w:val="22"/>
          <w:szCs w:val="22"/>
        </w:rPr>
        <w:t xml:space="preserve">was detected on the rind of fruit that developed in contact with the soil of furrow irrigated melons at 41 days post inoculation. However, the rind of drip irrigated melons was not tested. The authors concluded that this evidence suggests it is unlikely that contaminated irrigation water will lead to internalisation by </w:t>
      </w:r>
      <w:r w:rsidRPr="00465187">
        <w:rPr>
          <w:i/>
          <w:color w:val="auto"/>
          <w:sz w:val="22"/>
          <w:szCs w:val="22"/>
        </w:rPr>
        <w:t>Salmonella</w:t>
      </w:r>
      <w:r w:rsidRPr="00465187">
        <w:rPr>
          <w:color w:val="auto"/>
          <w:sz w:val="22"/>
          <w:szCs w:val="22"/>
        </w:rPr>
        <w:t xml:space="preserve"> into the fruit due to a lack of evidence of long range transport from root to fruit</w:t>
      </w:r>
      <w:r>
        <w:rPr>
          <w:color w:val="auto"/>
          <w:sz w:val="22"/>
          <w:szCs w:val="22"/>
        </w:rPr>
        <w:t>,</w:t>
      </w:r>
      <w:r w:rsidRPr="00465187">
        <w:rPr>
          <w:color w:val="auto"/>
          <w:sz w:val="22"/>
          <w:szCs w:val="22"/>
        </w:rPr>
        <w:t xml:space="preserve"> but transfer to the rind via contact with soil or splash transfer is a concern (Lopez-Velasco et al. 2012).</w:t>
      </w:r>
    </w:p>
    <w:p w14:paraId="5DC66049" w14:textId="77777777" w:rsidR="00D11B9D" w:rsidRPr="00465187" w:rsidRDefault="00D11B9D" w:rsidP="00CA0DEE">
      <w:pPr>
        <w:pStyle w:val="Default"/>
        <w:rPr>
          <w:color w:val="auto"/>
          <w:sz w:val="22"/>
          <w:szCs w:val="22"/>
        </w:rPr>
      </w:pPr>
    </w:p>
    <w:p w14:paraId="57DD981B" w14:textId="5B972D85" w:rsidR="00CA0DEE" w:rsidRPr="002340B4" w:rsidRDefault="00CA0DEE" w:rsidP="00CA0DEE">
      <w:pPr>
        <w:pStyle w:val="Default"/>
        <w:rPr>
          <w:color w:val="auto"/>
          <w:sz w:val="22"/>
          <w:szCs w:val="22"/>
        </w:rPr>
      </w:pPr>
      <w:r w:rsidRPr="00465187">
        <w:rPr>
          <w:color w:val="auto"/>
          <w:sz w:val="22"/>
          <w:szCs w:val="22"/>
        </w:rPr>
        <w:t xml:space="preserve">Outbreak investigations in Australia detected a variety of </w:t>
      </w:r>
      <w:r w:rsidRPr="00465187">
        <w:rPr>
          <w:i/>
          <w:color w:val="auto"/>
          <w:sz w:val="22"/>
          <w:szCs w:val="22"/>
        </w:rPr>
        <w:t xml:space="preserve">Salmonella </w:t>
      </w:r>
      <w:r w:rsidRPr="00465187">
        <w:rPr>
          <w:color w:val="auto"/>
          <w:sz w:val="22"/>
          <w:szCs w:val="22"/>
        </w:rPr>
        <w:t xml:space="preserve">serovars in agricultural water sources following the 2006 multi-state outbreak of </w:t>
      </w:r>
      <w:r w:rsidRPr="00465187">
        <w:rPr>
          <w:i/>
          <w:color w:val="auto"/>
          <w:sz w:val="22"/>
          <w:szCs w:val="22"/>
        </w:rPr>
        <w:t>Salmonella enterica</w:t>
      </w:r>
      <w:r w:rsidRPr="00465187">
        <w:rPr>
          <w:color w:val="auto"/>
          <w:sz w:val="22"/>
          <w:szCs w:val="22"/>
        </w:rPr>
        <w:t xml:space="preserve"> serovar Saintpaul associated with the consumption of rockmelon </w:t>
      </w:r>
      <w:r w:rsidR="00657FDB" w:rsidRPr="00657FDB">
        <w:rPr>
          <w:color w:val="auto"/>
          <w:sz w:val="22"/>
          <w:szCs w:val="22"/>
        </w:rPr>
        <w:t>(Munnoch et al. 2009)</w:t>
      </w:r>
      <w:r w:rsidRPr="00465187">
        <w:rPr>
          <w:color w:val="auto"/>
          <w:sz w:val="22"/>
          <w:szCs w:val="22"/>
        </w:rPr>
        <w:t xml:space="preserve">. Although the outbreak strain was not isolated from water sources, </w:t>
      </w:r>
      <w:r w:rsidRPr="00465187">
        <w:rPr>
          <w:i/>
          <w:color w:val="auto"/>
          <w:sz w:val="22"/>
          <w:szCs w:val="22"/>
        </w:rPr>
        <w:t xml:space="preserve">Salmonella </w:t>
      </w:r>
      <w:r w:rsidRPr="00465187">
        <w:rPr>
          <w:color w:val="auto"/>
          <w:sz w:val="22"/>
          <w:szCs w:val="22"/>
        </w:rPr>
        <w:t xml:space="preserve">spp. were detected in bore, channel, and river water samples, and the use of untreated water to irrigate and wash melons were identified as important risk factor for contamination in both jurisdictions. </w:t>
      </w:r>
    </w:p>
    <w:p w14:paraId="6B212FC7" w14:textId="77777777" w:rsidR="00CA0DEE" w:rsidRDefault="00CA0DEE" w:rsidP="00787E56">
      <w:pPr>
        <w:pStyle w:val="Heading3"/>
        <w:numPr>
          <w:ilvl w:val="2"/>
          <w:numId w:val="11"/>
        </w:numPr>
      </w:pPr>
      <w:bookmarkStart w:id="298" w:name="_Toc56693450"/>
      <w:bookmarkStart w:id="299" w:name="_Toc58327803"/>
      <w:bookmarkStart w:id="300" w:name="_Toc58333983"/>
      <w:bookmarkStart w:id="301" w:name="_Toc64448790"/>
      <w:bookmarkStart w:id="302" w:name="_Toc87860051"/>
      <w:r>
        <w:t>Conclusions, uncertainty, and data gaps</w:t>
      </w:r>
      <w:bookmarkEnd w:id="298"/>
      <w:bookmarkEnd w:id="299"/>
      <w:bookmarkEnd w:id="300"/>
      <w:bookmarkEnd w:id="301"/>
      <w:bookmarkEnd w:id="302"/>
    </w:p>
    <w:p w14:paraId="7332DBAD" w14:textId="77777777" w:rsidR="00CA0DEE" w:rsidRPr="002340B4" w:rsidRDefault="00CA0DEE" w:rsidP="00CA0DEE">
      <w:r w:rsidRPr="00F2204C">
        <w:rPr>
          <w:i/>
          <w:lang w:eastAsia="en-AU" w:bidi="ar-SA"/>
        </w:rPr>
        <w:t>The use of contaminated water for irrigation or the application of agricultural chemicals is a risk factor that applies broadly to all commodities</w:t>
      </w:r>
      <w:r w:rsidRPr="006548BC">
        <w:rPr>
          <w:lang w:eastAsia="en-AU" w:bidi="ar-SA"/>
        </w:rPr>
        <w:t>.</w:t>
      </w:r>
      <w:r w:rsidRPr="002340B4">
        <w:rPr>
          <w:lang w:eastAsia="en-AU" w:bidi="ar-SA"/>
        </w:rPr>
        <w:t xml:space="preserve"> There is a low level of uncertainty and high level of confidence in this conclusion</w:t>
      </w:r>
      <w:r>
        <w:rPr>
          <w:lang w:eastAsia="en-AU" w:bidi="ar-SA"/>
        </w:rPr>
        <w:t>,</w:t>
      </w:r>
      <w:r w:rsidRPr="002340B4">
        <w:rPr>
          <w:lang w:eastAsia="en-AU" w:bidi="ar-SA"/>
        </w:rPr>
        <w:t xml:space="preserve"> based on the general evidence for the presence and persistence of pathogens in water sources, and the available evidence for leafy vegetables, berries, and melons. For viral pathogens, the </w:t>
      </w:r>
      <w:r w:rsidRPr="002340B4">
        <w:t>use of sewage-co</w:t>
      </w:r>
      <w:r>
        <w:t>ntaminated water for irrigation</w:t>
      </w:r>
      <w:r w:rsidRPr="002340B4">
        <w:t xml:space="preserve"> </w:t>
      </w:r>
      <w:r>
        <w:t>or</w:t>
      </w:r>
      <w:r w:rsidRPr="002340B4">
        <w:t xml:space="preserve"> the application of agricultural chemicals are risk factors that apply to all commodities.</w:t>
      </w:r>
    </w:p>
    <w:p w14:paraId="01227BC1" w14:textId="77777777" w:rsidR="00CA0DEE" w:rsidRDefault="00CA0DEE" w:rsidP="00CA0DEE">
      <w:pPr>
        <w:rPr>
          <w:lang w:eastAsia="en-AU" w:bidi="ar-SA"/>
        </w:rPr>
      </w:pPr>
    </w:p>
    <w:p w14:paraId="22F250FD" w14:textId="77777777" w:rsidR="00CA0DEE" w:rsidRPr="002340B4" w:rsidRDefault="00CA0DEE" w:rsidP="00CA0DEE">
      <w:pPr>
        <w:rPr>
          <w:lang w:eastAsia="en-AU"/>
        </w:rPr>
      </w:pPr>
      <w:r w:rsidRPr="00F2204C">
        <w:rPr>
          <w:i/>
          <w:lang w:eastAsia="en-AU"/>
        </w:rPr>
        <w:t>Water contacting the edible parts of plants due to irrigation or agrochemical use close to harvest is considered to present an increased risk of contamination for all commodities.</w:t>
      </w:r>
      <w:r w:rsidRPr="0064726A">
        <w:rPr>
          <w:b/>
          <w:lang w:eastAsia="en-AU"/>
        </w:rPr>
        <w:t xml:space="preserve"> </w:t>
      </w:r>
      <w:r w:rsidRPr="002340B4">
        <w:rPr>
          <w:lang w:eastAsia="en-AU"/>
        </w:rPr>
        <w:t>There is a low level of uncertainty and high level of confidence in this conclusion</w:t>
      </w:r>
      <w:r>
        <w:rPr>
          <w:lang w:eastAsia="en-AU"/>
        </w:rPr>
        <w:t>,</w:t>
      </w:r>
      <w:r w:rsidRPr="002340B4">
        <w:rPr>
          <w:lang w:eastAsia="en-AU"/>
        </w:rPr>
        <w:t xml:space="preserve"> based on the general evidence for the presence and persistence of pathogens in water sources, and the available evidence for leafy vegetables, berries, and melons. The transfer of pathogens contaminating irrigation water to the surface of leafy vegetables is well documented in the literature above, while only limited studies were available for rockmelons. Data for watermelons and all berry commodities are lacking. Therefore, while the use of contaminated water is a major risk factor for all of these commodities, there is considerable uncertainty regarding any variation in the density, persistence, or decline of pathogens on the surface of produce </w:t>
      </w:r>
      <w:r>
        <w:rPr>
          <w:lang w:eastAsia="en-AU"/>
        </w:rPr>
        <w:t xml:space="preserve">for all commodities </w:t>
      </w:r>
      <w:r w:rsidRPr="002340B4">
        <w:rPr>
          <w:lang w:eastAsia="en-AU"/>
        </w:rPr>
        <w:t>in the field associated with the use of contaminated water</w:t>
      </w:r>
      <w:r>
        <w:rPr>
          <w:lang w:eastAsia="en-AU"/>
        </w:rPr>
        <w:t>.</w:t>
      </w:r>
    </w:p>
    <w:p w14:paraId="4519C464" w14:textId="77777777" w:rsidR="00CA0DEE" w:rsidRDefault="00CA0DEE" w:rsidP="00CA0DEE">
      <w:pPr>
        <w:rPr>
          <w:b/>
          <w:lang w:eastAsia="en-AU"/>
        </w:rPr>
      </w:pPr>
    </w:p>
    <w:p w14:paraId="08900470" w14:textId="77777777" w:rsidR="00CA0DEE" w:rsidRDefault="00CA0DEE" w:rsidP="00CA0DEE">
      <w:pPr>
        <w:rPr>
          <w:lang w:eastAsia="en-AU"/>
        </w:rPr>
      </w:pPr>
      <w:r w:rsidRPr="00F2204C">
        <w:rPr>
          <w:i/>
          <w:lang w:eastAsia="en-AU"/>
        </w:rPr>
        <w:t>The application of water via drip as opposed to overhead irrigation is generally considered to reduce the likelihood of contamination of the edible portions of all commodities</w:t>
      </w:r>
      <w:r w:rsidRPr="006548BC">
        <w:rPr>
          <w:lang w:eastAsia="en-AU"/>
        </w:rPr>
        <w:t>.</w:t>
      </w:r>
      <w:r w:rsidRPr="002340B4">
        <w:rPr>
          <w:lang w:eastAsia="en-AU"/>
        </w:rPr>
        <w:t xml:space="preserve"> There is a low level of uncertainty and high level of confidence in this conclusion based on the evidence available. </w:t>
      </w:r>
      <w:r>
        <w:rPr>
          <w:lang w:eastAsia="en-AU"/>
        </w:rPr>
        <w:t>C</w:t>
      </w:r>
      <w:r w:rsidRPr="002340B4">
        <w:rPr>
          <w:lang w:eastAsia="en-AU"/>
        </w:rPr>
        <w:t xml:space="preserve">ontaminated water applied by either method can still contaminate the </w:t>
      </w:r>
      <w:r>
        <w:rPr>
          <w:lang w:eastAsia="en-AU"/>
        </w:rPr>
        <w:t xml:space="preserve">soil. As described </w:t>
      </w:r>
      <w:r w:rsidRPr="00315A16">
        <w:rPr>
          <w:lang w:eastAsia="en-AU"/>
        </w:rPr>
        <w:t>above in Section 9.5, pathogens can</w:t>
      </w:r>
      <w:r>
        <w:rPr>
          <w:lang w:eastAsia="en-AU"/>
        </w:rPr>
        <w:t xml:space="preserve"> persist for extended periods of time in soil</w:t>
      </w:r>
      <w:r w:rsidRPr="00336439">
        <w:rPr>
          <w:lang w:eastAsia="en-AU"/>
        </w:rPr>
        <w:t>.</w:t>
      </w:r>
      <w:r w:rsidRPr="0064726A">
        <w:rPr>
          <w:b/>
          <w:lang w:eastAsia="en-AU"/>
        </w:rPr>
        <w:t xml:space="preserve"> </w:t>
      </w:r>
      <w:r w:rsidRPr="00340D8B">
        <w:rPr>
          <w:lang w:eastAsia="en-AU"/>
        </w:rPr>
        <w:t xml:space="preserve">Moreover, there is evidence for some commodities for the internalisation of pathogens via </w:t>
      </w:r>
      <w:r w:rsidRPr="00315A16">
        <w:rPr>
          <w:lang w:eastAsia="en-AU"/>
        </w:rPr>
        <w:t>soil (see Section 9.5 above) and via</w:t>
      </w:r>
      <w:r w:rsidRPr="00340D8B">
        <w:rPr>
          <w:lang w:eastAsia="en-AU"/>
        </w:rPr>
        <w:t xml:space="preserve"> water.</w:t>
      </w:r>
    </w:p>
    <w:p w14:paraId="1806FF3A" w14:textId="77777777" w:rsidR="00CA0DEE" w:rsidRDefault="00CA0DEE" w:rsidP="00CA0DEE">
      <w:pPr>
        <w:rPr>
          <w:lang w:eastAsia="en-AU" w:bidi="ar-SA"/>
        </w:rPr>
      </w:pPr>
    </w:p>
    <w:p w14:paraId="5F7A12EF" w14:textId="77777777" w:rsidR="00CA0DEE" w:rsidRPr="0064726A" w:rsidRDefault="00CA0DEE" w:rsidP="00CA0DEE">
      <w:pPr>
        <w:rPr>
          <w:color w:val="000000" w:themeColor="text1"/>
          <w:lang w:eastAsia="en-AU"/>
        </w:rPr>
      </w:pPr>
      <w:r w:rsidRPr="00F2204C">
        <w:rPr>
          <w:i/>
          <w:lang w:eastAsia="en-AU"/>
        </w:rPr>
        <w:t>Internalisation of pathogens from contaminated water is a risk factor that has been identified for leafy vegetables, but evidence does not support this conclusion for rockmelons and no data is available for berries.</w:t>
      </w:r>
      <w:r w:rsidRPr="00336439">
        <w:rPr>
          <w:lang w:eastAsia="en-AU"/>
        </w:rPr>
        <w:t xml:space="preserve"> </w:t>
      </w:r>
      <w:r w:rsidRPr="0064726A">
        <w:rPr>
          <w:color w:val="000000" w:themeColor="text1"/>
          <w:lang w:eastAsia="en-AU"/>
        </w:rPr>
        <w:t>The internalisation of pathogens contaminating irrigation water via the roots has been demonstrated for lettuce, spinach, and parsley. The evidence available</w:t>
      </w:r>
      <w:r w:rsidRPr="0064726A" w:rsidDel="00D97268">
        <w:rPr>
          <w:color w:val="000000" w:themeColor="text1"/>
          <w:lang w:eastAsia="en-AU"/>
        </w:rPr>
        <w:t xml:space="preserve"> </w:t>
      </w:r>
      <w:r w:rsidRPr="0064726A">
        <w:rPr>
          <w:color w:val="000000" w:themeColor="text1"/>
          <w:lang w:eastAsia="en-AU"/>
        </w:rPr>
        <w:t xml:space="preserve">varies, with internalisation via sub-irrigation water into the soil or via leaf irrigation only occurring in some studies or particular conditions (e.g. soil type). </w:t>
      </w:r>
      <w:r w:rsidRPr="00336439">
        <w:rPr>
          <w:lang w:eastAsia="en-AU"/>
        </w:rPr>
        <w:t>Evidence for</w:t>
      </w:r>
      <w:r>
        <w:rPr>
          <w:lang w:eastAsia="en-AU"/>
        </w:rPr>
        <w:t xml:space="preserve"> rockmelons suggests that internalisation via the roots to the edible portion of the fruit is unlikely to translocate further than the roots even at high inoculum levels. However this finding is based on a single study. Moreover, no studies investigating the potential for internalisation of pathogens in contaminated water via the roots were </w:t>
      </w:r>
      <w:r w:rsidRPr="00462817">
        <w:rPr>
          <w:lang w:eastAsia="en-AU"/>
        </w:rPr>
        <w:t xml:space="preserve">identified for any berry commodity, </w:t>
      </w:r>
      <w:r>
        <w:rPr>
          <w:lang w:eastAsia="en-AU"/>
        </w:rPr>
        <w:t>although</w:t>
      </w:r>
      <w:r w:rsidRPr="00462817">
        <w:rPr>
          <w:lang w:eastAsia="en-AU"/>
        </w:rPr>
        <w:t xml:space="preserve"> internalisation of NoV </w:t>
      </w:r>
      <w:r>
        <w:rPr>
          <w:lang w:eastAsia="en-AU"/>
        </w:rPr>
        <w:t xml:space="preserve">surrogates </w:t>
      </w:r>
      <w:r w:rsidRPr="00462817">
        <w:rPr>
          <w:lang w:eastAsia="en-AU"/>
        </w:rPr>
        <w:t xml:space="preserve">via inoculated soil was reported for strawberries </w:t>
      </w:r>
      <w:r w:rsidRPr="006855B1">
        <w:rPr>
          <w:lang w:eastAsia="en-AU"/>
        </w:rPr>
        <w:t>in a single study (see Section 9.5.1.2). Therefore</w:t>
      </w:r>
      <w:r>
        <w:rPr>
          <w:lang w:eastAsia="en-AU"/>
        </w:rPr>
        <w:t>,</w:t>
      </w:r>
      <w:r w:rsidRPr="00462817">
        <w:rPr>
          <w:lang w:eastAsia="en-AU"/>
        </w:rPr>
        <w:t xml:space="preserve"> there is high uncertainty regarding the potential for internalisation via contaminated water into the edible portion of melon</w:t>
      </w:r>
      <w:r>
        <w:rPr>
          <w:lang w:eastAsia="en-AU"/>
        </w:rPr>
        <w:t>s</w:t>
      </w:r>
      <w:r w:rsidRPr="00462817">
        <w:rPr>
          <w:lang w:eastAsia="en-AU"/>
        </w:rPr>
        <w:t xml:space="preserve"> and berries. As previously mentioned, </w:t>
      </w:r>
      <w:r w:rsidRPr="00462817">
        <w:t>it is likely that the larger distance required to translocate from the soil to the edible portion of melons, raspberries, and blueberries may reduce the risk of internalisation of pathogens via the roots for these commodities but studies are needed for confirmation.</w:t>
      </w:r>
    </w:p>
    <w:p w14:paraId="2154F91D" w14:textId="77777777" w:rsidR="00D11B9D" w:rsidRPr="0064726A" w:rsidRDefault="00D11B9D" w:rsidP="00D11B9D">
      <w:pPr>
        <w:rPr>
          <w:color w:val="000000" w:themeColor="text1"/>
          <w:lang w:eastAsia="en-AU"/>
        </w:rPr>
      </w:pPr>
    </w:p>
    <w:p w14:paraId="3B79B52D" w14:textId="77777777" w:rsidR="00CA0DEE" w:rsidRPr="001F36F6" w:rsidRDefault="00CA0DEE" w:rsidP="00CA0DEE">
      <w:pPr>
        <w:pStyle w:val="Default"/>
        <w:rPr>
          <w:sz w:val="22"/>
          <w:szCs w:val="22"/>
          <w:lang w:eastAsia="en-US"/>
        </w:rPr>
      </w:pPr>
      <w:r w:rsidRPr="00F2204C">
        <w:rPr>
          <w:i/>
          <w:sz w:val="22"/>
          <w:szCs w:val="22"/>
        </w:rPr>
        <w:t xml:space="preserve">At the low concentrations generally reported in the field, the available data suggest that internalisation of pathogens from contaminated water into the edible part of leafy vegetables via the roots has a low probability, but high </w:t>
      </w:r>
      <w:r w:rsidRPr="00F2204C">
        <w:rPr>
          <w:i/>
          <w:color w:val="auto"/>
          <w:sz w:val="22"/>
          <w:szCs w:val="22"/>
        </w:rPr>
        <w:t>concentrations associated with contamination events would present an increased risk.</w:t>
      </w:r>
      <w:r w:rsidRPr="00BD2FE2">
        <w:rPr>
          <w:b/>
          <w:color w:val="auto"/>
          <w:sz w:val="22"/>
          <w:szCs w:val="22"/>
        </w:rPr>
        <w:t xml:space="preserve"> </w:t>
      </w:r>
      <w:r w:rsidRPr="00BD2FE2">
        <w:rPr>
          <w:color w:val="auto"/>
          <w:sz w:val="22"/>
          <w:szCs w:val="22"/>
        </w:rPr>
        <w:t xml:space="preserve">There is medium uncertainty and confidence in this conclusion for leafy vegetables. However, a variety of factors may influence the potential for internalisation of pathogens via </w:t>
      </w:r>
      <w:r>
        <w:rPr>
          <w:color w:val="auto"/>
          <w:sz w:val="22"/>
          <w:szCs w:val="22"/>
        </w:rPr>
        <w:t xml:space="preserve">irrigation water applied to </w:t>
      </w:r>
      <w:r w:rsidRPr="00BD2FE2">
        <w:rPr>
          <w:color w:val="auto"/>
          <w:sz w:val="22"/>
          <w:szCs w:val="22"/>
        </w:rPr>
        <w:t>soil</w:t>
      </w:r>
      <w:r>
        <w:rPr>
          <w:color w:val="auto"/>
          <w:sz w:val="22"/>
          <w:szCs w:val="22"/>
        </w:rPr>
        <w:t>,</w:t>
      </w:r>
      <w:r w:rsidRPr="00BD2FE2">
        <w:rPr>
          <w:color w:val="auto"/>
          <w:sz w:val="22"/>
          <w:szCs w:val="22"/>
        </w:rPr>
        <w:t xml:space="preserve"> including the concentration, pathogen species or strain, plant cultivar, plant </w:t>
      </w:r>
      <w:r>
        <w:rPr>
          <w:sz w:val="22"/>
          <w:szCs w:val="22"/>
        </w:rPr>
        <w:t xml:space="preserve">age, plant physiology factors, and environmental factors such as soil moisture. Moreover, factors affecting the probability that the pathogens would be present in the edible portions at the time of harvest, such as the subsequent persistence or potential for growth of pathogens in the plant tissue, are poorly documented. </w:t>
      </w:r>
    </w:p>
    <w:p w14:paraId="47286028" w14:textId="77777777" w:rsidR="00CA0DEE" w:rsidRDefault="00CA0DEE" w:rsidP="00CA0DEE">
      <w:pPr>
        <w:rPr>
          <w:lang w:eastAsia="en-AU" w:bidi="ar-SA"/>
        </w:rPr>
      </w:pPr>
    </w:p>
    <w:p w14:paraId="72FDAC14" w14:textId="77777777" w:rsidR="00CA0DEE" w:rsidRDefault="00CA0DEE" w:rsidP="00CA0DEE">
      <w:pPr>
        <w:rPr>
          <w:lang w:eastAsia="en-AU" w:bidi="ar-SA"/>
        </w:rPr>
      </w:pPr>
      <w:r>
        <w:rPr>
          <w:lang w:eastAsia="en-AU" w:bidi="ar-SA"/>
        </w:rPr>
        <w:t>The prevalence or concentration of foodborne pathogens</w:t>
      </w:r>
      <w:r w:rsidDel="008051CC">
        <w:rPr>
          <w:lang w:eastAsia="en-AU" w:bidi="ar-SA"/>
        </w:rPr>
        <w:t xml:space="preserve"> </w:t>
      </w:r>
      <w:r>
        <w:rPr>
          <w:lang w:eastAsia="en-AU" w:bidi="ar-SA"/>
        </w:rPr>
        <w:t>in Australian water sources and contributing environmental factors are poorly documented. The contamination of water sources by foodborne pathogens is also likely to be transient and this leads to difficulties in determining baseline contamination levels, identifying factors that may increase pathogen loads, or linking outbreaks to contaminated water sources. Further studies are required that quantify foodborne pathogens in Australian water sources and investigate environmental factors such as runoff and flooding that may increase pathogen loads. Furthermore, studies quantifying pathogens in contaminated irrigation water and their subsequent transfer, persistence, and decline in the field needs to be further elucidated, particularly for berries and melons in the Australian context. How different surface characteristics of the produce may influence contamination via water is also unknown.</w:t>
      </w:r>
    </w:p>
    <w:p w14:paraId="08BF7B66" w14:textId="77777777" w:rsidR="00CA0DEE" w:rsidRDefault="00CA0DEE" w:rsidP="00CA0DEE">
      <w:pPr>
        <w:rPr>
          <w:lang w:eastAsia="en-AU" w:bidi="ar-SA"/>
        </w:rPr>
      </w:pPr>
    </w:p>
    <w:p w14:paraId="509310F4" w14:textId="77777777" w:rsidR="00FA4F4A" w:rsidRDefault="00FA4F4A">
      <w:pPr>
        <w:widowControl/>
        <w:rPr>
          <w:lang w:eastAsia="en-AU" w:bidi="ar-SA"/>
        </w:rPr>
      </w:pPr>
      <w:r>
        <w:rPr>
          <w:lang w:eastAsia="en-AU" w:bidi="ar-SA"/>
        </w:rPr>
        <w:br w:type="page"/>
      </w:r>
    </w:p>
    <w:p w14:paraId="34ED9C8C" w14:textId="5C29F46E" w:rsidR="00CA0DEE" w:rsidRDefault="00CA0DEE" w:rsidP="00CA0DEE">
      <w:pPr>
        <w:rPr>
          <w:lang w:bidi="ar-SA"/>
        </w:rPr>
      </w:pPr>
      <w:r w:rsidRPr="00A05D91">
        <w:rPr>
          <w:lang w:eastAsia="en-AU" w:bidi="ar-SA"/>
        </w:rPr>
        <w:t xml:space="preserve">Previous expert scientific reports have also identified these as important risk factors that can contribute to microbiological contamination of the in-scope commodities </w:t>
      </w:r>
      <w:r w:rsidR="00657FDB">
        <w:rPr>
          <w:lang w:eastAsia="en-AU" w:bidi="ar-SA"/>
        </w:rPr>
        <w:t>(EFSA Panel on Biological Hazards 2014a, 2014b, 2014c; FAO/WHO 2008b, 2011)</w:t>
      </w:r>
      <w:r w:rsidRPr="00A05D91">
        <w:rPr>
          <w:lang w:eastAsia="en-AU" w:bidi="ar-SA"/>
        </w:rPr>
        <w:t>.</w:t>
      </w:r>
    </w:p>
    <w:p w14:paraId="1A9B6BF2" w14:textId="77777777" w:rsidR="00CA0DEE" w:rsidRDefault="00CA0DEE" w:rsidP="00787E56">
      <w:pPr>
        <w:pStyle w:val="Heading3"/>
        <w:numPr>
          <w:ilvl w:val="2"/>
          <w:numId w:val="11"/>
        </w:numPr>
      </w:pPr>
      <w:bookmarkStart w:id="303" w:name="_Toc56693451"/>
      <w:bookmarkStart w:id="304" w:name="_Toc58327804"/>
      <w:bookmarkStart w:id="305" w:name="_Toc58333984"/>
      <w:bookmarkStart w:id="306" w:name="_Toc64448791"/>
      <w:bookmarkStart w:id="307" w:name="_Toc87860052"/>
      <w:r>
        <w:t>Mitigation measures</w:t>
      </w:r>
      <w:bookmarkEnd w:id="303"/>
      <w:bookmarkEnd w:id="304"/>
      <w:bookmarkEnd w:id="305"/>
      <w:bookmarkEnd w:id="306"/>
      <w:bookmarkEnd w:id="307"/>
    </w:p>
    <w:p w14:paraId="5788E885" w14:textId="77777777" w:rsidR="00CA0DEE" w:rsidRDefault="00CA0DEE" w:rsidP="00CA0DEE">
      <w:pPr>
        <w:rPr>
          <w:rFonts w:cs="Arial"/>
          <w:szCs w:val="22"/>
          <w:lang w:eastAsia="en-GB" w:bidi="ar-SA"/>
        </w:rPr>
      </w:pPr>
      <w:r>
        <w:rPr>
          <w:rFonts w:cs="Arial"/>
          <w:szCs w:val="22"/>
          <w:lang w:eastAsia="en-GB" w:bidi="ar-SA"/>
        </w:rPr>
        <w:t>Water reser</w:t>
      </w:r>
      <w:r w:rsidRPr="00355115">
        <w:rPr>
          <w:rFonts w:cs="Arial"/>
          <w:szCs w:val="22"/>
          <w:lang w:eastAsia="en-GB" w:bidi="ar-SA"/>
        </w:rPr>
        <w:t>vo</w:t>
      </w:r>
      <w:r>
        <w:rPr>
          <w:rFonts w:cs="Arial"/>
          <w:szCs w:val="22"/>
          <w:lang w:eastAsia="en-GB" w:bidi="ar-SA"/>
        </w:rPr>
        <w:t>i</w:t>
      </w:r>
      <w:r w:rsidRPr="00355115">
        <w:rPr>
          <w:rFonts w:cs="Arial"/>
          <w:szCs w:val="22"/>
          <w:lang w:eastAsia="en-GB" w:bidi="ar-SA"/>
        </w:rPr>
        <w:t xml:space="preserve">rs used for crop irrigation can be contaminated with indicator and pathogenic microorganisms. In order to minimise the risk of illness linked to contaminated produce, </w:t>
      </w:r>
    </w:p>
    <w:p w14:paraId="3A4D2CB4" w14:textId="35D2719C" w:rsidR="00CA0DEE" w:rsidRPr="000B28D1" w:rsidRDefault="00CA0DEE" w:rsidP="00CA0DEE">
      <w:r>
        <w:rPr>
          <w:rFonts w:cs="Arial"/>
          <w:szCs w:val="22"/>
          <w:lang w:eastAsia="en-GB" w:bidi="ar-SA"/>
        </w:rPr>
        <w:t xml:space="preserve">Water quality guidelines have been established by several international </w:t>
      </w:r>
      <w:r w:rsidRPr="00355115">
        <w:rPr>
          <w:rFonts w:cs="Arial"/>
          <w:szCs w:val="22"/>
          <w:lang w:eastAsia="en-GB" w:bidi="ar-SA"/>
        </w:rPr>
        <w:t xml:space="preserve">government agencies and industries </w:t>
      </w:r>
      <w:r>
        <w:rPr>
          <w:rFonts w:cs="Arial"/>
          <w:szCs w:val="22"/>
          <w:lang w:eastAsia="en-GB" w:bidi="ar-SA"/>
        </w:rPr>
        <w:t xml:space="preserve">bodies that set </w:t>
      </w:r>
      <w:r w:rsidRPr="000B28D1">
        <w:t>generic</w:t>
      </w:r>
      <w:r>
        <w:rPr>
          <w:rFonts w:cs="Arial"/>
          <w:i/>
          <w:szCs w:val="22"/>
          <w:lang w:eastAsia="en-GB" w:bidi="ar-SA"/>
        </w:rPr>
        <w:t xml:space="preserve"> E.</w:t>
      </w:r>
      <w:r w:rsidRPr="00D54F04">
        <w:rPr>
          <w:rFonts w:cs="Arial"/>
          <w:i/>
          <w:szCs w:val="22"/>
          <w:lang w:eastAsia="en-GB" w:bidi="ar-SA"/>
        </w:rPr>
        <w:t xml:space="preserve"> coli</w:t>
      </w:r>
      <w:r w:rsidRPr="00355115">
        <w:rPr>
          <w:rFonts w:cs="Arial"/>
          <w:szCs w:val="22"/>
          <w:lang w:eastAsia="en-GB" w:bidi="ar-SA"/>
        </w:rPr>
        <w:t xml:space="preserve"> and/or faecal coliforms </w:t>
      </w:r>
      <w:r>
        <w:rPr>
          <w:rFonts w:cs="Arial"/>
          <w:szCs w:val="22"/>
          <w:lang w:eastAsia="en-GB" w:bidi="ar-SA"/>
        </w:rPr>
        <w:t xml:space="preserve">criteria for irrigation water used on food crops </w:t>
      </w:r>
      <w:r w:rsidRPr="00355115">
        <w:rPr>
          <w:rFonts w:cs="Arial"/>
          <w:szCs w:val="22"/>
          <w:lang w:eastAsia="en-GB" w:bidi="ar-SA"/>
        </w:rPr>
        <w:t xml:space="preserve">which vary between </w:t>
      </w:r>
      <w:r>
        <w:rPr>
          <w:rFonts w:cs="Arial"/>
          <w:szCs w:val="22"/>
          <w:lang w:eastAsia="en-GB" w:bidi="ar-SA"/>
        </w:rPr>
        <w:t>&lt;1</w:t>
      </w:r>
      <w:r w:rsidRPr="00355115">
        <w:rPr>
          <w:rFonts w:cs="Arial"/>
          <w:szCs w:val="22"/>
          <w:lang w:eastAsia="en-GB" w:bidi="ar-SA"/>
        </w:rPr>
        <w:t xml:space="preserve"> and </w:t>
      </w:r>
      <w:r>
        <w:rPr>
          <w:rFonts w:cs="Arial"/>
          <w:szCs w:val="22"/>
          <w:lang w:eastAsia="en-GB" w:bidi="ar-SA"/>
        </w:rPr>
        <w:t xml:space="preserve">&lt;1000 CFU/100 mL, the application of which has been reviewed recently </w:t>
      </w:r>
      <w:r w:rsidR="00657FDB">
        <w:rPr>
          <w:rFonts w:cs="Arial"/>
          <w:szCs w:val="22"/>
          <w:lang w:eastAsia="en-GB" w:bidi="ar-SA"/>
        </w:rPr>
        <w:t>(Uyttendaele et al. 2015)</w:t>
      </w:r>
      <w:r>
        <w:rPr>
          <w:rFonts w:cstheme="minorHAnsi"/>
        </w:rPr>
        <w:t>. However,</w:t>
      </w:r>
      <w:r>
        <w:t xml:space="preserve"> e</w:t>
      </w:r>
      <w:r w:rsidRPr="000B28D1">
        <w:t xml:space="preserve">vidence for the utility of testing irrigation water for generic </w:t>
      </w:r>
      <w:r w:rsidRPr="000B28D1">
        <w:rPr>
          <w:i/>
        </w:rPr>
        <w:t>E. coli</w:t>
      </w:r>
      <w:r w:rsidRPr="000B28D1">
        <w:t xml:space="preserve"> or total faecal coliforms (TFC) as indicators for the presence of pathogens such as </w:t>
      </w:r>
      <w:r w:rsidRPr="000B28D1">
        <w:rPr>
          <w:i/>
        </w:rPr>
        <w:t>Salmonella</w:t>
      </w:r>
      <w:r>
        <w:rPr>
          <w:i/>
        </w:rPr>
        <w:t xml:space="preserve"> </w:t>
      </w:r>
      <w:r w:rsidRPr="00D54F04">
        <w:t xml:space="preserve">and </w:t>
      </w:r>
      <w:r>
        <w:rPr>
          <w:i/>
        </w:rPr>
        <w:t>L. monocytogenes</w:t>
      </w:r>
      <w:r w:rsidRPr="000B28D1">
        <w:rPr>
          <w:i/>
        </w:rPr>
        <w:t xml:space="preserve"> </w:t>
      </w:r>
      <w:r w:rsidRPr="000B28D1">
        <w:t>is variable</w:t>
      </w:r>
      <w:r>
        <w:t xml:space="preserve"> </w:t>
      </w:r>
      <w:r w:rsidR="00657FDB">
        <w:rPr>
          <w:lang w:bidi="ar-SA"/>
        </w:rPr>
        <w:t>(Castro-Ibáñez et al. 2015; Falardeau et al. 2017; Gu et al. 2013; Holvoet et al. 2014b; Shelton et al. 2011; Truchado et al. 2018; Won et al. 2013a)</w:t>
      </w:r>
      <w:r w:rsidRPr="000B28D1">
        <w:t xml:space="preserve">. Statistical correlations tend to be weak to moderate, at best. Although it is generally agreed that there is a higher probability of detection of pathogens when higher levels of </w:t>
      </w:r>
      <w:r w:rsidRPr="00864596">
        <w:rPr>
          <w:i/>
        </w:rPr>
        <w:t>E. coli</w:t>
      </w:r>
      <w:r w:rsidRPr="000B28D1">
        <w:t xml:space="preserve"> </w:t>
      </w:r>
      <w:r>
        <w:t xml:space="preserve">and/or TFC </w:t>
      </w:r>
      <w:r w:rsidRPr="000B28D1">
        <w:t xml:space="preserve">are found, there is variability in suggested cut-off points for determining acceptability of irrigation waters </w:t>
      </w:r>
      <w:r w:rsidR="00657FDB">
        <w:t>(Castro-Ibáñez et al. 2015; Falardeau et al. 2017; Holvoet et al. 2014b; Lopez-Galvez et al. 2014; Shelton et al. 2011; Truchado et al. 2018)</w:t>
      </w:r>
      <w:r w:rsidRPr="000B28D1">
        <w:t>.</w:t>
      </w:r>
    </w:p>
    <w:p w14:paraId="75E75C9F" w14:textId="7E8C76AD" w:rsidR="00CA0DEE" w:rsidRDefault="00CA0DEE" w:rsidP="00CA0DEE">
      <w:pPr>
        <w:rPr>
          <w:lang w:bidi="ar-SA"/>
        </w:rPr>
      </w:pPr>
      <w:r>
        <w:t xml:space="preserve">There is some evidence that increasing the time between cessation of irrigation and harvest can reduce the likelihood of bacterial pathogens on leafy vegetables and the risk of illness from their </w:t>
      </w:r>
      <w:r w:rsidRPr="000B28D1">
        <w:t>consumption</w:t>
      </w:r>
      <w:r>
        <w:t xml:space="preserve"> due to the effects of UV radiation, drying, and microbial competition</w:t>
      </w:r>
      <w:r w:rsidRPr="000B28D1">
        <w:t xml:space="preserve"> </w:t>
      </w:r>
      <w:r w:rsidR="00657FDB">
        <w:t>(Alam et al. 2014; Fonseca et al. 2011; Moyne et al. 2011; Ottoson et al. 2011)</w:t>
      </w:r>
      <w:r w:rsidRPr="000B28D1">
        <w:t>.</w:t>
      </w:r>
      <w:r>
        <w:t xml:space="preserve"> There is also evidence that the risk from surface contamination of fresh produce is reduced by the use of subsurface irrigation that reduces the wetting of the edible portion of produce compared to sprinkler irrigation </w:t>
      </w:r>
      <w:r w:rsidR="00657FDB">
        <w:rPr>
          <w:lang w:bidi="ar-SA"/>
        </w:rPr>
        <w:t>(Rock et al. 2019)</w:t>
      </w:r>
      <w:r>
        <w:rPr>
          <w:lang w:bidi="ar-SA"/>
        </w:rPr>
        <w:t>.</w:t>
      </w:r>
    </w:p>
    <w:p w14:paraId="47D929A3" w14:textId="77777777" w:rsidR="00CA0DEE" w:rsidRDefault="00CA0DEE" w:rsidP="00CA0DEE"/>
    <w:p w14:paraId="711F1F04" w14:textId="42C2DED2" w:rsidR="00CA0DEE" w:rsidRDefault="00CA0DEE" w:rsidP="001F2457">
      <w:pPr>
        <w:spacing w:after="120"/>
      </w:pPr>
      <w:r>
        <w:t xml:space="preserve">The mitigation recommendations provided by other agencies, organisations and peak industry bodies are similar across the in-scope commodity sectors </w:t>
      </w:r>
      <w:r w:rsidR="00657FDB">
        <w:t>(Codex 2017; EFSA Panel on Biological Hazards 2014a, 2014b, 2014c; FAO/WHO 2008b; FPSC A-NZ 2019; IFPA et al. 2006; NSW DPI 2019)</w:t>
      </w:r>
      <w:r>
        <w:t xml:space="preserve"> and include:</w:t>
      </w:r>
    </w:p>
    <w:p w14:paraId="51F5BD42" w14:textId="77777777" w:rsidR="00CA0DEE" w:rsidRDefault="00CA0DEE" w:rsidP="00CA0DEE">
      <w:pPr>
        <w:pStyle w:val="ListParagraph"/>
        <w:numPr>
          <w:ilvl w:val="0"/>
          <w:numId w:val="31"/>
        </w:numPr>
      </w:pPr>
      <w:r>
        <w:t xml:space="preserve">Water used for </w:t>
      </w:r>
      <w:r w:rsidRPr="00367341">
        <w:rPr>
          <w:rFonts w:cs="Arial"/>
          <w:lang w:eastAsia="en-GB"/>
        </w:rPr>
        <w:t>irrigation should not contain microbial contaminants at levels that may adversely affect the safety</w:t>
      </w:r>
      <w:r>
        <w:rPr>
          <w:rFonts w:cs="Arial"/>
          <w:lang w:eastAsia="en-GB"/>
        </w:rPr>
        <w:t xml:space="preserve"> of fresh produce</w:t>
      </w:r>
    </w:p>
    <w:p w14:paraId="5B6A80E4" w14:textId="77777777" w:rsidR="00CA0DEE" w:rsidRDefault="00CA0DEE" w:rsidP="00CA0DEE">
      <w:pPr>
        <w:pStyle w:val="ListParagraph"/>
        <w:numPr>
          <w:ilvl w:val="0"/>
          <w:numId w:val="31"/>
        </w:numPr>
      </w:pPr>
      <w:r>
        <w:t>Undertake regular risk assessment of water sources; assess the potential for cross</w:t>
      </w:r>
      <w:r>
        <w:noBreakHyphen/>
        <w:t>contamination between water sources under normal and high rainfall/flood conditions; and ensure microbial quality of water is appropriate for its intended use</w:t>
      </w:r>
    </w:p>
    <w:p w14:paraId="1FDF8498" w14:textId="77777777" w:rsidR="00CA0DEE" w:rsidRDefault="00CA0DEE" w:rsidP="00CA0DEE">
      <w:pPr>
        <w:pStyle w:val="ListParagraph"/>
        <w:numPr>
          <w:ilvl w:val="0"/>
          <w:numId w:val="31"/>
        </w:numPr>
      </w:pPr>
      <w:r>
        <w:t>Regularly test water sources and undertake appropriate treatment of water sources; maintain appropriate testing records; and increase testing if animal incursion, extreme weather or climatic factors affect water sources</w:t>
      </w:r>
    </w:p>
    <w:p w14:paraId="5CEE85EC" w14:textId="77777777" w:rsidR="00CA0DEE" w:rsidRDefault="00CA0DEE" w:rsidP="00CA0DEE">
      <w:pPr>
        <w:pStyle w:val="ListParagraph"/>
        <w:numPr>
          <w:ilvl w:val="0"/>
          <w:numId w:val="31"/>
        </w:numPr>
      </w:pPr>
      <w:r>
        <w:t>Implement actions to prevent contamination</w:t>
      </w:r>
    </w:p>
    <w:p w14:paraId="45948C3F" w14:textId="77777777" w:rsidR="00CA0DEE" w:rsidRDefault="00CA0DEE" w:rsidP="00CA0DEE">
      <w:pPr>
        <w:pStyle w:val="ListParagraph"/>
        <w:numPr>
          <w:ilvl w:val="0"/>
          <w:numId w:val="31"/>
        </w:numPr>
      </w:pPr>
      <w:r>
        <w:t>Record water sources used for irrigation and the site of irrigation</w:t>
      </w:r>
    </w:p>
    <w:p w14:paraId="6ED51ABC" w14:textId="77777777" w:rsidR="00CA0DEE" w:rsidRDefault="00CA0DEE" w:rsidP="00CA0DEE">
      <w:pPr>
        <w:pStyle w:val="ListParagraph"/>
        <w:numPr>
          <w:ilvl w:val="0"/>
          <w:numId w:val="31"/>
        </w:numPr>
      </w:pPr>
      <w:r>
        <w:t>Apply appropriate timing to cessation of irrigation of crops before harvest</w:t>
      </w:r>
    </w:p>
    <w:p w14:paraId="006F93F0" w14:textId="77777777" w:rsidR="00CA0DEE" w:rsidRDefault="00CA0DEE" w:rsidP="00CA0DEE">
      <w:pPr>
        <w:pStyle w:val="ListParagraph"/>
        <w:numPr>
          <w:ilvl w:val="0"/>
          <w:numId w:val="31"/>
        </w:numPr>
      </w:pPr>
      <w:r>
        <w:t>Use drip rather than overhead irrigation methods to limit contact with the produce</w:t>
      </w:r>
    </w:p>
    <w:p w14:paraId="538B188E" w14:textId="77777777" w:rsidR="00CA0DEE" w:rsidRPr="00367341" w:rsidRDefault="00CA0DEE" w:rsidP="00CA0DEE">
      <w:pPr>
        <w:pStyle w:val="ListParagraph"/>
        <w:numPr>
          <w:ilvl w:val="0"/>
          <w:numId w:val="31"/>
        </w:numPr>
        <w:rPr>
          <w:lang w:eastAsia="en-AU"/>
        </w:rPr>
      </w:pPr>
      <w:r w:rsidRPr="00367341">
        <w:rPr>
          <w:rFonts w:cs="Arial"/>
          <w:lang w:eastAsia="en-GB"/>
        </w:rPr>
        <w:t xml:space="preserve">Water used for the application of water-soluble fertilizers, pesticides and agricultural chemicals in the field and indoors should be of the same quality as water used for direct contact irrigation and should not contain microbial contaminants at levels that may adversely affect the safety </w:t>
      </w:r>
    </w:p>
    <w:p w14:paraId="1A39EC89" w14:textId="7FB66DC3" w:rsidR="00CA0DEE" w:rsidRDefault="00CA0DEE" w:rsidP="00CA0DEE">
      <w:pPr>
        <w:pStyle w:val="ListParagraph"/>
        <w:numPr>
          <w:ilvl w:val="0"/>
          <w:numId w:val="31"/>
        </w:numPr>
        <w:rPr>
          <w:lang w:eastAsia="en-AU"/>
        </w:rPr>
      </w:pPr>
      <w:r>
        <w:t>Maintain and properly store equipment used to hold or distribute water, to limit microbial or pest contamination.</w:t>
      </w:r>
    </w:p>
    <w:p w14:paraId="149DC95A" w14:textId="77777777" w:rsidR="00CA0DEE" w:rsidRDefault="00CA0DEE" w:rsidP="00CA0DEE">
      <w:pPr>
        <w:pStyle w:val="ListParagraph"/>
        <w:rPr>
          <w:lang w:eastAsia="en-AU"/>
        </w:rPr>
      </w:pPr>
    </w:p>
    <w:p w14:paraId="3B3406C2" w14:textId="77777777" w:rsidR="00CA0DEE" w:rsidRPr="00AE5FD7" w:rsidRDefault="00CA0DEE" w:rsidP="00CA0DEE">
      <w:pPr>
        <w:pStyle w:val="Heading2"/>
        <w:numPr>
          <w:ilvl w:val="1"/>
          <w:numId w:val="11"/>
        </w:numPr>
      </w:pPr>
      <w:bookmarkStart w:id="308" w:name="_Toc45275363"/>
      <w:bookmarkStart w:id="309" w:name="_Toc56693452"/>
      <w:bookmarkStart w:id="310" w:name="_Toc58327805"/>
      <w:bookmarkStart w:id="311" w:name="_Toc58333985"/>
      <w:bookmarkStart w:id="312" w:name="_Toc64448792"/>
      <w:bookmarkStart w:id="313" w:name="_Toc87860053"/>
      <w:bookmarkEnd w:id="308"/>
      <w:r>
        <w:t>Production systems</w:t>
      </w:r>
      <w:bookmarkEnd w:id="309"/>
      <w:bookmarkEnd w:id="310"/>
      <w:bookmarkEnd w:id="311"/>
      <w:bookmarkEnd w:id="312"/>
      <w:bookmarkEnd w:id="313"/>
    </w:p>
    <w:p w14:paraId="55F402C9" w14:textId="77777777" w:rsidR="00CA0DEE" w:rsidRPr="00DF1A2B" w:rsidRDefault="00CA0DEE" w:rsidP="00CA0DEE">
      <w:pPr>
        <w:rPr>
          <w:lang w:eastAsia="en-AU" w:bidi="ar-SA"/>
        </w:rPr>
      </w:pPr>
      <w:r w:rsidRPr="00DF1A2B">
        <w:rPr>
          <w:lang w:eastAsia="en-AU" w:bidi="ar-SA"/>
        </w:rPr>
        <w:t xml:space="preserve">There are a variety of primary production practices used to cultivate fresh produce commodities in Australia. Examples include organic farming practices, hydroponics, field crops and protected cropping. The inherent differences in these practices may influence the likelihood for contamination by microbial pathogens and the potential differences in microbial quality of these crops as a result of these practices are considered below. </w:t>
      </w:r>
    </w:p>
    <w:p w14:paraId="0D1BCFB6" w14:textId="77777777" w:rsidR="00CA0DEE" w:rsidRPr="00DF1A2B" w:rsidRDefault="00CA0DEE" w:rsidP="00787E56">
      <w:pPr>
        <w:pStyle w:val="Heading3"/>
        <w:numPr>
          <w:ilvl w:val="2"/>
          <w:numId w:val="11"/>
        </w:numPr>
      </w:pPr>
      <w:bookmarkStart w:id="314" w:name="_Toc45275365"/>
      <w:bookmarkStart w:id="315" w:name="_Toc56693453"/>
      <w:bookmarkStart w:id="316" w:name="_Toc58327806"/>
      <w:bookmarkStart w:id="317" w:name="_Toc58333986"/>
      <w:bookmarkStart w:id="318" w:name="_Toc64448793"/>
      <w:bookmarkStart w:id="319" w:name="_Toc87860054"/>
      <w:r w:rsidRPr="00DF1A2B">
        <w:t>Available data</w:t>
      </w:r>
      <w:bookmarkEnd w:id="314"/>
      <w:bookmarkEnd w:id="315"/>
      <w:bookmarkEnd w:id="316"/>
      <w:bookmarkEnd w:id="317"/>
      <w:bookmarkEnd w:id="318"/>
      <w:bookmarkEnd w:id="319"/>
    </w:p>
    <w:p w14:paraId="7EFC21CD" w14:textId="7556975E" w:rsidR="00CA0DEE" w:rsidRPr="00DF1A2B" w:rsidRDefault="00CA0DEE" w:rsidP="00CA0DEE">
      <w:pPr>
        <w:widowControl/>
        <w:autoSpaceDE w:val="0"/>
        <w:autoSpaceDN w:val="0"/>
        <w:adjustRightInd w:val="0"/>
        <w:rPr>
          <w:rFonts w:cs="Arial"/>
          <w:szCs w:val="22"/>
        </w:rPr>
      </w:pPr>
      <w:r w:rsidRPr="00DF1A2B">
        <w:rPr>
          <w:rFonts w:cs="Arial"/>
          <w:szCs w:val="22"/>
        </w:rPr>
        <w:t xml:space="preserve">It is generally recognised that protected cultures (those not grown in completely enclosed greenhouse environments but grown under some sort of cover) can reduce damage caused by poor weather conditions, animals and birds. </w:t>
      </w:r>
      <w:r w:rsidRPr="0026032D">
        <w:rPr>
          <w:szCs w:val="22"/>
        </w:rPr>
        <w:t xml:space="preserve">For example, soil-less, protected cultures of strawberries, which are frequently grown above ground level, may be less likely to be exposed to contamination with pathogens from adjacent land in both outdoor and protected cultivation than other production systems </w:t>
      </w:r>
      <w:r w:rsidR="00657FDB">
        <w:rPr>
          <w:rFonts w:cs="Arial"/>
          <w:szCs w:val="22"/>
        </w:rPr>
        <w:t>(EFSA Panel on Biological Hazards 2014b)</w:t>
      </w:r>
      <w:r w:rsidRPr="0026032D">
        <w:rPr>
          <w:szCs w:val="22"/>
        </w:rPr>
        <w:t>.</w:t>
      </w:r>
      <w:r w:rsidRPr="00DF1A2B">
        <w:rPr>
          <w:szCs w:val="22"/>
        </w:rPr>
        <w:t xml:space="preserve"> </w:t>
      </w:r>
    </w:p>
    <w:p w14:paraId="29A9A784" w14:textId="77777777" w:rsidR="00CA0DEE" w:rsidRPr="00DF1A2B" w:rsidRDefault="00CA0DEE" w:rsidP="00CA0DEE">
      <w:pPr>
        <w:rPr>
          <w:lang w:eastAsia="en-AU" w:bidi="ar-SA"/>
        </w:rPr>
      </w:pPr>
    </w:p>
    <w:p w14:paraId="56924541" w14:textId="77777777" w:rsidR="00705359" w:rsidRDefault="00CA0DEE" w:rsidP="00CA0DEE">
      <w:pPr>
        <w:rPr>
          <w:lang w:eastAsia="en-AU" w:bidi="ar-SA"/>
        </w:rPr>
      </w:pPr>
      <w:r w:rsidRPr="00DF1A2B">
        <w:rPr>
          <w:lang w:eastAsia="en-AU" w:bidi="ar-SA"/>
        </w:rPr>
        <w:t>The potential differences in microbial contamination risk factors between open fields and greenhouse (or protected cropping) has been investigated to some extent.</w:t>
      </w:r>
    </w:p>
    <w:p w14:paraId="6C8C381C" w14:textId="3DA05EA6" w:rsidR="00CA0DEE" w:rsidRPr="00DF1A2B" w:rsidRDefault="00CA0DEE" w:rsidP="00CA0DEE">
      <w:pPr>
        <w:rPr>
          <w:lang w:eastAsia="en-AU" w:bidi="ar-SA"/>
        </w:rPr>
      </w:pPr>
    </w:p>
    <w:p w14:paraId="5A517D1C" w14:textId="4ADE89CA" w:rsidR="00CA0DEE" w:rsidRPr="00DF1A2B" w:rsidRDefault="00CA0DEE" w:rsidP="00CA0DEE">
      <w:pPr>
        <w:rPr>
          <w:lang w:eastAsia="en-AU" w:bidi="ar-SA"/>
        </w:rPr>
      </w:pPr>
      <w:r w:rsidRPr="00DF1A2B">
        <w:rPr>
          <w:lang w:eastAsia="en-AU" w:bidi="ar-SA"/>
        </w:rPr>
        <w:t xml:space="preserve">Pathogens were more often detected in irrigation water samples from open field farms (46.7%, 21/45) than from greenhouses used for lettuce production (12.0%, 9/75). The authors concluded that the open field production was more prone to faecal contamination possibly due to increased external sources, but noted that in general the greenhouse productions implemented more measures to manage risks </w:t>
      </w:r>
      <w:r w:rsidR="00657FDB">
        <w:rPr>
          <w:lang w:eastAsia="en-AU" w:bidi="ar-SA"/>
        </w:rPr>
        <w:t>(Holvoet et al. 2014a)</w:t>
      </w:r>
      <w:r w:rsidRPr="00DF1A2B">
        <w:rPr>
          <w:lang w:eastAsia="en-AU" w:bidi="ar-SA"/>
        </w:rPr>
        <w:t xml:space="preserve">. </w:t>
      </w:r>
    </w:p>
    <w:p w14:paraId="03398D97" w14:textId="77777777" w:rsidR="00CA0DEE" w:rsidRPr="00DF1A2B" w:rsidRDefault="00CA0DEE" w:rsidP="00CA0DEE">
      <w:pPr>
        <w:rPr>
          <w:lang w:eastAsia="en-AU" w:bidi="ar-SA"/>
        </w:rPr>
      </w:pPr>
    </w:p>
    <w:p w14:paraId="51F99B58" w14:textId="2046BE69" w:rsidR="00CA0DEE" w:rsidRPr="00DF1A2B" w:rsidRDefault="00CA0DEE" w:rsidP="00CA0DEE">
      <w:pPr>
        <w:rPr>
          <w:lang w:eastAsia="en-AU" w:bidi="ar-SA"/>
        </w:rPr>
      </w:pPr>
      <w:r w:rsidRPr="00DF1A2B">
        <w:rPr>
          <w:lang w:eastAsia="en-AU" w:bidi="ar-SA"/>
        </w:rPr>
        <w:t xml:space="preserve">The difference in microbiological quality of commodities produced under organic or conventional farming systems is poorly documented, particularly in Australia. Some evidence suggests that, in general, organic produce may be more susceptible to faecal contamination with one study reporting indicator </w:t>
      </w:r>
      <w:r w:rsidRPr="00DF1A2B">
        <w:rPr>
          <w:i/>
          <w:lang w:eastAsia="en-AU" w:bidi="ar-SA"/>
        </w:rPr>
        <w:t>E. coli</w:t>
      </w:r>
      <w:r w:rsidRPr="00DF1A2B">
        <w:rPr>
          <w:lang w:eastAsia="en-AU" w:bidi="ar-SA"/>
        </w:rPr>
        <w:t xml:space="preserve"> prevalence of 1.6</w:t>
      </w:r>
      <w:r>
        <w:rPr>
          <w:lang w:eastAsia="en-AU" w:bidi="ar-SA"/>
        </w:rPr>
        <w:t>%</w:t>
      </w:r>
      <w:r w:rsidRPr="00DF1A2B">
        <w:rPr>
          <w:lang w:eastAsia="en-AU" w:bidi="ar-SA"/>
        </w:rPr>
        <w:t xml:space="preserve"> (46/476) and 9.7% (2/129) from a variety of produce sampled on organic and conventional farms respectively</w:t>
      </w:r>
      <w:r>
        <w:rPr>
          <w:lang w:eastAsia="en-AU" w:bidi="ar-SA"/>
        </w:rPr>
        <w:t>.</w:t>
      </w:r>
      <w:r w:rsidRPr="00DF1A2B">
        <w:rPr>
          <w:lang w:eastAsia="en-AU" w:bidi="ar-SA"/>
        </w:rPr>
        <w:t xml:space="preserve"> </w:t>
      </w:r>
      <w:r w:rsidRPr="009F22B3">
        <w:rPr>
          <w:lang w:eastAsia="en-AU" w:bidi="ar-SA"/>
        </w:rPr>
        <w:t xml:space="preserve">Moreover, organic farms using manure or compost aged less than 12 months had an </w:t>
      </w:r>
      <w:r w:rsidRPr="009F22B3">
        <w:rPr>
          <w:i/>
          <w:lang w:eastAsia="en-AU" w:bidi="ar-SA"/>
        </w:rPr>
        <w:t xml:space="preserve">E. coli </w:t>
      </w:r>
      <w:r w:rsidRPr="009F22B3">
        <w:rPr>
          <w:lang w:eastAsia="en-AU" w:bidi="ar-SA"/>
        </w:rPr>
        <w:t xml:space="preserve">prevalence 19 times greater than if older materials were used </w:t>
      </w:r>
      <w:r w:rsidR="00657FDB">
        <w:rPr>
          <w:lang w:eastAsia="en-AU" w:bidi="ar-SA"/>
        </w:rPr>
        <w:t>(Mukherjee et al. 2004)</w:t>
      </w:r>
      <w:r w:rsidRPr="009F22B3">
        <w:rPr>
          <w:lang w:eastAsia="en-AU" w:bidi="ar-SA"/>
        </w:rPr>
        <w:t>. However</w:t>
      </w:r>
      <w:r w:rsidRPr="00DF1A2B">
        <w:rPr>
          <w:lang w:eastAsia="en-AU" w:bidi="ar-SA"/>
        </w:rPr>
        <w:t xml:space="preserve">, other studies did not identify </w:t>
      </w:r>
      <w:r>
        <w:rPr>
          <w:lang w:eastAsia="en-AU" w:bidi="ar-SA"/>
        </w:rPr>
        <w:t xml:space="preserve">a </w:t>
      </w:r>
      <w:r w:rsidRPr="00DF1A2B">
        <w:rPr>
          <w:lang w:eastAsia="en-AU" w:bidi="ar-SA"/>
        </w:rPr>
        <w:t xml:space="preserve">significant difference in the microbial quality of produce between the two production methods, and concluded that fresh produce produced by both types of methods can be contaminated by microbial pathogens if the microbial quality of inputs are not managed </w:t>
      </w:r>
      <w:r w:rsidR="00657FDB">
        <w:rPr>
          <w:lang w:eastAsia="en-AU" w:bidi="ar-SA"/>
        </w:rPr>
        <w:t>(Kuan et al. 2017; Oliveira et al. 2010)</w:t>
      </w:r>
      <w:r w:rsidRPr="00DF1A2B">
        <w:rPr>
          <w:lang w:eastAsia="en-AU" w:bidi="ar-SA"/>
        </w:rPr>
        <w:t>.</w:t>
      </w:r>
    </w:p>
    <w:p w14:paraId="6FC94F5E" w14:textId="77777777" w:rsidR="00CA0DEE" w:rsidRPr="00DF1A2B" w:rsidRDefault="00CA0DEE" w:rsidP="00CA0DEE">
      <w:pPr>
        <w:rPr>
          <w:lang w:eastAsia="en-AU" w:bidi="ar-SA"/>
        </w:rPr>
      </w:pPr>
    </w:p>
    <w:p w14:paraId="18F6B62C" w14:textId="1305C645" w:rsidR="00CA0DEE" w:rsidRPr="00DF1A2B" w:rsidRDefault="00CA0DEE" w:rsidP="00CA0DEE">
      <w:pPr>
        <w:rPr>
          <w:rFonts w:cs="Arial"/>
          <w:szCs w:val="22"/>
        </w:rPr>
      </w:pPr>
      <w:r w:rsidRPr="00DF1A2B">
        <w:rPr>
          <w:lang w:eastAsia="en-AU" w:bidi="ar-SA"/>
        </w:rPr>
        <w:t>The</w:t>
      </w:r>
      <w:r>
        <w:rPr>
          <w:lang w:eastAsia="en-AU" w:bidi="ar-SA"/>
        </w:rPr>
        <w:t xml:space="preserve"> survival and growth of in-</w:t>
      </w:r>
      <w:r w:rsidRPr="00DF1A2B">
        <w:rPr>
          <w:lang w:eastAsia="en-AU" w:bidi="ar-SA"/>
        </w:rPr>
        <w:t xml:space="preserve">scope pathogens in hydroponic nutrient solutions has been reported. For example, </w:t>
      </w:r>
      <w:r w:rsidRPr="00DF1A2B">
        <w:rPr>
          <w:i/>
          <w:lang w:eastAsia="en-AU" w:bidi="ar-SA"/>
        </w:rPr>
        <w:t>Salmonella</w:t>
      </w:r>
      <w:r w:rsidRPr="00DF1A2B">
        <w:rPr>
          <w:lang w:eastAsia="en-AU" w:bidi="ar-SA"/>
        </w:rPr>
        <w:t xml:space="preserve"> </w:t>
      </w:r>
      <w:r>
        <w:rPr>
          <w:lang w:eastAsia="en-AU" w:bidi="ar-SA"/>
        </w:rPr>
        <w:t xml:space="preserve">spp. </w:t>
      </w:r>
      <w:r w:rsidRPr="00DF1A2B">
        <w:rPr>
          <w:lang w:eastAsia="en-AU" w:bidi="ar-SA"/>
        </w:rPr>
        <w:t xml:space="preserve">and </w:t>
      </w:r>
      <w:r w:rsidRPr="00DF1A2B">
        <w:rPr>
          <w:i/>
          <w:lang w:eastAsia="en-AU" w:bidi="ar-SA"/>
        </w:rPr>
        <w:t>E.</w:t>
      </w:r>
      <w:r>
        <w:rPr>
          <w:i/>
          <w:lang w:eastAsia="en-AU" w:bidi="ar-SA"/>
        </w:rPr>
        <w:t xml:space="preserve"> </w:t>
      </w:r>
      <w:r w:rsidRPr="00DF1A2B">
        <w:rPr>
          <w:i/>
          <w:lang w:eastAsia="en-AU" w:bidi="ar-SA"/>
        </w:rPr>
        <w:t>coli</w:t>
      </w:r>
      <w:r>
        <w:rPr>
          <w:lang w:eastAsia="en-AU" w:bidi="ar-SA"/>
        </w:rPr>
        <w:t xml:space="preserve"> O15</w:t>
      </w:r>
      <w:r w:rsidR="002B69A2">
        <w:rPr>
          <w:lang w:eastAsia="en-AU" w:bidi="ar-SA"/>
        </w:rPr>
        <w:t>7:H7 survived and grew (1-6 Log </w:t>
      </w:r>
      <w:r>
        <w:rPr>
          <w:lang w:eastAsia="en-AU" w:bidi="ar-SA"/>
        </w:rPr>
        <w:t>CFU in 24 hours</w:t>
      </w:r>
      <w:r w:rsidRPr="00DF1A2B">
        <w:rPr>
          <w:lang w:eastAsia="en-AU" w:bidi="ar-SA"/>
        </w:rPr>
        <w:t xml:space="preserve">) in common hydroponic fertilizer solutions (Shaw et al. 2016). Furthermore, </w:t>
      </w:r>
      <w:r w:rsidRPr="00DF1A2B">
        <w:rPr>
          <w:i/>
          <w:lang w:eastAsia="en-AU" w:bidi="ar-SA"/>
        </w:rPr>
        <w:t>E.</w:t>
      </w:r>
      <w:r>
        <w:rPr>
          <w:i/>
          <w:lang w:eastAsia="en-AU" w:bidi="ar-SA"/>
        </w:rPr>
        <w:t> </w:t>
      </w:r>
      <w:r w:rsidRPr="00DF1A2B">
        <w:rPr>
          <w:i/>
          <w:lang w:eastAsia="en-AU" w:bidi="ar-SA"/>
        </w:rPr>
        <w:t>coli</w:t>
      </w:r>
      <w:r>
        <w:rPr>
          <w:lang w:eastAsia="en-AU" w:bidi="ar-SA"/>
        </w:rPr>
        <w:t> </w:t>
      </w:r>
      <w:r w:rsidRPr="00DF1A2B">
        <w:rPr>
          <w:lang w:eastAsia="en-AU" w:bidi="ar-SA"/>
        </w:rPr>
        <w:t xml:space="preserve">O157:H7 has been found to survive and proliferate in soil-substitute and hydroponic production systems if contaminated seed was used, and proliferation was enhanced in the hydroponic system </w:t>
      </w:r>
      <w:r w:rsidR="00657FDB">
        <w:rPr>
          <w:lang w:eastAsia="en-AU" w:bidi="ar-SA"/>
        </w:rPr>
        <w:t>(Xiao et al. 2015)</w:t>
      </w:r>
      <w:r w:rsidRPr="00DF1A2B">
        <w:rPr>
          <w:lang w:eastAsia="en-AU" w:bidi="ar-SA"/>
        </w:rPr>
        <w:t>.</w:t>
      </w:r>
    </w:p>
    <w:p w14:paraId="4BB7748D" w14:textId="77777777" w:rsidR="00CA0DEE" w:rsidRPr="00DF1A2B" w:rsidRDefault="00CA0DEE" w:rsidP="00CA0DEE">
      <w:pPr>
        <w:rPr>
          <w:lang w:eastAsia="en-AU" w:bidi="ar-SA"/>
        </w:rPr>
      </w:pPr>
    </w:p>
    <w:p w14:paraId="57FF1266" w14:textId="77777777" w:rsidR="00CA0DEE" w:rsidRPr="00F035DB" w:rsidRDefault="00CA0DEE" w:rsidP="00CA0DEE">
      <w:pPr>
        <w:rPr>
          <w:lang w:eastAsia="en-AU" w:bidi="ar-SA"/>
        </w:rPr>
      </w:pPr>
      <w:r>
        <w:rPr>
          <w:lang w:eastAsia="en-AU" w:bidi="ar-SA"/>
        </w:rPr>
        <w:t>T</w:t>
      </w:r>
      <w:r w:rsidRPr="00DF1A2B">
        <w:rPr>
          <w:lang w:eastAsia="en-AU" w:bidi="ar-SA"/>
        </w:rPr>
        <w:t>he evidence spec</w:t>
      </w:r>
      <w:r>
        <w:rPr>
          <w:lang w:eastAsia="en-AU" w:bidi="ar-SA"/>
        </w:rPr>
        <w:t>ifically associated with the in-</w:t>
      </w:r>
      <w:r w:rsidRPr="00DF1A2B">
        <w:rPr>
          <w:lang w:eastAsia="en-AU" w:bidi="ar-SA"/>
        </w:rPr>
        <w:t>scope commodities and hazards</w:t>
      </w:r>
      <w:r>
        <w:rPr>
          <w:lang w:eastAsia="en-AU" w:bidi="ar-SA"/>
        </w:rPr>
        <w:t xml:space="preserve"> is</w:t>
      </w:r>
      <w:r w:rsidRPr="00DF1A2B">
        <w:rPr>
          <w:lang w:eastAsia="en-AU" w:bidi="ar-SA"/>
        </w:rPr>
        <w:t xml:space="preserve"> summarise</w:t>
      </w:r>
      <w:r>
        <w:rPr>
          <w:lang w:eastAsia="en-AU" w:bidi="ar-SA"/>
        </w:rPr>
        <w:t xml:space="preserve">d below. </w:t>
      </w:r>
    </w:p>
    <w:p w14:paraId="6F71B056" w14:textId="77777777" w:rsidR="00CA0DEE" w:rsidRDefault="00CA0DEE" w:rsidP="00CA0DEE">
      <w:pPr>
        <w:pStyle w:val="Heading4"/>
        <w:numPr>
          <w:ilvl w:val="3"/>
          <w:numId w:val="11"/>
        </w:numPr>
      </w:pPr>
      <w:r>
        <w:t>Leafy vegetables</w:t>
      </w:r>
    </w:p>
    <w:p w14:paraId="7786D8E9" w14:textId="77777777" w:rsidR="00CA0DEE" w:rsidRPr="000C190D" w:rsidRDefault="00CA0DEE" w:rsidP="00CA0DEE">
      <w:pPr>
        <w:rPr>
          <w:color w:val="000000" w:themeColor="text1"/>
          <w:highlight w:val="yellow"/>
          <w:lang w:bidi="ar-SA"/>
        </w:rPr>
      </w:pPr>
      <w:r w:rsidRPr="000C190D">
        <w:rPr>
          <w:color w:val="000000" w:themeColor="text1"/>
          <w:lang w:bidi="ar-SA"/>
        </w:rPr>
        <w:t>In Australia, leafy vegetables can be produced using a variety of methods including conventional and organic farming, field or protected cropping, and hydroponics.</w:t>
      </w:r>
    </w:p>
    <w:p w14:paraId="0B3C64A6" w14:textId="77777777" w:rsidR="00CA0DEE" w:rsidRPr="000C190D" w:rsidRDefault="00CA0DEE" w:rsidP="00CA0DEE">
      <w:pPr>
        <w:rPr>
          <w:color w:val="000000" w:themeColor="text1"/>
          <w:lang w:bidi="ar-SA"/>
        </w:rPr>
      </w:pPr>
    </w:p>
    <w:p w14:paraId="2C8EFA57" w14:textId="77777777" w:rsidR="0073537F" w:rsidRDefault="0073537F">
      <w:pPr>
        <w:widowControl/>
        <w:rPr>
          <w:color w:val="000000" w:themeColor="text1"/>
          <w:lang w:bidi="ar-SA"/>
        </w:rPr>
      </w:pPr>
      <w:r>
        <w:rPr>
          <w:color w:val="000000" w:themeColor="text1"/>
          <w:lang w:bidi="ar-SA"/>
        </w:rPr>
        <w:br w:type="page"/>
      </w:r>
    </w:p>
    <w:p w14:paraId="26EDED7A" w14:textId="1462C792" w:rsidR="00CA0DEE" w:rsidRPr="000C190D" w:rsidRDefault="00CA0DEE" w:rsidP="00CA0DEE">
      <w:pPr>
        <w:rPr>
          <w:color w:val="000000" w:themeColor="text1"/>
          <w:lang w:bidi="ar-SA"/>
        </w:rPr>
      </w:pPr>
      <w:r w:rsidRPr="000C190D">
        <w:rPr>
          <w:color w:val="000000" w:themeColor="text1"/>
          <w:lang w:bidi="ar-SA"/>
        </w:rPr>
        <w:t xml:space="preserve">There is mixed evidence regarding the potential for difference in the microbial quality of leafy vegetables produced by conventional or organic methods. For example, </w:t>
      </w:r>
      <w:r w:rsidRPr="000C190D">
        <w:rPr>
          <w:i/>
          <w:color w:val="000000" w:themeColor="text1"/>
          <w:lang w:bidi="ar-SA"/>
        </w:rPr>
        <w:t xml:space="preserve">Salmonella </w:t>
      </w:r>
      <w:r w:rsidRPr="009E0646">
        <w:rPr>
          <w:color w:val="000000" w:themeColor="text1"/>
          <w:lang w:bidi="ar-SA"/>
        </w:rPr>
        <w:t>spp</w:t>
      </w:r>
      <w:r>
        <w:rPr>
          <w:i/>
          <w:color w:val="000000" w:themeColor="text1"/>
          <w:lang w:bidi="ar-SA"/>
        </w:rPr>
        <w:t xml:space="preserve">. </w:t>
      </w:r>
      <w:r w:rsidRPr="000C190D">
        <w:rPr>
          <w:color w:val="000000" w:themeColor="text1"/>
          <w:lang w:bidi="ar-SA"/>
        </w:rPr>
        <w:t xml:space="preserve">or </w:t>
      </w:r>
      <w:r w:rsidRPr="000C190D">
        <w:rPr>
          <w:i/>
          <w:color w:val="000000" w:themeColor="text1"/>
          <w:lang w:bidi="ar-SA"/>
        </w:rPr>
        <w:t>E. coli</w:t>
      </w:r>
      <w:r w:rsidRPr="000C190D">
        <w:rPr>
          <w:color w:val="000000" w:themeColor="text1"/>
          <w:lang w:bidi="ar-SA"/>
        </w:rPr>
        <w:t xml:space="preserve"> O157:H7 were not detected in a variety of vegetables</w:t>
      </w:r>
      <w:r>
        <w:rPr>
          <w:color w:val="000000" w:themeColor="text1"/>
          <w:lang w:bidi="ar-SA"/>
        </w:rPr>
        <w:t xml:space="preserve"> (including lettuce)</w:t>
      </w:r>
      <w:r w:rsidRPr="000C190D">
        <w:rPr>
          <w:color w:val="000000" w:themeColor="text1"/>
          <w:lang w:bidi="ar-SA"/>
        </w:rPr>
        <w:t xml:space="preserve"> sampled at retail </w:t>
      </w:r>
      <w:r>
        <w:rPr>
          <w:color w:val="000000" w:themeColor="text1"/>
          <w:lang w:bidi="ar-SA"/>
        </w:rPr>
        <w:t>markets in South Korea, in 2011-</w:t>
      </w:r>
      <w:r w:rsidRPr="000C190D">
        <w:rPr>
          <w:color w:val="000000" w:themeColor="text1"/>
          <w:lang w:bidi="ar-SA"/>
        </w:rPr>
        <w:t>12, and no significant difference in overall microbiological quality as assessed by levels of aerobic mesophiles, coliforms and generic</w:t>
      </w:r>
      <w:r w:rsidRPr="000C190D">
        <w:rPr>
          <w:i/>
          <w:color w:val="000000" w:themeColor="text1"/>
          <w:lang w:bidi="ar-SA"/>
        </w:rPr>
        <w:t xml:space="preserve"> E.</w:t>
      </w:r>
      <w:r>
        <w:rPr>
          <w:i/>
          <w:color w:val="000000" w:themeColor="text1"/>
          <w:lang w:bidi="ar-SA"/>
        </w:rPr>
        <w:t> </w:t>
      </w:r>
      <w:r w:rsidRPr="000C190D">
        <w:rPr>
          <w:i/>
          <w:color w:val="000000" w:themeColor="text1"/>
          <w:lang w:bidi="ar-SA"/>
        </w:rPr>
        <w:t xml:space="preserve">coli </w:t>
      </w:r>
      <w:r w:rsidRPr="000C190D">
        <w:rPr>
          <w:color w:val="000000" w:themeColor="text1"/>
          <w:lang w:bidi="ar-SA"/>
        </w:rPr>
        <w:t xml:space="preserve">were identified between conventionally grown and ‘environmentally friendly’ products, </w:t>
      </w:r>
      <w:r w:rsidR="00657FDB">
        <w:rPr>
          <w:color w:val="000000" w:themeColor="text1"/>
          <w:lang w:bidi="ar-SA"/>
        </w:rPr>
        <w:t>(Ryu et al. 2014)</w:t>
      </w:r>
      <w:r w:rsidRPr="000C190D">
        <w:rPr>
          <w:color w:val="000000" w:themeColor="text1"/>
          <w:lang w:bidi="ar-SA"/>
        </w:rPr>
        <w:t xml:space="preserve">. In contrast, </w:t>
      </w:r>
      <w:r w:rsidR="00657FDB">
        <w:rPr>
          <w:color w:val="000000" w:themeColor="text1"/>
          <w:lang w:bidi="ar-SA"/>
        </w:rPr>
        <w:t>Szczech et al.</w:t>
      </w:r>
      <w:r w:rsidRPr="000C190D">
        <w:rPr>
          <w:color w:val="000000" w:themeColor="text1"/>
          <w:lang w:bidi="ar-SA"/>
        </w:rPr>
        <w:t xml:space="preserve"> </w:t>
      </w:r>
      <w:r w:rsidR="00657FDB">
        <w:rPr>
          <w:color w:val="000000" w:themeColor="text1"/>
          <w:lang w:bidi="ar-SA"/>
        </w:rPr>
        <w:t>(2018)</w:t>
      </w:r>
      <w:r w:rsidRPr="000C190D">
        <w:rPr>
          <w:color w:val="000000" w:themeColor="text1"/>
          <w:lang w:bidi="ar-SA"/>
        </w:rPr>
        <w:t xml:space="preserve"> analysed aerobic mesophilic bacteria, yeasts and moulds, </w:t>
      </w:r>
      <w:r w:rsidRPr="000C190D">
        <w:rPr>
          <w:i/>
          <w:color w:val="000000" w:themeColor="text1"/>
          <w:lang w:bidi="ar-SA"/>
        </w:rPr>
        <w:t>Enterobacteriaceae</w:t>
      </w:r>
      <w:r w:rsidRPr="000C190D">
        <w:rPr>
          <w:color w:val="000000" w:themeColor="text1"/>
          <w:lang w:bidi="ar-SA"/>
        </w:rPr>
        <w:t xml:space="preserve">, coliforms and </w:t>
      </w:r>
      <w:r w:rsidRPr="000C190D">
        <w:rPr>
          <w:i/>
          <w:color w:val="000000" w:themeColor="text1"/>
          <w:lang w:bidi="ar-SA"/>
        </w:rPr>
        <w:t>E. coli</w:t>
      </w:r>
      <w:r w:rsidRPr="000C190D">
        <w:rPr>
          <w:color w:val="000000" w:themeColor="text1"/>
          <w:lang w:bidi="ar-SA"/>
        </w:rPr>
        <w:t xml:space="preserve"> in lettuce, and other horticultural produce from organic and conventional production sys</w:t>
      </w:r>
      <w:r>
        <w:rPr>
          <w:color w:val="000000" w:themeColor="text1"/>
          <w:lang w:bidi="ar-SA"/>
        </w:rPr>
        <w:t>tems in Poland during 2010-</w:t>
      </w:r>
      <w:r w:rsidRPr="000C190D">
        <w:rPr>
          <w:color w:val="000000" w:themeColor="text1"/>
          <w:lang w:bidi="ar-SA"/>
        </w:rPr>
        <w:t xml:space="preserve">2014, and determined that organic lettuce harboured significantly more bacteria than conventional lettuce (mesophilic 6.7 and 6.4 Log CFU/g, coliforms 1.8 and 1.4 Log CFU/g; </w:t>
      </w:r>
      <w:r w:rsidRPr="000C190D">
        <w:rPr>
          <w:i/>
          <w:color w:val="000000" w:themeColor="text1"/>
          <w:lang w:bidi="ar-SA"/>
        </w:rPr>
        <w:t>Enterobacteriaceae</w:t>
      </w:r>
      <w:r w:rsidRPr="000C190D">
        <w:rPr>
          <w:color w:val="000000" w:themeColor="text1"/>
          <w:lang w:bidi="ar-SA"/>
        </w:rPr>
        <w:t xml:space="preserve"> 2.5 and 1.9 Log CFU/g; </w:t>
      </w:r>
      <w:r w:rsidRPr="000C190D">
        <w:rPr>
          <w:i/>
          <w:color w:val="000000" w:themeColor="text1"/>
          <w:lang w:bidi="ar-SA"/>
        </w:rPr>
        <w:t>E. coli</w:t>
      </w:r>
      <w:r w:rsidRPr="000C190D">
        <w:rPr>
          <w:color w:val="000000" w:themeColor="text1"/>
          <w:lang w:bidi="ar-SA"/>
        </w:rPr>
        <w:t xml:space="preserve"> 0.5 and 0.1 Log CFU/g for organic and conventional</w:t>
      </w:r>
      <w:r>
        <w:rPr>
          <w:color w:val="000000" w:themeColor="text1"/>
          <w:lang w:bidi="ar-SA"/>
        </w:rPr>
        <w:t>,</w:t>
      </w:r>
      <w:r w:rsidRPr="000C190D">
        <w:rPr>
          <w:color w:val="000000" w:themeColor="text1"/>
          <w:lang w:bidi="ar-SA"/>
        </w:rPr>
        <w:t xml:space="preserve"> respectively). It was concluded that the fertilization system practiced in organic farms</w:t>
      </w:r>
      <w:r>
        <w:rPr>
          <w:szCs w:val="22"/>
        </w:rPr>
        <w:t>—</w:t>
      </w:r>
      <w:r w:rsidRPr="000C190D">
        <w:rPr>
          <w:color w:val="000000" w:themeColor="text1"/>
          <w:lang w:bidi="ar-SA"/>
        </w:rPr>
        <w:t>the application of animal manures both composted and not composted</w:t>
      </w:r>
      <w:r>
        <w:rPr>
          <w:szCs w:val="22"/>
        </w:rPr>
        <w:t>—</w:t>
      </w:r>
      <w:r w:rsidRPr="000C190D">
        <w:rPr>
          <w:color w:val="000000" w:themeColor="text1"/>
          <w:lang w:bidi="ar-SA"/>
        </w:rPr>
        <w:t xml:space="preserve">may deteriorate the sanitary quality of the produce. Another study assessed microbiological quality of 354 samples of leafy vegetables </w:t>
      </w:r>
      <w:r>
        <w:rPr>
          <w:color w:val="000000" w:themeColor="text1"/>
          <w:lang w:bidi="ar-SA"/>
        </w:rPr>
        <w:t xml:space="preserve">(including spinach and lettuce) </w:t>
      </w:r>
      <w:r w:rsidRPr="000C190D">
        <w:rPr>
          <w:color w:val="000000" w:themeColor="text1"/>
          <w:lang w:bidi="ar-SA"/>
        </w:rPr>
        <w:t xml:space="preserve">from organic and conventional production systems in Korea by detecting indicator organisms (aerobic bacteria, coliforms, and </w:t>
      </w:r>
      <w:r>
        <w:rPr>
          <w:i/>
          <w:color w:val="000000" w:themeColor="text1"/>
          <w:lang w:bidi="ar-SA"/>
        </w:rPr>
        <w:t>E.</w:t>
      </w:r>
      <w:r w:rsidRPr="000C190D">
        <w:rPr>
          <w:i/>
          <w:color w:val="000000" w:themeColor="text1"/>
          <w:lang w:bidi="ar-SA"/>
        </w:rPr>
        <w:t xml:space="preserve"> coli</w:t>
      </w:r>
      <w:r w:rsidRPr="000C190D">
        <w:rPr>
          <w:color w:val="000000" w:themeColor="text1"/>
          <w:lang w:bidi="ar-SA"/>
        </w:rPr>
        <w:t>) and pathogens (</w:t>
      </w:r>
      <w:r w:rsidRPr="000C190D">
        <w:rPr>
          <w:i/>
          <w:color w:val="000000" w:themeColor="text1"/>
          <w:lang w:bidi="ar-SA"/>
        </w:rPr>
        <w:t>S. aureus</w:t>
      </w:r>
      <w:r w:rsidRPr="000C190D">
        <w:rPr>
          <w:color w:val="000000" w:themeColor="text1"/>
          <w:lang w:bidi="ar-SA"/>
        </w:rPr>
        <w:t xml:space="preserve">, </w:t>
      </w:r>
      <w:r w:rsidRPr="000C190D">
        <w:rPr>
          <w:i/>
          <w:color w:val="000000" w:themeColor="text1"/>
          <w:lang w:bidi="ar-SA"/>
        </w:rPr>
        <w:t>E. coli</w:t>
      </w:r>
      <w:r w:rsidRPr="000C190D">
        <w:rPr>
          <w:color w:val="000000" w:themeColor="text1"/>
          <w:lang w:bidi="ar-SA"/>
        </w:rPr>
        <w:t xml:space="preserve"> O157:H7, </w:t>
      </w:r>
      <w:r w:rsidRPr="000C190D">
        <w:rPr>
          <w:i/>
          <w:color w:val="000000" w:themeColor="text1"/>
          <w:lang w:bidi="ar-SA"/>
        </w:rPr>
        <w:t>L. monocytogenes</w:t>
      </w:r>
      <w:r w:rsidRPr="000C190D">
        <w:rPr>
          <w:color w:val="000000" w:themeColor="text1"/>
          <w:lang w:bidi="ar-SA"/>
        </w:rPr>
        <w:t xml:space="preserve">, </w:t>
      </w:r>
      <w:r>
        <w:rPr>
          <w:i/>
          <w:color w:val="000000" w:themeColor="text1"/>
          <w:lang w:bidi="ar-SA"/>
        </w:rPr>
        <w:t>Bacillus</w:t>
      </w:r>
      <w:r w:rsidRPr="000C190D">
        <w:rPr>
          <w:i/>
          <w:color w:val="000000" w:themeColor="text1"/>
          <w:lang w:bidi="ar-SA"/>
        </w:rPr>
        <w:t xml:space="preserve"> cereus</w:t>
      </w:r>
      <w:r w:rsidRPr="000C190D">
        <w:rPr>
          <w:color w:val="000000" w:themeColor="text1"/>
          <w:lang w:bidi="ar-SA"/>
        </w:rPr>
        <w:t xml:space="preserve">, and </w:t>
      </w:r>
      <w:r w:rsidRPr="000C190D">
        <w:rPr>
          <w:i/>
          <w:color w:val="000000" w:themeColor="text1"/>
          <w:lang w:bidi="ar-SA"/>
        </w:rPr>
        <w:t>Salmonella</w:t>
      </w:r>
      <w:r>
        <w:rPr>
          <w:i/>
          <w:color w:val="000000" w:themeColor="text1"/>
          <w:lang w:bidi="ar-SA"/>
        </w:rPr>
        <w:t xml:space="preserve"> </w:t>
      </w:r>
      <w:r>
        <w:rPr>
          <w:color w:val="000000" w:themeColor="text1"/>
          <w:lang w:bidi="ar-SA"/>
        </w:rPr>
        <w:t>spp.</w:t>
      </w:r>
      <w:r w:rsidRPr="000C190D">
        <w:rPr>
          <w:color w:val="000000" w:themeColor="text1"/>
          <w:lang w:bidi="ar-SA"/>
        </w:rPr>
        <w:t xml:space="preserve">). All pathogens except </w:t>
      </w:r>
      <w:r w:rsidRPr="000C190D">
        <w:rPr>
          <w:i/>
          <w:color w:val="000000" w:themeColor="text1"/>
          <w:lang w:bidi="ar-SA"/>
        </w:rPr>
        <w:t>Salmonella</w:t>
      </w:r>
      <w:r w:rsidRPr="000C190D">
        <w:rPr>
          <w:color w:val="000000" w:themeColor="text1"/>
          <w:lang w:bidi="ar-SA"/>
        </w:rPr>
        <w:t xml:space="preserve"> </w:t>
      </w:r>
      <w:r>
        <w:rPr>
          <w:color w:val="000000" w:themeColor="text1"/>
          <w:lang w:bidi="ar-SA"/>
        </w:rPr>
        <w:t xml:space="preserve">spp. </w:t>
      </w:r>
      <w:r w:rsidRPr="000C190D">
        <w:rPr>
          <w:color w:val="000000" w:themeColor="text1"/>
          <w:lang w:bidi="ar-SA"/>
        </w:rPr>
        <w:t>were detected, but the study found that farming type</w:t>
      </w:r>
      <w:r>
        <w:rPr>
          <w:color w:val="000000" w:themeColor="text1"/>
          <w:lang w:bidi="ar-SA"/>
        </w:rPr>
        <w:t>,</w:t>
      </w:r>
      <w:r w:rsidRPr="000C190D">
        <w:rPr>
          <w:color w:val="000000" w:themeColor="text1"/>
          <w:lang w:bidi="ar-SA"/>
        </w:rPr>
        <w:t xml:space="preserve"> at most</w:t>
      </w:r>
      <w:r>
        <w:rPr>
          <w:color w:val="000000" w:themeColor="text1"/>
          <w:lang w:bidi="ar-SA"/>
        </w:rPr>
        <w:t>,</w:t>
      </w:r>
      <w:r w:rsidRPr="000C190D">
        <w:rPr>
          <w:color w:val="000000" w:themeColor="text1"/>
          <w:lang w:bidi="ar-SA"/>
        </w:rPr>
        <w:t xml:space="preserve"> only slightly affects the hygienic quality of leafy vegetables </w:t>
      </w:r>
      <w:r w:rsidR="00657FDB">
        <w:rPr>
          <w:color w:val="000000" w:themeColor="text1"/>
          <w:lang w:bidi="ar-SA"/>
        </w:rPr>
        <w:t>(Tango et al. 2014)</w:t>
      </w:r>
      <w:r w:rsidRPr="000C190D">
        <w:rPr>
          <w:color w:val="000000" w:themeColor="text1"/>
          <w:lang w:bidi="ar-SA"/>
        </w:rPr>
        <w:t>.</w:t>
      </w:r>
    </w:p>
    <w:p w14:paraId="10BC2B81" w14:textId="77777777" w:rsidR="00CA0DEE" w:rsidRPr="000C190D" w:rsidRDefault="00CA0DEE" w:rsidP="00CA0DEE">
      <w:pPr>
        <w:rPr>
          <w:b/>
          <w:color w:val="000000" w:themeColor="text1"/>
          <w:lang w:bidi="ar-SA"/>
        </w:rPr>
      </w:pPr>
    </w:p>
    <w:p w14:paraId="1DDDA099" w14:textId="6E65A0A7" w:rsidR="00CA0DEE" w:rsidRPr="000C190D" w:rsidRDefault="00CA0DEE" w:rsidP="00CA0DEE">
      <w:pPr>
        <w:rPr>
          <w:color w:val="000000" w:themeColor="text1"/>
          <w:lang w:bidi="ar-SA"/>
        </w:rPr>
      </w:pPr>
      <w:r w:rsidRPr="000C190D">
        <w:rPr>
          <w:color w:val="000000" w:themeColor="text1"/>
          <w:lang w:bidi="ar-SA"/>
        </w:rPr>
        <w:t>There is limited evidence of differences in the microbial quality of leafy vegetables grown in soil or hydroponic soil</w:t>
      </w:r>
      <w:r>
        <w:rPr>
          <w:color w:val="000000" w:themeColor="text1"/>
          <w:lang w:bidi="ar-SA"/>
        </w:rPr>
        <w:t>-</w:t>
      </w:r>
      <w:r w:rsidRPr="000C190D">
        <w:rPr>
          <w:color w:val="000000" w:themeColor="text1"/>
          <w:lang w:bidi="ar-SA"/>
        </w:rPr>
        <w:t>less systems. In one study, the levels of mesophilic bacteria, lactic acid bacteria and total coliforms on lettuce grown in soil</w:t>
      </w:r>
      <w:r>
        <w:rPr>
          <w:color w:val="000000" w:themeColor="text1"/>
          <w:lang w:bidi="ar-SA"/>
        </w:rPr>
        <w:t>-</w:t>
      </w:r>
      <w:r w:rsidRPr="000C190D">
        <w:rPr>
          <w:color w:val="000000" w:themeColor="text1"/>
          <w:lang w:bidi="ar-SA"/>
        </w:rPr>
        <w:t xml:space="preserve">less hydroponic systems were reported to be significantly lower than on lettuce grown in soil, with the authors concluding that the hydroponic system was more effective in controlling microbial contamination </w:t>
      </w:r>
      <w:r w:rsidR="00657FDB">
        <w:rPr>
          <w:color w:val="000000" w:themeColor="text1"/>
          <w:lang w:bidi="ar-SA"/>
        </w:rPr>
        <w:t>(Selma et al. 2012)</w:t>
      </w:r>
      <w:r w:rsidRPr="000C190D">
        <w:rPr>
          <w:color w:val="000000" w:themeColor="text1"/>
          <w:lang w:bidi="ar-SA"/>
        </w:rPr>
        <w:t xml:space="preserve">. However, comparative analysis of differences in both background microflora or the occurrence of pathogens between these systems is lacking. Evidence for the potential of internalisation and attachment by pathogens to leafy vegetables if present in hydroponic systems is well documented in the literature </w:t>
      </w:r>
      <w:r w:rsidR="00657FDB">
        <w:rPr>
          <w:color w:val="000000" w:themeColor="text1"/>
          <w:lang w:bidi="ar-SA"/>
        </w:rPr>
        <w:t>(Koseki et al. 2011; Kyere et al. 2019; Riggio et al. 2019; Sharma et al. 2009)</w:t>
      </w:r>
      <w:r w:rsidRPr="000C190D">
        <w:rPr>
          <w:color w:val="000000" w:themeColor="text1"/>
          <w:lang w:bidi="ar-SA"/>
        </w:rPr>
        <w:t xml:space="preserve">. </w:t>
      </w:r>
    </w:p>
    <w:p w14:paraId="5A66D1EA" w14:textId="77777777" w:rsidR="00CA0DEE" w:rsidRPr="000C5B64" w:rsidRDefault="00CA0DEE" w:rsidP="00CA0DEE">
      <w:pPr>
        <w:pStyle w:val="Heading4"/>
        <w:numPr>
          <w:ilvl w:val="3"/>
          <w:numId w:val="11"/>
        </w:numPr>
      </w:pPr>
      <w:r>
        <w:t>Berries</w:t>
      </w:r>
    </w:p>
    <w:p w14:paraId="358FF106" w14:textId="77777777" w:rsidR="00CA0DEE" w:rsidRDefault="00CA0DEE" w:rsidP="00CA0DEE">
      <w:pPr>
        <w:widowControl/>
        <w:autoSpaceDE w:val="0"/>
        <w:autoSpaceDN w:val="0"/>
        <w:adjustRightInd w:val="0"/>
        <w:rPr>
          <w:rFonts w:cs="Arial"/>
          <w:szCs w:val="22"/>
          <w:lang w:eastAsia="en-GB" w:bidi="ar-SA"/>
        </w:rPr>
      </w:pPr>
      <w:r w:rsidRPr="00F32E1E">
        <w:rPr>
          <w:rFonts w:cs="Arial"/>
          <w:szCs w:val="22"/>
          <w:lang w:eastAsia="en-GB" w:bidi="ar-SA"/>
        </w:rPr>
        <w:t xml:space="preserve">In Australia the majority of strawberries are grown in open fields, with limited hydroponic production. Blueberries and raspberries are generally grown in protected cropping under </w:t>
      </w:r>
      <w:r>
        <w:rPr>
          <w:rFonts w:cs="Arial"/>
          <w:szCs w:val="22"/>
          <w:lang w:eastAsia="en-GB" w:bidi="ar-SA"/>
        </w:rPr>
        <w:t xml:space="preserve">polythene </w:t>
      </w:r>
      <w:r w:rsidRPr="00F32E1E">
        <w:rPr>
          <w:rFonts w:cs="Arial"/>
          <w:szCs w:val="22"/>
          <w:lang w:eastAsia="en-GB" w:bidi="ar-SA"/>
        </w:rPr>
        <w:t xml:space="preserve">plastic tunnels or </w:t>
      </w:r>
      <w:r w:rsidRPr="004D0EF3">
        <w:rPr>
          <w:rFonts w:cs="Arial"/>
          <w:szCs w:val="22"/>
          <w:lang w:eastAsia="en-GB" w:bidi="ar-SA"/>
        </w:rPr>
        <w:t>netting. No Australian studies were identified that evaluated diffe</w:t>
      </w:r>
      <w:r>
        <w:rPr>
          <w:rFonts w:cs="Arial"/>
          <w:szCs w:val="22"/>
          <w:lang w:eastAsia="en-GB" w:bidi="ar-SA"/>
        </w:rPr>
        <w:t>rences in the microbiological hazards</w:t>
      </w:r>
      <w:r w:rsidRPr="004D0EF3">
        <w:rPr>
          <w:rFonts w:cs="Arial"/>
          <w:szCs w:val="22"/>
          <w:lang w:eastAsia="en-GB" w:bidi="ar-SA"/>
        </w:rPr>
        <w:t xml:space="preserve"> between different production methods.</w:t>
      </w:r>
    </w:p>
    <w:p w14:paraId="6E1E460C" w14:textId="77777777" w:rsidR="00CA0DEE" w:rsidRDefault="00CA0DEE" w:rsidP="00CA0DEE">
      <w:pPr>
        <w:widowControl/>
        <w:autoSpaceDE w:val="0"/>
        <w:autoSpaceDN w:val="0"/>
        <w:adjustRightInd w:val="0"/>
        <w:rPr>
          <w:rFonts w:cs="Arial"/>
          <w:szCs w:val="22"/>
          <w:lang w:eastAsia="en-GB" w:bidi="ar-SA"/>
        </w:rPr>
      </w:pPr>
    </w:p>
    <w:p w14:paraId="1A723685" w14:textId="6D590E30" w:rsidR="00CA0DEE" w:rsidRPr="001F6CBE" w:rsidRDefault="00CA0DEE" w:rsidP="00CA0DEE">
      <w:pPr>
        <w:widowControl/>
        <w:autoSpaceDE w:val="0"/>
        <w:autoSpaceDN w:val="0"/>
        <w:adjustRightInd w:val="0"/>
        <w:rPr>
          <w:rFonts w:cs="Arial"/>
          <w:szCs w:val="22"/>
          <w:lang w:eastAsia="en-GB" w:bidi="ar-SA"/>
        </w:rPr>
      </w:pPr>
      <w:r w:rsidRPr="00AD74EA">
        <w:rPr>
          <w:rFonts w:cs="Arial"/>
          <w:szCs w:val="22"/>
          <w:lang w:eastAsia="en-GB" w:bidi="ar-SA"/>
        </w:rPr>
        <w:t>Internationally, a Belgi</w:t>
      </w:r>
      <w:r>
        <w:rPr>
          <w:rFonts w:cs="Arial"/>
          <w:szCs w:val="22"/>
          <w:lang w:eastAsia="en-GB" w:bidi="ar-SA"/>
        </w:rPr>
        <w:t>an</w:t>
      </w:r>
      <w:r w:rsidRPr="00AD74EA">
        <w:rPr>
          <w:rFonts w:cs="Arial"/>
          <w:szCs w:val="22"/>
          <w:lang w:eastAsia="en-GB" w:bidi="ar-SA"/>
        </w:rPr>
        <w:t xml:space="preserve"> study of strawb</w:t>
      </w:r>
      <w:r>
        <w:rPr>
          <w:rFonts w:cs="Arial"/>
          <w:szCs w:val="22"/>
          <w:lang w:eastAsia="en-GB" w:bidi="ar-SA"/>
        </w:rPr>
        <w:t>erry producers found that t</w:t>
      </w:r>
      <w:r>
        <w:rPr>
          <w:szCs w:val="22"/>
        </w:rPr>
        <w:t xml:space="preserve">he different cultivation methods for strawberries—grown in soil in the field or plastic tunnels versus grown in substrate in greenhouses or plastic tunnels—did not significantly affect the prevalence of STEC contamination of strawberries, with no STEC detected on strawberries regardless of the cultivation method </w:t>
      </w:r>
      <w:r w:rsidR="00657FDB">
        <w:rPr>
          <w:rFonts w:cs="Arial"/>
          <w:szCs w:val="22"/>
        </w:rPr>
        <w:t>(Delbeke et al. 2015)</w:t>
      </w:r>
      <w:r>
        <w:rPr>
          <w:rFonts w:cs="Arial"/>
          <w:szCs w:val="22"/>
        </w:rPr>
        <w:t xml:space="preserve">. STEC was detected in </w:t>
      </w:r>
      <w:r w:rsidRPr="00355962">
        <w:rPr>
          <w:rFonts w:cs="Arial"/>
          <w:szCs w:val="22"/>
        </w:rPr>
        <w:t xml:space="preserve">8.3% </w:t>
      </w:r>
      <w:r>
        <w:rPr>
          <w:rFonts w:cs="Arial"/>
          <w:szCs w:val="22"/>
        </w:rPr>
        <w:t xml:space="preserve">of </w:t>
      </w:r>
      <w:r w:rsidRPr="00355962">
        <w:rPr>
          <w:rFonts w:cs="Arial"/>
          <w:szCs w:val="22"/>
        </w:rPr>
        <w:t>substrate</w:t>
      </w:r>
      <w:r>
        <w:rPr>
          <w:rFonts w:cs="Arial"/>
          <w:szCs w:val="22"/>
        </w:rPr>
        <w:t xml:space="preserve"> samples</w:t>
      </w:r>
      <w:r w:rsidRPr="00355962">
        <w:rPr>
          <w:rFonts w:cs="Arial"/>
          <w:szCs w:val="22"/>
        </w:rPr>
        <w:t xml:space="preserve"> (2/24)</w:t>
      </w:r>
      <w:r>
        <w:rPr>
          <w:rFonts w:cs="Arial"/>
          <w:szCs w:val="22"/>
        </w:rPr>
        <w:t xml:space="preserve"> (both samples culture confirmed as STEC O26) but was not detected on swabs of plastic foil covering the soil (0/24)</w:t>
      </w:r>
      <w:r w:rsidRPr="0002138B">
        <w:rPr>
          <w:rFonts w:cs="Arial"/>
          <w:szCs w:val="22"/>
        </w:rPr>
        <w:t xml:space="preserve"> </w:t>
      </w:r>
      <w:r w:rsidR="00657FDB">
        <w:rPr>
          <w:rFonts w:cs="Arial"/>
          <w:szCs w:val="22"/>
        </w:rPr>
        <w:t>(Delbeke et al. 2015)</w:t>
      </w:r>
      <w:r>
        <w:rPr>
          <w:rFonts w:cs="Arial"/>
          <w:szCs w:val="22"/>
        </w:rPr>
        <w:t>.</w:t>
      </w:r>
    </w:p>
    <w:p w14:paraId="2AA23F0B" w14:textId="77777777" w:rsidR="00CA0DEE" w:rsidRDefault="00CA0DEE" w:rsidP="00CA0DEE">
      <w:pPr>
        <w:pStyle w:val="Heading4"/>
        <w:numPr>
          <w:ilvl w:val="3"/>
          <w:numId w:val="11"/>
        </w:numPr>
      </w:pPr>
      <w:r>
        <w:t>Melons</w:t>
      </w:r>
    </w:p>
    <w:p w14:paraId="2D5961B6" w14:textId="369C16E6" w:rsidR="00CA0DEE" w:rsidRPr="003D631C" w:rsidRDefault="00CA0DEE" w:rsidP="00CA0DEE">
      <w:pPr>
        <w:rPr>
          <w:color w:val="4BACC6" w:themeColor="accent5"/>
        </w:rPr>
      </w:pPr>
      <w:r>
        <w:t xml:space="preserve">Although melons are generally grown in the field, protective cropping for high value specialty melons using greenhouses or polyethylene tunnels has been investigated in Australia </w:t>
      </w:r>
      <w:r w:rsidR="00657FDB">
        <w:t>(Jovicich and Wiggenhauser 2015)</w:t>
      </w:r>
      <w:r>
        <w:t>. However, no evidence specifically evaluating differences in hazards for these systems were identified.</w:t>
      </w:r>
    </w:p>
    <w:p w14:paraId="59065F5A" w14:textId="77777777" w:rsidR="00CA0DEE" w:rsidRDefault="00CA0DEE" w:rsidP="00787E56">
      <w:pPr>
        <w:pStyle w:val="Heading3"/>
        <w:numPr>
          <w:ilvl w:val="2"/>
          <w:numId w:val="11"/>
        </w:numPr>
      </w:pPr>
      <w:bookmarkStart w:id="320" w:name="_Toc56693454"/>
      <w:bookmarkStart w:id="321" w:name="_Toc58327807"/>
      <w:bookmarkStart w:id="322" w:name="_Toc58333987"/>
      <w:bookmarkStart w:id="323" w:name="_Toc64448794"/>
      <w:bookmarkStart w:id="324" w:name="_Toc87860055"/>
      <w:r>
        <w:t>Conclusions, uncertainty, and data gaps</w:t>
      </w:r>
      <w:bookmarkEnd w:id="320"/>
      <w:bookmarkEnd w:id="321"/>
      <w:bookmarkEnd w:id="322"/>
      <w:bookmarkEnd w:id="323"/>
      <w:bookmarkEnd w:id="324"/>
    </w:p>
    <w:p w14:paraId="6484F089" w14:textId="77777777" w:rsidR="00CA0DEE" w:rsidRDefault="00CA0DEE" w:rsidP="00CA0DEE">
      <w:r>
        <w:t>T</w:t>
      </w:r>
      <w:r w:rsidRPr="00B76E4F">
        <w:t xml:space="preserve">here is limited evidence </w:t>
      </w:r>
      <w:r>
        <w:t>available to be able to determine if the method of</w:t>
      </w:r>
      <w:r w:rsidRPr="00B76E4F">
        <w:t xml:space="preserve"> production </w:t>
      </w:r>
      <w:r>
        <w:t xml:space="preserve">significantly influences </w:t>
      </w:r>
      <w:r w:rsidRPr="00B76E4F">
        <w:t>the</w:t>
      </w:r>
      <w:r>
        <w:t xml:space="preserve"> likelihood of contamination for any of the in-scope commodities. As </w:t>
      </w:r>
      <w:r w:rsidRPr="00BD2FE2">
        <w:t xml:space="preserve">such, there is high uncertainty as to how different production methods can influence the likelihood for contamination. However, the microbial quality of agricultural inputs will be a significant determining factor regarding </w:t>
      </w:r>
      <w:r>
        <w:t>the risk associated with any production system.</w:t>
      </w:r>
    </w:p>
    <w:p w14:paraId="5B0CA6BD" w14:textId="77777777" w:rsidR="00CA0DEE" w:rsidRDefault="00CA0DEE" w:rsidP="00787E56">
      <w:pPr>
        <w:pStyle w:val="Heading3"/>
        <w:numPr>
          <w:ilvl w:val="2"/>
          <w:numId w:val="11"/>
        </w:numPr>
      </w:pPr>
      <w:bookmarkStart w:id="325" w:name="_Toc56693455"/>
      <w:bookmarkStart w:id="326" w:name="_Toc58327808"/>
      <w:bookmarkStart w:id="327" w:name="_Toc58333988"/>
      <w:bookmarkStart w:id="328" w:name="_Toc64448795"/>
      <w:bookmarkStart w:id="329" w:name="_Toc87860056"/>
      <w:r>
        <w:t>Mitigation measures</w:t>
      </w:r>
      <w:bookmarkEnd w:id="325"/>
      <w:bookmarkEnd w:id="326"/>
      <w:bookmarkEnd w:id="327"/>
      <w:bookmarkEnd w:id="328"/>
      <w:bookmarkEnd w:id="329"/>
    </w:p>
    <w:p w14:paraId="0F657AE1" w14:textId="77777777" w:rsidR="00CA0DEE" w:rsidRDefault="00CA0DEE" w:rsidP="001F2457">
      <w:pPr>
        <w:spacing w:after="120"/>
      </w:pPr>
      <w:r w:rsidRPr="00B76E4F">
        <w:t xml:space="preserve">The microbial quality of inputs in any </w:t>
      </w:r>
      <w:r>
        <w:t xml:space="preserve">production </w:t>
      </w:r>
      <w:r w:rsidRPr="00B76E4F">
        <w:t xml:space="preserve">system need to be managed to ensure end </w:t>
      </w:r>
      <w:r>
        <w:t>product safety, whether that be:</w:t>
      </w:r>
    </w:p>
    <w:p w14:paraId="4327B186" w14:textId="77777777" w:rsidR="00CA0DEE" w:rsidRDefault="00CA0DEE" w:rsidP="00CA0DEE">
      <w:pPr>
        <w:pStyle w:val="ListParagraph"/>
        <w:numPr>
          <w:ilvl w:val="0"/>
          <w:numId w:val="35"/>
        </w:numPr>
      </w:pPr>
      <w:r>
        <w:t xml:space="preserve">Water in the field or in </w:t>
      </w:r>
      <w:r w:rsidRPr="00B76E4F">
        <w:t>greenhouse, hydroponic or other protected cropping</w:t>
      </w:r>
      <w:r>
        <w:t xml:space="preserve"> system, or</w:t>
      </w:r>
    </w:p>
    <w:p w14:paraId="64D24CD3" w14:textId="77777777" w:rsidR="00CA0DEE" w:rsidRDefault="00CA0DEE" w:rsidP="00CA0DEE">
      <w:pPr>
        <w:pStyle w:val="ListParagraph"/>
        <w:numPr>
          <w:ilvl w:val="0"/>
          <w:numId w:val="35"/>
        </w:numPr>
      </w:pPr>
      <w:r>
        <w:t>S</w:t>
      </w:r>
      <w:r w:rsidRPr="00B76E4F">
        <w:t xml:space="preserve">oil or amendments in the field or </w:t>
      </w:r>
      <w:r>
        <w:t>substrates in soil-less cropping systems.</w:t>
      </w:r>
    </w:p>
    <w:p w14:paraId="4836C64A" w14:textId="77777777" w:rsidR="0055458D" w:rsidRPr="00FE3604" w:rsidRDefault="00CA0DEE" w:rsidP="0055458D">
      <w:pPr>
        <w:pStyle w:val="Heading1"/>
        <w:numPr>
          <w:ilvl w:val="0"/>
          <w:numId w:val="11"/>
        </w:numPr>
        <w:ind w:right="454"/>
      </w:pPr>
      <w:r>
        <w:br w:type="page"/>
      </w:r>
      <w:bookmarkStart w:id="330" w:name="_Toc56693456"/>
      <w:bookmarkStart w:id="331" w:name="_Toc58327809"/>
      <w:bookmarkStart w:id="332" w:name="_Toc58333989"/>
      <w:bookmarkStart w:id="333" w:name="_Toc64448796"/>
      <w:bookmarkStart w:id="334" w:name="_Toc87860057"/>
      <w:r w:rsidR="0055458D">
        <w:t>Harvest and field packing risk factors</w:t>
      </w:r>
      <w:bookmarkEnd w:id="330"/>
      <w:bookmarkEnd w:id="331"/>
      <w:bookmarkEnd w:id="332"/>
      <w:bookmarkEnd w:id="333"/>
      <w:bookmarkEnd w:id="334"/>
    </w:p>
    <w:p w14:paraId="7861E696" w14:textId="3435E6D3" w:rsidR="0055458D" w:rsidRDefault="0055458D" w:rsidP="0055458D">
      <w:pPr>
        <w:rPr>
          <w:lang w:eastAsia="en-AU" w:bidi="ar-SA"/>
        </w:rPr>
      </w:pPr>
      <w:r w:rsidRPr="00DF1A2B">
        <w:rPr>
          <w:lang w:bidi="ar-SA"/>
        </w:rPr>
        <w:t xml:space="preserve">The methods of harvesting fresh produce are diverse and can be achieved mechanically or by hand. Some produce will be packed in the growing field with or without minor processing (e.g. removing outer leaves) and other produce will be transported to packhouses (either on farm or off farm) for further </w:t>
      </w:r>
      <w:r>
        <w:rPr>
          <w:lang w:bidi="ar-SA"/>
        </w:rPr>
        <w:t>postharvest</w:t>
      </w:r>
      <w:r w:rsidRPr="00DF1A2B">
        <w:rPr>
          <w:lang w:bidi="ar-SA"/>
        </w:rPr>
        <w:t xml:space="preserve"> processing. Risk factors for microbial contamination or cross-contamination in the field during harvesting and field packing include the initial level of contamination of fresh produce, the level of handling by workers, the health and hygiene practices of the workers, the types and cleanliness of tools and equipment used, and level of contact with the field environment during harvest and transport </w:t>
      </w:r>
      <w:r w:rsidR="00657FDB">
        <w:rPr>
          <w:lang w:eastAsia="en-AU" w:bidi="ar-SA"/>
        </w:rPr>
        <w:t>(Codex 2012; FAO/WHO 2008b)</w:t>
      </w:r>
      <w:r w:rsidRPr="00DF1A2B">
        <w:rPr>
          <w:lang w:eastAsia="en-AU" w:bidi="ar-SA"/>
        </w:rPr>
        <w:t>.</w:t>
      </w:r>
    </w:p>
    <w:p w14:paraId="12E50AD7" w14:textId="77777777" w:rsidR="00E44DB7" w:rsidRPr="00DF1A2B" w:rsidRDefault="00E44DB7" w:rsidP="0055458D">
      <w:pPr>
        <w:rPr>
          <w:lang w:bidi="ar-SA"/>
        </w:rPr>
      </w:pPr>
    </w:p>
    <w:p w14:paraId="5ED8034C" w14:textId="77777777" w:rsidR="0055458D" w:rsidRDefault="0055458D" w:rsidP="0055458D">
      <w:pPr>
        <w:pStyle w:val="Heading2"/>
        <w:numPr>
          <w:ilvl w:val="1"/>
          <w:numId w:val="11"/>
        </w:numPr>
      </w:pPr>
      <w:bookmarkStart w:id="335" w:name="_Toc45275370"/>
      <w:bookmarkStart w:id="336" w:name="_Toc56693457"/>
      <w:bookmarkStart w:id="337" w:name="_Toc58327810"/>
      <w:bookmarkStart w:id="338" w:name="_Toc58333990"/>
      <w:bookmarkStart w:id="339" w:name="_Toc64448797"/>
      <w:bookmarkStart w:id="340" w:name="_Toc87860058"/>
      <w:r>
        <w:t>Available data</w:t>
      </w:r>
      <w:bookmarkEnd w:id="335"/>
      <w:bookmarkEnd w:id="336"/>
      <w:bookmarkEnd w:id="337"/>
      <w:bookmarkEnd w:id="338"/>
      <w:bookmarkEnd w:id="339"/>
      <w:bookmarkEnd w:id="340"/>
    </w:p>
    <w:p w14:paraId="20036FB9" w14:textId="0E92782F" w:rsidR="0055458D" w:rsidRDefault="0055458D" w:rsidP="0055458D">
      <w:pPr>
        <w:rPr>
          <w:lang w:bidi="ar-SA"/>
        </w:rPr>
      </w:pPr>
      <w:r>
        <w:rPr>
          <w:lang w:bidi="ar-SA"/>
        </w:rPr>
        <w:t xml:space="preserve">Contamination of produce can occur at any point during production, but the increased handling and use of equipment at harvest increase the likelihood of contamination </w:t>
      </w:r>
      <w:r w:rsidR="00657FDB">
        <w:rPr>
          <w:lang w:bidi="ar-SA"/>
        </w:rPr>
        <w:t>(EFSA Panel on Biological Hazards 2014a, 2014b)</w:t>
      </w:r>
      <w:r>
        <w:rPr>
          <w:lang w:bidi="ar-SA"/>
        </w:rPr>
        <w:t xml:space="preserve">. Contact with the mechanical equipment used to harvest produce has been identified as a potential mechanism of transferring contaminated faeces or soil to large amounts of produce </w:t>
      </w:r>
      <w:r w:rsidR="00657FDB">
        <w:rPr>
          <w:lang w:bidi="ar-SA"/>
        </w:rPr>
        <w:t>(Jay et al. 2007)</w:t>
      </w:r>
      <w:r>
        <w:rPr>
          <w:lang w:bidi="ar-SA"/>
        </w:rPr>
        <w:t xml:space="preserve">. Furthermore, the excessive application of force either by hand or by machine harvesting is demonstrated to bruise or crack fresh produce </w:t>
      </w:r>
      <w:r w:rsidR="00657FDB">
        <w:rPr>
          <w:lang w:bidi="ar-SA"/>
        </w:rPr>
        <w:t>(Hussein et al. 2020; Li and Thomas 2014)</w:t>
      </w:r>
      <w:r>
        <w:rPr>
          <w:lang w:bidi="ar-SA"/>
        </w:rPr>
        <w:t>, and can increase the likelihood of microbial contamination and subsequent growth.</w:t>
      </w:r>
    </w:p>
    <w:p w14:paraId="3EE1E260" w14:textId="77777777" w:rsidR="0055458D" w:rsidRDefault="0055458D" w:rsidP="0055458D">
      <w:pPr>
        <w:rPr>
          <w:lang w:bidi="ar-SA"/>
        </w:rPr>
      </w:pPr>
    </w:p>
    <w:p w14:paraId="7AB6525D" w14:textId="55722115" w:rsidR="0055458D" w:rsidRDefault="0055458D" w:rsidP="0055458D">
      <w:pPr>
        <w:rPr>
          <w:rFonts w:cs="Arial"/>
          <w:lang w:eastAsia="en-AU"/>
        </w:rPr>
      </w:pPr>
      <w:r>
        <w:rPr>
          <w:lang w:bidi="ar-SA"/>
        </w:rPr>
        <w:t xml:space="preserve">The handling of fresh produce in the field can also lead to contamination by both bacterial and viral pathogens carried by workers </w:t>
      </w:r>
      <w:r w:rsidR="00657FDB">
        <w:rPr>
          <w:rFonts w:cs="Arial"/>
          <w:lang w:eastAsia="en-AU"/>
        </w:rPr>
        <w:t>(Bozkurt et al. 2020)</w:t>
      </w:r>
      <w:r>
        <w:rPr>
          <w:rFonts w:cs="Arial"/>
          <w:lang w:eastAsia="en-AU"/>
        </w:rPr>
        <w:t xml:space="preserve">. Even if gloves are worn during harvesting, insufficient hand washing can contaminate gloves when they are put on </w:t>
      </w:r>
      <w:r w:rsidR="00657FDB">
        <w:rPr>
          <w:rFonts w:cs="Arial"/>
          <w:lang w:eastAsia="en-AU"/>
        </w:rPr>
        <w:t>(Monaghan and Hutchison 2016)</w:t>
      </w:r>
      <w:r>
        <w:rPr>
          <w:rFonts w:cs="Arial"/>
          <w:lang w:eastAsia="en-AU"/>
        </w:rPr>
        <w:t xml:space="preserve">. Cross-contamination of fresh produce via workers’ hands can potentially occur between contaminated and uncontaminated produce in the field </w:t>
      </w:r>
      <w:r w:rsidR="00657FDB">
        <w:rPr>
          <w:rFonts w:cs="Arial"/>
          <w:lang w:eastAsia="en-GB"/>
        </w:rPr>
        <w:t>(Verhaelen et al. 2013b)</w:t>
      </w:r>
      <w:r w:rsidRPr="000B5CFD">
        <w:rPr>
          <w:rFonts w:cs="Arial"/>
          <w:lang w:eastAsia="en-AU"/>
        </w:rPr>
        <w:t>.</w:t>
      </w:r>
    </w:p>
    <w:p w14:paraId="3F82C3A7" w14:textId="77777777" w:rsidR="0055458D" w:rsidRDefault="0055458D" w:rsidP="0055458D">
      <w:pPr>
        <w:rPr>
          <w:rFonts w:cs="Arial"/>
          <w:lang w:eastAsia="en-AU"/>
        </w:rPr>
      </w:pPr>
    </w:p>
    <w:p w14:paraId="1698BFE7" w14:textId="7B56C808" w:rsidR="0055458D" w:rsidRPr="00662E48" w:rsidRDefault="0055458D" w:rsidP="0055458D">
      <w:pPr>
        <w:rPr>
          <w:color w:val="000000" w:themeColor="text1"/>
          <w:lang w:bidi="ar-SA"/>
        </w:rPr>
      </w:pPr>
      <w:r>
        <w:rPr>
          <w:lang w:bidi="ar-SA"/>
        </w:rPr>
        <w:t xml:space="preserve">The ability of pathogens to attach and persist on the surface of equipment used during harvesting </w:t>
      </w:r>
      <w:r w:rsidRPr="00662E48">
        <w:rPr>
          <w:color w:val="000000" w:themeColor="text1"/>
          <w:lang w:bidi="ar-SA"/>
        </w:rPr>
        <w:t>su</w:t>
      </w:r>
      <w:r>
        <w:rPr>
          <w:color w:val="000000" w:themeColor="text1"/>
          <w:lang w:bidi="ar-SA"/>
        </w:rPr>
        <w:t>ch as harvester blades, knives,</w:t>
      </w:r>
      <w:r w:rsidRPr="00662E48">
        <w:rPr>
          <w:color w:val="000000" w:themeColor="text1"/>
          <w:lang w:bidi="ar-SA"/>
        </w:rPr>
        <w:t xml:space="preserve"> containers, and other contact surfaces of fresh produce is </w:t>
      </w:r>
      <w:r>
        <w:rPr>
          <w:color w:val="000000" w:themeColor="text1"/>
          <w:lang w:bidi="ar-SA"/>
        </w:rPr>
        <w:t xml:space="preserve">well </w:t>
      </w:r>
      <w:r w:rsidRPr="00662E48">
        <w:rPr>
          <w:color w:val="000000" w:themeColor="text1"/>
          <w:lang w:bidi="ar-SA"/>
        </w:rPr>
        <w:t xml:space="preserve">documented in the literature </w:t>
      </w:r>
      <w:r w:rsidR="00657FDB">
        <w:rPr>
          <w:color w:val="000000" w:themeColor="text1"/>
        </w:rPr>
        <w:t>(Aryal and Muriana 2019; Bonsaglia et al. 2014; Oliveira et al. 2014; Patel et al. 2011)</w:t>
      </w:r>
      <w:r w:rsidRPr="00662E48">
        <w:rPr>
          <w:color w:val="000000" w:themeColor="text1"/>
          <w:lang w:bidi="ar-SA"/>
        </w:rPr>
        <w:t xml:space="preserve">. </w:t>
      </w:r>
    </w:p>
    <w:p w14:paraId="7D06B969" w14:textId="77777777" w:rsidR="0055458D" w:rsidRDefault="0055458D" w:rsidP="0055458D">
      <w:pPr>
        <w:rPr>
          <w:rFonts w:cs="Arial"/>
          <w:lang w:eastAsia="en-AU"/>
        </w:rPr>
      </w:pPr>
    </w:p>
    <w:p w14:paraId="0603EFB4" w14:textId="77777777" w:rsidR="0055458D" w:rsidRPr="000D7724" w:rsidRDefault="0055458D" w:rsidP="0055458D">
      <w:pPr>
        <w:rPr>
          <w:lang w:bidi="ar-SA"/>
        </w:rPr>
      </w:pPr>
      <w:r>
        <w:rPr>
          <w:rFonts w:cs="Arial"/>
          <w:lang w:eastAsia="en-AU"/>
        </w:rPr>
        <w:t>The evidence available specifically for the in-scope commodities is summarised below.</w:t>
      </w:r>
    </w:p>
    <w:p w14:paraId="600F77EC" w14:textId="77777777" w:rsidR="0055458D" w:rsidRDefault="0055458D" w:rsidP="00787E56">
      <w:pPr>
        <w:pStyle w:val="Heading3"/>
        <w:numPr>
          <w:ilvl w:val="2"/>
          <w:numId w:val="11"/>
        </w:numPr>
      </w:pPr>
      <w:bookmarkStart w:id="341" w:name="_Toc45275371"/>
      <w:bookmarkStart w:id="342" w:name="_Toc56693458"/>
      <w:bookmarkStart w:id="343" w:name="_Toc58327811"/>
      <w:bookmarkStart w:id="344" w:name="_Toc58333991"/>
      <w:bookmarkStart w:id="345" w:name="_Toc64448798"/>
      <w:bookmarkStart w:id="346" w:name="_Toc87860059"/>
      <w:r>
        <w:t>Leafy vegetables</w:t>
      </w:r>
      <w:bookmarkEnd w:id="341"/>
      <w:bookmarkEnd w:id="342"/>
      <w:bookmarkEnd w:id="343"/>
      <w:bookmarkEnd w:id="344"/>
      <w:bookmarkEnd w:id="345"/>
      <w:bookmarkEnd w:id="346"/>
    </w:p>
    <w:p w14:paraId="4C788707" w14:textId="77777777" w:rsidR="0055458D" w:rsidRDefault="0055458D" w:rsidP="0055458D">
      <w:r w:rsidRPr="002E5593">
        <w:t>In Australia lettuce is harvested and trimmed in the field by hand</w:t>
      </w:r>
      <w:r>
        <w:t xml:space="preserve"> (</w:t>
      </w:r>
      <w:r w:rsidRPr="00F404EA">
        <w:t>see Section 5.1). Knives</w:t>
      </w:r>
      <w:r w:rsidRPr="002E5593">
        <w:t xml:space="preserve"> are used to cut the lettuce from the root and to remove outer leaves. The trimmed lettuce is generally then transported to a packing shed for further postharvest processing. In some cases the lettuce is field packed. Baby spinach is machine harvested in Australia and then transported to the packing shed for postharvest processing. Parsley destined for the fresh market is hand harvested using knives or clippers. The parsley is generally field packed, with the plants being bunched together prior to cutting and then a rubber band fastened around the stalks of the bunch. Some parsley is transported to the packing shed for postharvest processing.</w:t>
      </w:r>
    </w:p>
    <w:p w14:paraId="46E0FFC5" w14:textId="77777777" w:rsidR="0055458D" w:rsidRDefault="0055458D" w:rsidP="0055458D"/>
    <w:p w14:paraId="40C0F571" w14:textId="221F4530" w:rsidR="0055458D" w:rsidRDefault="0055458D" w:rsidP="0055458D">
      <w:r>
        <w:t xml:space="preserve">The prevalence of </w:t>
      </w:r>
      <w:r>
        <w:rPr>
          <w:i/>
        </w:rPr>
        <w:t xml:space="preserve">Salmonella </w:t>
      </w:r>
      <w:r>
        <w:t xml:space="preserve">spp. internationally on lettuce in the field has been reported to range from 0-1.85% </w:t>
      </w:r>
      <w:r w:rsidR="00657FDB">
        <w:t>(Ceuppens et al. 2014; Kilonzo-Nthenge et al. 2018; Niguma et al. 2017; Telmoudi and Hassouna 2015)</w:t>
      </w:r>
      <w:r>
        <w:t xml:space="preserve">. </w:t>
      </w:r>
      <w:r>
        <w:rPr>
          <w:i/>
        </w:rPr>
        <w:t xml:space="preserve">Salmonella </w:t>
      </w:r>
      <w:r>
        <w:t xml:space="preserve">spp. have also been detected on 1.1% (1/92) samples of spinach in the field in the US </w:t>
      </w:r>
      <w:r w:rsidR="00657FDB">
        <w:t>(Kilonzo-Nthenge et al. 2018)</w:t>
      </w:r>
      <w:r>
        <w:t xml:space="preserve">. Internationally </w:t>
      </w:r>
      <w:r>
        <w:rPr>
          <w:i/>
        </w:rPr>
        <w:t xml:space="preserve">L. monocytogenes </w:t>
      </w:r>
      <w:r>
        <w:t xml:space="preserve">has not been detected on lettuce in the field in Tunisia (n=150) </w:t>
      </w:r>
      <w:r w:rsidR="00657FDB">
        <w:t>(Telmoudi and Hassouna 2015)</w:t>
      </w:r>
      <w:r>
        <w:t xml:space="preserve"> or Korea (n=20) </w:t>
      </w:r>
      <w:r w:rsidR="00657FDB">
        <w:t>(Song et al. 2019)</w:t>
      </w:r>
      <w:r>
        <w:t xml:space="preserve">. </w:t>
      </w:r>
      <w:r>
        <w:rPr>
          <w:i/>
        </w:rPr>
        <w:t>E. coli </w:t>
      </w:r>
      <w:r>
        <w:t xml:space="preserve">O157:H7 has also not been detected on lettuce in the field in Brazil (n=54) </w:t>
      </w:r>
      <w:r w:rsidR="00657FDB">
        <w:t>(Ceuppens et al. 2014)</w:t>
      </w:r>
      <w:r>
        <w:t xml:space="preserve">, in the US (n=115) </w:t>
      </w:r>
      <w:r w:rsidR="00657FDB">
        <w:t>(Kilonzo-Nthenge et al. 2018)</w:t>
      </w:r>
      <w:r>
        <w:t xml:space="preserve"> or in Korea (n=20) </w:t>
      </w:r>
      <w:r w:rsidR="00657FDB">
        <w:t>(Song et al. 2019)</w:t>
      </w:r>
      <w:r>
        <w:t xml:space="preserve">, or on spinach (n=92) or parsley (n=102) in the field in the US </w:t>
      </w:r>
      <w:r w:rsidR="00657FDB">
        <w:t>(Kilonzo-Nthenge et al. 2018)</w:t>
      </w:r>
      <w:r>
        <w:t xml:space="preserve">. No Australian data on the prevalence of </w:t>
      </w:r>
      <w:r>
        <w:rPr>
          <w:i/>
        </w:rPr>
        <w:t>L. monocytogenes</w:t>
      </w:r>
      <w:r>
        <w:t xml:space="preserve">, </w:t>
      </w:r>
      <w:r>
        <w:rPr>
          <w:i/>
        </w:rPr>
        <w:t xml:space="preserve">Salmonella </w:t>
      </w:r>
      <w:r>
        <w:t>spp. or STEC on baby spinach, lettuce and parsley in the field was identified in the literature.</w:t>
      </w:r>
    </w:p>
    <w:p w14:paraId="4594D7D4" w14:textId="77777777" w:rsidR="0055458D" w:rsidRPr="008F0D5E" w:rsidRDefault="0055458D" w:rsidP="0055458D"/>
    <w:p w14:paraId="7A28A971" w14:textId="14DF03C7" w:rsidR="0055458D" w:rsidRDefault="0055458D" w:rsidP="0055458D">
      <w:r w:rsidRPr="00BE15A4">
        <w:t xml:space="preserve">Cross-contamination of leafy vegetables has been demonstrated from scissors and knives used for trimming and coring </w:t>
      </w:r>
      <w:r w:rsidR="00657FDB">
        <w:t>(McEvoy et al. 2009; Taormina et al. 2009; Yang et al. 2012)</w:t>
      </w:r>
      <w:r>
        <w:t>, and l</w:t>
      </w:r>
      <w:r w:rsidRPr="008F1F9B">
        <w:t xml:space="preserve">ettuce harvesting tools have been shown to transfer pathogens to </w:t>
      </w:r>
      <w:r>
        <w:t xml:space="preserve">several </w:t>
      </w:r>
      <w:r w:rsidRPr="008F1F9B">
        <w:t>lettuce heads after becoming contaminated</w:t>
      </w:r>
      <w:r>
        <w:t>.</w:t>
      </w:r>
    </w:p>
    <w:p w14:paraId="04F9548F" w14:textId="77777777" w:rsidR="0055458D" w:rsidRDefault="0055458D" w:rsidP="0055458D"/>
    <w:p w14:paraId="6C2D92D7" w14:textId="2E4768E3" w:rsidR="0055458D" w:rsidRDefault="0055458D" w:rsidP="0055458D">
      <w:r w:rsidRPr="00BE15A4">
        <w:t xml:space="preserve">An experimental study by McEvoy </w:t>
      </w:r>
      <w:r w:rsidR="00657FDB">
        <w:t>(2009)</w:t>
      </w:r>
      <w:r w:rsidRPr="00BE15A4">
        <w:t xml:space="preserve"> found </w:t>
      </w:r>
      <w:r w:rsidRPr="00BE15A4">
        <w:rPr>
          <w:i/>
        </w:rPr>
        <w:t xml:space="preserve">E. coli </w:t>
      </w:r>
      <w:r w:rsidRPr="00BE15A4">
        <w:t xml:space="preserve">O157:H7 was transferred from an artificially </w:t>
      </w:r>
      <w:r>
        <w:t>contaminated coring knife (2x</w:t>
      </w:r>
      <w:r w:rsidRPr="00BE15A4">
        <w:t>10</w:t>
      </w:r>
      <w:r w:rsidRPr="00BE15A4">
        <w:rPr>
          <w:vertAlign w:val="superscript"/>
        </w:rPr>
        <w:t>5</w:t>
      </w:r>
      <w:r w:rsidRPr="00BE15A4">
        <w:t xml:space="preserve"> cells) to </w:t>
      </w:r>
      <w:r w:rsidR="00A1728B">
        <w:t>iceberg lettuce heads, with &gt;3 </w:t>
      </w:r>
      <w:r>
        <w:t>L</w:t>
      </w:r>
      <w:r w:rsidR="00A1728B">
        <w:t>og </w:t>
      </w:r>
      <w:r>
        <w:t xml:space="preserve">CFU/g </w:t>
      </w:r>
      <w:r w:rsidRPr="00BE15A4">
        <w:rPr>
          <w:i/>
        </w:rPr>
        <w:t xml:space="preserve">E. coli </w:t>
      </w:r>
      <w:r>
        <w:t xml:space="preserve">O157:H7 recovered from the cored lettuce. </w:t>
      </w:r>
      <w:r>
        <w:rPr>
          <w:lang w:eastAsia="en-AU"/>
        </w:rPr>
        <w:t>A single contaminated coring knife contaminated at least nineteen lettuce heads. W</w:t>
      </w:r>
      <w:r w:rsidRPr="008F1F9B">
        <w:rPr>
          <w:lang w:eastAsia="en-AU"/>
        </w:rPr>
        <w:t>hen</w:t>
      </w:r>
      <w:r>
        <w:rPr>
          <w:lang w:eastAsia="en-AU"/>
        </w:rPr>
        <w:t xml:space="preserve"> contaminated cored lettuce were subsequently</w:t>
      </w:r>
      <w:r w:rsidRPr="008F1F9B">
        <w:rPr>
          <w:lang w:eastAsia="en-AU"/>
        </w:rPr>
        <w:t xml:space="preserve"> incubated at 30°C (simulated field conditions)</w:t>
      </w:r>
      <w:r>
        <w:rPr>
          <w:lang w:eastAsia="en-AU"/>
        </w:rPr>
        <w:t>,</w:t>
      </w:r>
      <w:r w:rsidRPr="008F1F9B">
        <w:rPr>
          <w:lang w:eastAsia="en-AU"/>
        </w:rPr>
        <w:t xml:space="preserve"> </w:t>
      </w:r>
      <w:r>
        <w:rPr>
          <w:lang w:eastAsia="en-AU"/>
        </w:rPr>
        <w:t>t</w:t>
      </w:r>
      <w:r w:rsidRPr="008F1F9B">
        <w:t xml:space="preserve">he </w:t>
      </w:r>
      <w:r w:rsidRPr="008F1F9B">
        <w:rPr>
          <w:i/>
        </w:rPr>
        <w:t>E. coli</w:t>
      </w:r>
      <w:r w:rsidRPr="008F1F9B">
        <w:t xml:space="preserve"> O157</w:t>
      </w:r>
      <w:r>
        <w:t>:H7 population increased by &gt;2 L</w:t>
      </w:r>
      <w:r w:rsidRPr="008F1F9B">
        <w:t>og over 8 hours</w:t>
      </w:r>
      <w:r>
        <w:t xml:space="preserve">. When stored at </w:t>
      </w:r>
      <w:r>
        <w:rPr>
          <w:lang w:eastAsia="en-AU"/>
        </w:rPr>
        <w:t xml:space="preserve">5°C (refrigerated temperature), </w:t>
      </w:r>
      <w:r w:rsidRPr="008F1F9B">
        <w:t xml:space="preserve">there was no significant change in the </w:t>
      </w:r>
      <w:r w:rsidRPr="00F15581">
        <w:rPr>
          <w:i/>
        </w:rPr>
        <w:t>E. coli</w:t>
      </w:r>
      <w:r w:rsidRPr="008F1F9B">
        <w:t xml:space="preserve"> O157:H7 population on </w:t>
      </w:r>
      <w:r>
        <w:t>the lettuce.</w:t>
      </w:r>
    </w:p>
    <w:p w14:paraId="2B673858" w14:textId="77777777" w:rsidR="0055458D" w:rsidRDefault="0055458D" w:rsidP="0055458D">
      <w:pPr>
        <w:rPr>
          <w:lang w:eastAsia="en-AU"/>
        </w:rPr>
      </w:pPr>
    </w:p>
    <w:p w14:paraId="31E953B9" w14:textId="52876676" w:rsidR="0055458D" w:rsidRPr="00A93255" w:rsidRDefault="0055458D" w:rsidP="0055458D">
      <w:r>
        <w:rPr>
          <w:lang w:eastAsia="en-AU"/>
        </w:rPr>
        <w:t xml:space="preserve">Yang et al </w:t>
      </w:r>
      <w:r w:rsidR="00657FDB">
        <w:rPr>
          <w:lang w:eastAsia="en-AU"/>
        </w:rPr>
        <w:t>(2012)</w:t>
      </w:r>
      <w:r w:rsidRPr="004C426C">
        <w:rPr>
          <w:lang w:eastAsia="en-AU"/>
        </w:rPr>
        <w:t xml:space="preserve"> </w:t>
      </w:r>
      <w:r>
        <w:rPr>
          <w:lang w:eastAsia="en-AU"/>
        </w:rPr>
        <w:t xml:space="preserve">also considered the potential for contamination of lettuce via field-coring harvesting knives artificially contaminated with </w:t>
      </w:r>
      <w:r>
        <w:rPr>
          <w:i/>
          <w:lang w:eastAsia="en-AU"/>
        </w:rPr>
        <w:t>E. </w:t>
      </w:r>
      <w:r w:rsidRPr="00BE15A4">
        <w:rPr>
          <w:i/>
          <w:lang w:eastAsia="en-AU"/>
        </w:rPr>
        <w:t xml:space="preserve">coli </w:t>
      </w:r>
      <w:r>
        <w:rPr>
          <w:lang w:eastAsia="en-AU"/>
        </w:rPr>
        <w:t>O157:H7 (inoculation via dipping into soils containing up to 10</w:t>
      </w:r>
      <w:r w:rsidRPr="00BE15A4">
        <w:rPr>
          <w:vertAlign w:val="superscript"/>
          <w:lang w:eastAsia="en-AU"/>
        </w:rPr>
        <w:t>5</w:t>
      </w:r>
      <w:r>
        <w:rPr>
          <w:lang w:eastAsia="en-AU"/>
        </w:rPr>
        <w:t xml:space="preserve"> MPN/g soil). The type of soil (sandy vs clay), the soil’s water content, the level of contamination and amount of blade contact with edible parts of the lettuce influenced transfer. Repeated transfer occurred on three sequentially cut lettuce heads when the blade was contaminated with 10</w:t>
      </w:r>
      <w:r w:rsidRPr="00BE15A4">
        <w:rPr>
          <w:vertAlign w:val="superscript"/>
          <w:lang w:eastAsia="en-AU"/>
        </w:rPr>
        <w:t>4</w:t>
      </w:r>
      <w:r>
        <w:rPr>
          <w:lang w:eastAsia="en-AU"/>
        </w:rPr>
        <w:t xml:space="preserve"> CFU/g in clay soil (25% water content) when the lettuce was cut into the edible portion, but no transfer occurred when the stem was cut with no contact with the edible portion.</w:t>
      </w:r>
    </w:p>
    <w:p w14:paraId="5F3DAC2F" w14:textId="77777777" w:rsidR="0055458D" w:rsidRPr="00FE6018" w:rsidRDefault="0055458D" w:rsidP="0055458D"/>
    <w:p w14:paraId="5C0367F5" w14:textId="45E252B3" w:rsidR="0055458D" w:rsidRDefault="0055458D" w:rsidP="0055458D">
      <w:pPr>
        <w:rPr>
          <w:lang w:eastAsia="en-AU"/>
        </w:rPr>
      </w:pPr>
      <w:r w:rsidRPr="00FE6018">
        <w:t xml:space="preserve">Chlorinated water washing was shown to reduce, but not eliminate, contamination on </w:t>
      </w:r>
      <w:r>
        <w:t>lettuce harvesting</w:t>
      </w:r>
      <w:r w:rsidRPr="00FE6018">
        <w:t xml:space="preserve"> tools. Field coring devices were artificially inoculated with </w:t>
      </w:r>
      <w:r w:rsidRPr="00FE6018">
        <w:rPr>
          <w:i/>
        </w:rPr>
        <w:t xml:space="preserve">E. coli </w:t>
      </w:r>
      <w:r w:rsidRPr="00FE6018">
        <w:t xml:space="preserve">O157:H7 (via dipping in soil containing up to 6.57 log CFU/g) and then immersed in chlorinated water </w:t>
      </w:r>
      <w:r w:rsidRPr="00FE6018">
        <w:rPr>
          <w:lang w:eastAsia="en-AU"/>
        </w:rPr>
        <w:t xml:space="preserve">(200 </w:t>
      </w:r>
      <w:r w:rsidRPr="00FE6018">
        <w:rPr>
          <w:rFonts w:cs="Arial"/>
          <w:lang w:eastAsia="en-AU"/>
        </w:rPr>
        <w:t>μ</w:t>
      </w:r>
      <w:r w:rsidRPr="00FE6018">
        <w:rPr>
          <w:lang w:eastAsia="en-AU"/>
        </w:rPr>
        <w:t xml:space="preserve">g/mL total chlorine). Washing the contaminated device in chlorinated water was more efficient than water, but the contaminated blade still transferred </w:t>
      </w:r>
      <w:r w:rsidRPr="00FE6018">
        <w:rPr>
          <w:i/>
        </w:rPr>
        <w:t>E. coli </w:t>
      </w:r>
      <w:r w:rsidRPr="00FE6018">
        <w:t xml:space="preserve">O157:H7 </w:t>
      </w:r>
      <w:r w:rsidRPr="00FE6018">
        <w:rPr>
          <w:lang w:eastAsia="en-AU"/>
        </w:rPr>
        <w:t>to up to ten consecutively processed lettuce heads</w:t>
      </w:r>
      <w:r w:rsidRPr="00FE6018">
        <w:t xml:space="preserve"> </w:t>
      </w:r>
      <w:r w:rsidR="00657FDB">
        <w:t>(Taormina et al. 2009)</w:t>
      </w:r>
      <w:r w:rsidRPr="00FE6018">
        <w:t>.</w:t>
      </w:r>
      <w:r w:rsidRPr="00FE6018">
        <w:rPr>
          <w:lang w:eastAsia="en-AU"/>
        </w:rPr>
        <w:t xml:space="preserve"> </w:t>
      </w:r>
    </w:p>
    <w:p w14:paraId="09B7F687" w14:textId="77777777" w:rsidR="0055458D" w:rsidRPr="00C96B54" w:rsidRDefault="0055458D" w:rsidP="0055458D">
      <w:pPr>
        <w:rPr>
          <w:lang w:eastAsia="en-AU"/>
        </w:rPr>
      </w:pPr>
    </w:p>
    <w:p w14:paraId="71794852" w14:textId="752BDA42" w:rsidR="0055458D" w:rsidRDefault="0055458D" w:rsidP="0055458D">
      <w:r w:rsidRPr="000949D8">
        <w:rPr>
          <w:lang w:eastAsia="en-AU"/>
        </w:rPr>
        <w:t xml:space="preserve">International studies have investigated the occurrence of </w:t>
      </w:r>
      <w:r w:rsidRPr="000949D8">
        <w:rPr>
          <w:i/>
          <w:lang w:eastAsia="en-AU"/>
        </w:rPr>
        <w:t>Salmonella</w:t>
      </w:r>
      <w:r w:rsidRPr="000949D8">
        <w:rPr>
          <w:lang w:eastAsia="en-AU"/>
        </w:rPr>
        <w:t xml:space="preserve"> </w:t>
      </w:r>
      <w:r>
        <w:rPr>
          <w:lang w:eastAsia="en-AU"/>
        </w:rPr>
        <w:t xml:space="preserve">spp. </w:t>
      </w:r>
      <w:r w:rsidRPr="000949D8">
        <w:rPr>
          <w:lang w:eastAsia="en-AU"/>
        </w:rPr>
        <w:t xml:space="preserve">and </w:t>
      </w:r>
      <w:r w:rsidRPr="000949D8">
        <w:rPr>
          <w:i/>
          <w:lang w:eastAsia="en-AU"/>
        </w:rPr>
        <w:t>E. coli</w:t>
      </w:r>
      <w:r w:rsidRPr="000949D8">
        <w:rPr>
          <w:lang w:eastAsia="en-AU"/>
        </w:rPr>
        <w:t xml:space="preserve"> on the hands of workers and harvesting equipment in lettuce fields. </w:t>
      </w:r>
      <w:r>
        <w:t xml:space="preserve">No </w:t>
      </w:r>
      <w:r>
        <w:rPr>
          <w:i/>
        </w:rPr>
        <w:t xml:space="preserve">Salmonella </w:t>
      </w:r>
      <w:r>
        <w:t xml:space="preserve">spp. </w:t>
      </w:r>
      <w:r w:rsidRPr="005A6D4A">
        <w:t xml:space="preserve">or </w:t>
      </w:r>
      <w:r>
        <w:rPr>
          <w:i/>
        </w:rPr>
        <w:t>E. coli </w:t>
      </w:r>
      <w:r w:rsidRPr="005A6D4A">
        <w:t xml:space="preserve">O157:H7 </w:t>
      </w:r>
      <w:r>
        <w:t xml:space="preserve">were </w:t>
      </w:r>
      <w:r w:rsidRPr="005A6D4A">
        <w:t>detected on swabs of workers hands (n=18) or lettuce transport boxes (n=18) on Brazilian lettuce</w:t>
      </w:r>
      <w:r>
        <w:t xml:space="preserve"> farms </w:t>
      </w:r>
      <w:r w:rsidR="00657FDB">
        <w:t>(Ceuppens et al. 2014)</w:t>
      </w:r>
      <w:r>
        <w:t xml:space="preserve">. Also, no </w:t>
      </w:r>
      <w:r>
        <w:rPr>
          <w:i/>
        </w:rPr>
        <w:t>E. coli</w:t>
      </w:r>
      <w:r>
        <w:t xml:space="preserve"> was detected on swabs of harvesting scissors, harvesting crates or farmer’s hands (numb</w:t>
      </w:r>
      <w:r w:rsidR="00BB3F91">
        <w:t>er of samples not reported) on r</w:t>
      </w:r>
      <w:r>
        <w:t xml:space="preserve">omaine lettuce farms in the Philippines </w:t>
      </w:r>
      <w:r w:rsidR="00657FDB">
        <w:rPr>
          <w:lang w:eastAsia="en-AU"/>
        </w:rPr>
        <w:t>(Espigol et al. 2018)</w:t>
      </w:r>
      <w:r>
        <w:rPr>
          <w:lang w:eastAsia="en-AU"/>
        </w:rPr>
        <w:t>.</w:t>
      </w:r>
    </w:p>
    <w:p w14:paraId="54D8633B" w14:textId="77777777" w:rsidR="0055458D" w:rsidRDefault="0055458D" w:rsidP="0055458D"/>
    <w:p w14:paraId="0C63A893" w14:textId="760A8996" w:rsidR="0055458D" w:rsidRPr="003B3951" w:rsidRDefault="0055458D" w:rsidP="0055458D">
      <w:pPr>
        <w:rPr>
          <w:lang w:eastAsia="en-AU" w:bidi="ar-SA"/>
        </w:rPr>
      </w:pPr>
      <w:r w:rsidRPr="003B3951">
        <w:rPr>
          <w:i/>
        </w:rPr>
        <w:t>E. coli</w:t>
      </w:r>
      <w:r w:rsidRPr="003B3951">
        <w:rPr>
          <w:i/>
          <w:lang w:eastAsia="en-AU" w:bidi="ar-SA"/>
        </w:rPr>
        <w:t xml:space="preserve"> </w:t>
      </w:r>
      <w:r w:rsidRPr="003B3951">
        <w:t xml:space="preserve">O157:H7 and </w:t>
      </w:r>
      <w:r w:rsidRPr="003B3951">
        <w:rPr>
          <w:i/>
          <w:lang w:eastAsia="en-AU" w:bidi="ar-SA"/>
        </w:rPr>
        <w:t>Salmonella</w:t>
      </w:r>
      <w:r>
        <w:rPr>
          <w:i/>
          <w:lang w:eastAsia="en-AU" w:bidi="ar-SA"/>
        </w:rPr>
        <w:t xml:space="preserve"> </w:t>
      </w:r>
      <w:r>
        <w:rPr>
          <w:lang w:eastAsia="en-AU" w:bidi="ar-SA"/>
        </w:rPr>
        <w:t>spp.</w:t>
      </w:r>
      <w:r w:rsidRPr="003B3951">
        <w:t xml:space="preserve"> can adhere to </w:t>
      </w:r>
      <w:r>
        <w:rPr>
          <w:lang w:eastAsia="en-AU" w:bidi="ar-SA"/>
        </w:rPr>
        <w:t xml:space="preserve">stainless steel surfaces, such as </w:t>
      </w:r>
      <w:r w:rsidRPr="003B3951">
        <w:t>the blades of spinach harvesters</w:t>
      </w:r>
      <w:r>
        <w:t>,</w:t>
      </w:r>
      <w:r w:rsidRPr="003B3951">
        <w:t xml:space="preserve"> and</w:t>
      </w:r>
      <w:r>
        <w:t xml:space="preserve"> form</w:t>
      </w:r>
      <w:r w:rsidRPr="003B3951">
        <w:t xml:space="preserve"> biofilms </w:t>
      </w:r>
      <w:r w:rsidR="00657FDB">
        <w:t>(Patel et al. 2011; Ryu and Beuchat 2005; Ueda and Kuwabara 2007)</w:t>
      </w:r>
      <w:r w:rsidRPr="003B3951">
        <w:t xml:space="preserve">. Experimental studies </w:t>
      </w:r>
      <w:r w:rsidRPr="003B3951">
        <w:rPr>
          <w:lang w:eastAsia="en-AU" w:bidi="ar-SA"/>
        </w:rPr>
        <w:t xml:space="preserve">have shown that </w:t>
      </w:r>
      <w:r w:rsidRPr="003B3951">
        <w:t>total hypochlorite concentrations of up to 200</w:t>
      </w:r>
      <w:r w:rsidRPr="003B3951">
        <w:rPr>
          <w:rFonts w:cs="Arial"/>
          <w:lang w:eastAsia="en-AU" w:bidi="ar-SA"/>
        </w:rPr>
        <w:t xml:space="preserve"> μ</w:t>
      </w:r>
      <w:r>
        <w:rPr>
          <w:lang w:eastAsia="en-AU" w:bidi="ar-SA"/>
        </w:rPr>
        <w:t>g/mL</w:t>
      </w:r>
      <w:r w:rsidRPr="003B3951">
        <w:rPr>
          <w:lang w:eastAsia="en-AU" w:bidi="ar-SA"/>
        </w:rPr>
        <w:t xml:space="preserve"> did not eliminate </w:t>
      </w:r>
      <w:r w:rsidRPr="003B3951">
        <w:rPr>
          <w:i/>
          <w:lang w:eastAsia="en-AU" w:bidi="ar-SA"/>
        </w:rPr>
        <w:t xml:space="preserve">E. coli </w:t>
      </w:r>
      <w:r w:rsidRPr="003B3951">
        <w:rPr>
          <w:lang w:eastAsia="en-AU" w:bidi="ar-SA"/>
        </w:rPr>
        <w:t xml:space="preserve">O157:H7 or </w:t>
      </w:r>
      <w:r w:rsidRPr="003B3951">
        <w:rPr>
          <w:i/>
          <w:lang w:eastAsia="en-AU" w:bidi="ar-SA"/>
        </w:rPr>
        <w:t>Salmonella</w:t>
      </w:r>
      <w:r w:rsidRPr="003B3951">
        <w:rPr>
          <w:lang w:eastAsia="en-AU" w:bidi="ar-SA"/>
        </w:rPr>
        <w:t xml:space="preserve"> Enteritidis biofilms from stainless steel surfaces </w:t>
      </w:r>
      <w:r w:rsidR="00657FDB">
        <w:rPr>
          <w:lang w:eastAsia="en-AU" w:bidi="ar-SA"/>
        </w:rPr>
        <w:t>(Ryu and Beuchat 2005; Ueda and Kuwabara 2007)</w:t>
      </w:r>
      <w:r w:rsidRPr="003B3951">
        <w:rPr>
          <w:lang w:eastAsia="en-AU" w:bidi="ar-SA"/>
        </w:rPr>
        <w:t>.</w:t>
      </w:r>
    </w:p>
    <w:p w14:paraId="6646D695" w14:textId="3A26CDF2" w:rsidR="0055458D" w:rsidRPr="003B3951" w:rsidRDefault="0055458D" w:rsidP="0055458D">
      <w:r w:rsidRPr="003B3951">
        <w:rPr>
          <w:lang w:eastAsia="en-AU" w:bidi="ar-SA"/>
        </w:rPr>
        <w:t xml:space="preserve">Patel et al. </w:t>
      </w:r>
      <w:r w:rsidR="00657FDB">
        <w:rPr>
          <w:lang w:eastAsia="en-AU" w:bidi="ar-SA"/>
        </w:rPr>
        <w:t>(2011)</w:t>
      </w:r>
      <w:r w:rsidRPr="003B3951">
        <w:rPr>
          <w:lang w:eastAsia="en-AU" w:bidi="ar-SA"/>
        </w:rPr>
        <w:t xml:space="preserve"> showed that treatment of </w:t>
      </w:r>
      <w:r>
        <w:rPr>
          <w:lang w:eastAsia="en-AU" w:bidi="ar-SA"/>
        </w:rPr>
        <w:t xml:space="preserve">an artificially inoculated spinach harvest </w:t>
      </w:r>
      <w:r w:rsidRPr="003B3951">
        <w:rPr>
          <w:lang w:eastAsia="en-AU" w:bidi="ar-SA"/>
        </w:rPr>
        <w:t xml:space="preserve">blade with </w:t>
      </w:r>
      <w:r>
        <w:rPr>
          <w:lang w:eastAsia="en-AU" w:bidi="ar-SA"/>
        </w:rPr>
        <w:t xml:space="preserve">a </w:t>
      </w:r>
      <w:r w:rsidRPr="003B3951">
        <w:rPr>
          <w:lang w:eastAsia="en-AU" w:bidi="ar-SA"/>
        </w:rPr>
        <w:t>bact</w:t>
      </w:r>
      <w:r>
        <w:rPr>
          <w:lang w:eastAsia="en-AU" w:bidi="ar-SA"/>
        </w:rPr>
        <w:t>eriophage cocktail led to a ~4 L</w:t>
      </w:r>
      <w:r w:rsidRPr="003B3951">
        <w:rPr>
          <w:lang w:eastAsia="en-AU" w:bidi="ar-SA"/>
        </w:rPr>
        <w:t xml:space="preserve">og reduction of five </w:t>
      </w:r>
      <w:r w:rsidRPr="001856DC">
        <w:rPr>
          <w:i/>
          <w:lang w:eastAsia="en-AU" w:bidi="ar-SA"/>
        </w:rPr>
        <w:t>E. coli</w:t>
      </w:r>
      <w:r>
        <w:rPr>
          <w:lang w:eastAsia="en-AU" w:bidi="ar-SA"/>
        </w:rPr>
        <w:t xml:space="preserve"> O157:H7 strains after two</w:t>
      </w:r>
      <w:r w:rsidRPr="003B3951">
        <w:rPr>
          <w:lang w:eastAsia="en-AU" w:bidi="ar-SA"/>
        </w:rPr>
        <w:t xml:space="preserve"> hours. Also, under experimental conditions there is no significant difference in the adherence of </w:t>
      </w:r>
      <w:r w:rsidRPr="003B3951">
        <w:rPr>
          <w:i/>
          <w:lang w:eastAsia="en-AU" w:bidi="ar-SA"/>
        </w:rPr>
        <w:t xml:space="preserve">E. coli </w:t>
      </w:r>
      <w:r w:rsidRPr="003B3951">
        <w:rPr>
          <w:lang w:eastAsia="en-AU" w:bidi="ar-SA"/>
        </w:rPr>
        <w:t xml:space="preserve">O157:H7 to new versus rusty spinach harvester blades. </w:t>
      </w:r>
    </w:p>
    <w:p w14:paraId="46A30166" w14:textId="77777777" w:rsidR="0055458D" w:rsidRPr="003B3951" w:rsidRDefault="0055458D" w:rsidP="0055458D"/>
    <w:p w14:paraId="12344B6F" w14:textId="77777777" w:rsidR="00A20428" w:rsidRDefault="00A20428">
      <w:pPr>
        <w:widowControl/>
        <w:rPr>
          <w:lang w:eastAsia="en-AU" w:bidi="ar-SA"/>
        </w:rPr>
      </w:pPr>
      <w:r>
        <w:rPr>
          <w:lang w:eastAsia="en-AU" w:bidi="ar-SA"/>
        </w:rPr>
        <w:br w:type="page"/>
      </w:r>
    </w:p>
    <w:p w14:paraId="767975C7" w14:textId="240C981D" w:rsidR="0055458D" w:rsidRPr="00825E4E" w:rsidRDefault="0055458D" w:rsidP="0055458D">
      <w:pPr>
        <w:rPr>
          <w:lang w:eastAsia="en-AU" w:bidi="ar-SA"/>
        </w:rPr>
      </w:pPr>
      <w:r>
        <w:rPr>
          <w:lang w:eastAsia="en-AU" w:bidi="ar-SA"/>
        </w:rPr>
        <w:t xml:space="preserve">An experimental study has examined the efficacy of acetic acid and chitosan to reduce the prevalence of </w:t>
      </w:r>
      <w:r>
        <w:rPr>
          <w:i/>
          <w:lang w:eastAsia="en-AU" w:bidi="ar-SA"/>
        </w:rPr>
        <w:t xml:space="preserve">Salmonella </w:t>
      </w:r>
      <w:r>
        <w:rPr>
          <w:lang w:eastAsia="en-AU" w:bidi="ar-SA"/>
        </w:rPr>
        <w:t xml:space="preserve">spp. and </w:t>
      </w:r>
      <w:r>
        <w:rPr>
          <w:i/>
          <w:lang w:eastAsia="en-AU" w:bidi="ar-SA"/>
        </w:rPr>
        <w:t xml:space="preserve">E. coli </w:t>
      </w:r>
      <w:r>
        <w:rPr>
          <w:lang w:eastAsia="en-AU" w:bidi="ar-SA"/>
        </w:rPr>
        <w:t xml:space="preserve">O157:H7 on leafy vegetables when applied prior to harvest. The vegetables were artificially inoculated with the bacterium (3-6 Log CFU/ml of each strain) and later treated with acetic acid (0.3-0.7%) - chitosan (0.1-0.3%). The response to the treatment varied depending on the type of leafy vegetable, cultivar, pathogen and concentration of acetic acid. For lettuce, acetic acid-chitosan treatment led to a significant reduction in the prevalence of </w:t>
      </w:r>
      <w:r>
        <w:rPr>
          <w:i/>
          <w:lang w:eastAsia="en-AU" w:bidi="ar-SA"/>
        </w:rPr>
        <w:t xml:space="preserve">E. coli </w:t>
      </w:r>
      <w:r>
        <w:rPr>
          <w:lang w:eastAsia="en-AU" w:bidi="ar-SA"/>
        </w:rPr>
        <w:t xml:space="preserve">O157:H7 and </w:t>
      </w:r>
      <w:r>
        <w:rPr>
          <w:i/>
          <w:lang w:eastAsia="en-AU" w:bidi="ar-SA"/>
        </w:rPr>
        <w:t xml:space="preserve">Salmonella </w:t>
      </w:r>
      <w:r>
        <w:rPr>
          <w:lang w:eastAsia="en-AU" w:bidi="ar-SA"/>
        </w:rPr>
        <w:t xml:space="preserve">spp. for four of five lettuce cultivars. For spinach, the treatment only had a significant effect on one of three cultivars for </w:t>
      </w:r>
      <w:r>
        <w:rPr>
          <w:i/>
          <w:lang w:eastAsia="en-AU" w:bidi="ar-SA"/>
        </w:rPr>
        <w:t xml:space="preserve">Salmonella </w:t>
      </w:r>
      <w:r>
        <w:rPr>
          <w:lang w:eastAsia="en-AU" w:bidi="ar-SA"/>
        </w:rPr>
        <w:t xml:space="preserve">spp. and no effect for lettuce. Acetic acid concentrations of 0.4%-0.7% were more effective, while addition of chitosan to the acetic acid treatment had no effect </w:t>
      </w:r>
      <w:r w:rsidR="00657FDB">
        <w:t>(Erickson et al. 2019a)</w:t>
      </w:r>
      <w:r w:rsidRPr="004C5D63">
        <w:t>.</w:t>
      </w:r>
    </w:p>
    <w:p w14:paraId="2CA83753" w14:textId="77777777" w:rsidR="0055458D" w:rsidRPr="00EB43A6" w:rsidRDefault="0055458D" w:rsidP="00787E56">
      <w:pPr>
        <w:pStyle w:val="Heading3"/>
        <w:numPr>
          <w:ilvl w:val="2"/>
          <w:numId w:val="11"/>
        </w:numPr>
        <w:rPr>
          <w:rFonts w:cs="Arial"/>
          <w:szCs w:val="22"/>
        </w:rPr>
      </w:pPr>
      <w:bookmarkStart w:id="347" w:name="_Toc45275372"/>
      <w:bookmarkStart w:id="348" w:name="_Toc56693459"/>
      <w:bookmarkStart w:id="349" w:name="_Toc58327812"/>
      <w:bookmarkStart w:id="350" w:name="_Toc58333992"/>
      <w:bookmarkStart w:id="351" w:name="_Toc64448799"/>
      <w:bookmarkStart w:id="352" w:name="_Toc87860060"/>
      <w:r>
        <w:t>Berries</w:t>
      </w:r>
      <w:bookmarkEnd w:id="347"/>
      <w:bookmarkEnd w:id="348"/>
      <w:bookmarkEnd w:id="349"/>
      <w:bookmarkEnd w:id="350"/>
      <w:bookmarkEnd w:id="351"/>
      <w:bookmarkEnd w:id="352"/>
    </w:p>
    <w:p w14:paraId="4C5F3182" w14:textId="77777777" w:rsidR="0055458D" w:rsidRDefault="0055458D" w:rsidP="0055458D">
      <w:r w:rsidRPr="008C53FB">
        <w:t>In Australia the majority of berries are hand-picked</w:t>
      </w:r>
      <w:r>
        <w:t xml:space="preserve"> (</w:t>
      </w:r>
      <w:r w:rsidRPr="00F404EA">
        <w:t>see Section 5.2), particularly if the product is destined for the fresh market. As blueberries ripen at different</w:t>
      </w:r>
      <w:r>
        <w:t xml:space="preserve"> times on the bush, these are harvested multiple times over several weeks. Blueberries are generally hand-picked, particular for the initial pickings, with mechanical harvesting sometimes used for later pickings. Most raspberries are hand-picked, although mechanical harvesting can also be used. Strawberries are always hand-picked, with strawberry beds picked over regularly to harvest the ripe berries. The stems of strawberries are removed in the field using either a thumbnail or mechanical device. Berries destined for the fresh market can be packed directly in the field or first transported to the packhouse.</w:t>
      </w:r>
    </w:p>
    <w:p w14:paraId="7AFB3791" w14:textId="77777777" w:rsidR="0055458D" w:rsidRPr="00A93255" w:rsidRDefault="0055458D" w:rsidP="0055458D"/>
    <w:p w14:paraId="128FB2BC" w14:textId="7237732E" w:rsidR="0055458D" w:rsidRDefault="0055458D" w:rsidP="0055458D">
      <w:r>
        <w:rPr>
          <w:lang w:bidi="ar-SA"/>
        </w:rPr>
        <w:t xml:space="preserve">Internationally </w:t>
      </w:r>
      <w:r>
        <w:t xml:space="preserve">the prevalence of HAV and NoV on berries in the field has been reported to range from 0-0.8% and 0-1.3%, respectively. HAV was detected on 0.8% (1/120) of strawberries collected from the farm during harvest season in South Korea, while neither NoV GI (0/120) or NoV GII (0/120) were detected </w:t>
      </w:r>
      <w:r w:rsidR="00657FDB">
        <w:t>(Shin et al. 2019)</w:t>
      </w:r>
      <w:r>
        <w:t xml:space="preserve">. NoV was detected in 1.3% (2/156) of field strawberries collected in the Czech Republic, while HAV was not detected </w:t>
      </w:r>
      <w:r w:rsidR="00657FDB">
        <w:t>(Dziedzinska et al. 2018)</w:t>
      </w:r>
      <w:r>
        <w:t xml:space="preserve">. STEC has not been detected on strawberries in the field in Belgium (0/72), Norway (0/80) or the US (0/82) </w:t>
      </w:r>
      <w:r w:rsidR="00657FDB">
        <w:t>(Delbeke et al. 2015; Johannessen et al. 2015; Kilonzo-Nthenge et al. 2018)</w:t>
      </w:r>
      <w:r>
        <w:t>. No Australian data on the prevalence of STEC, NoV and HAV on blueberries, raspberries and strawberries in the field was identified in the literature.</w:t>
      </w:r>
    </w:p>
    <w:p w14:paraId="2DC88FEB" w14:textId="77777777" w:rsidR="0055458D" w:rsidRDefault="0055458D" w:rsidP="0055458D"/>
    <w:p w14:paraId="0245F800" w14:textId="5CD04723" w:rsidR="0055458D" w:rsidRDefault="0055458D" w:rsidP="0055458D">
      <w:pPr>
        <w:rPr>
          <w:rFonts w:cs="Arial"/>
          <w:lang w:eastAsia="en-GB"/>
        </w:rPr>
      </w:pPr>
      <w:r w:rsidRPr="00CD7E0B">
        <w:t>International studies have isolated NoV and HAV from strawbe</w:t>
      </w:r>
      <w:r>
        <w:t>rry farm workers. A study in the Czech R</w:t>
      </w:r>
      <w:r w:rsidRPr="00CD7E0B">
        <w:t>epublic</w:t>
      </w:r>
      <w:r>
        <w:t xml:space="preserve"> detected NoV on 1/171 (0.6%) of swabs of workers hands, while HAV was not detected </w:t>
      </w:r>
      <w:r w:rsidR="00657FDB">
        <w:rPr>
          <w:rFonts w:cs="Arial"/>
          <w:lang w:eastAsia="en-AU"/>
        </w:rPr>
        <w:t>(Dziedzinska et al. 2018)</w:t>
      </w:r>
      <w:r>
        <w:rPr>
          <w:rFonts w:cs="Arial"/>
          <w:lang w:eastAsia="en-AU"/>
        </w:rPr>
        <w:t xml:space="preserve">. Conversely a South Korean study detected HAV on 1/27 (3.7%) of the harvesters’ glove samples, but did not detect NoV GI (0/27) or NoV GII (0/27) </w:t>
      </w:r>
      <w:r w:rsidR="00657FDB">
        <w:rPr>
          <w:rFonts w:cs="Arial"/>
          <w:lang w:eastAsia="en-GB"/>
        </w:rPr>
        <w:t>(Shin et al. 2019)</w:t>
      </w:r>
      <w:r>
        <w:rPr>
          <w:rFonts w:cs="Arial"/>
          <w:lang w:eastAsia="en-GB"/>
        </w:rPr>
        <w:t xml:space="preserve">. In other studies, such as Maunula et al. </w:t>
      </w:r>
      <w:r w:rsidR="00657FDB">
        <w:rPr>
          <w:rFonts w:cs="Arial"/>
          <w:lang w:eastAsia="en-GB"/>
        </w:rPr>
        <w:t>(2013)</w:t>
      </w:r>
      <w:r w:rsidR="00A1728B">
        <w:rPr>
          <w:rFonts w:cs="Arial"/>
          <w:lang w:eastAsia="en-GB"/>
        </w:rPr>
        <w:t>, neither HAV, NoV </w:t>
      </w:r>
      <w:r>
        <w:rPr>
          <w:rFonts w:cs="Arial"/>
          <w:lang w:eastAsia="en-GB"/>
        </w:rPr>
        <w:t>GI or NoV GII were detected on swabs of picker’s hands/gloves (n=113) on European berry farms.</w:t>
      </w:r>
    </w:p>
    <w:p w14:paraId="5147D25E" w14:textId="77777777" w:rsidR="0055458D" w:rsidRDefault="0055458D" w:rsidP="0055458D"/>
    <w:p w14:paraId="4B5E4D19" w14:textId="1E0FDA4F" w:rsidR="0055458D" w:rsidRPr="0012620B" w:rsidRDefault="0055458D" w:rsidP="0055458D">
      <w:pPr>
        <w:rPr>
          <w:rFonts w:cs="Arial"/>
          <w:lang w:eastAsia="en-GB"/>
        </w:rPr>
      </w:pPr>
      <w:r w:rsidRPr="00BB02B8">
        <w:t>Experimental evidence has confirmed the transfer of pathogens (</w:t>
      </w:r>
      <w:r w:rsidRPr="00BB02B8">
        <w:rPr>
          <w:i/>
        </w:rPr>
        <w:t>E. coli </w:t>
      </w:r>
      <w:r w:rsidRPr="00BB02B8">
        <w:t xml:space="preserve">O157:H7 and human NoV) </w:t>
      </w:r>
      <w:r>
        <w:t>between</w:t>
      </w:r>
      <w:r w:rsidRPr="00BB02B8">
        <w:t xml:space="preserve"> artificially inoculated gloved hands </w:t>
      </w:r>
      <w:r>
        <w:t>and</w:t>
      </w:r>
      <w:r w:rsidRPr="00BB02B8">
        <w:t xml:space="preserve"> berries </w:t>
      </w:r>
      <w:r w:rsidR="00657FDB">
        <w:t>(Sharps et al. 2012; Shaw et al. 2015a; Verhaelen et al. 2013b)</w:t>
      </w:r>
      <w:r w:rsidRPr="00BB02B8">
        <w:t>. In a study by</w:t>
      </w:r>
      <w:r w:rsidRPr="00BB02B8">
        <w:rPr>
          <w:lang w:eastAsia="en-GB"/>
        </w:rPr>
        <w:t xml:space="preserve"> Shaw et al. </w:t>
      </w:r>
      <w:r w:rsidR="00657FDB">
        <w:rPr>
          <w:lang w:eastAsia="en-GB"/>
        </w:rPr>
        <w:t>(2015a)</w:t>
      </w:r>
      <w:r w:rsidRPr="00BB02B8">
        <w:rPr>
          <w:lang w:eastAsia="en-GB"/>
        </w:rPr>
        <w:t xml:space="preserve"> </w:t>
      </w:r>
      <w:r w:rsidRPr="00BB02B8">
        <w:rPr>
          <w:rFonts w:cs="Arial"/>
          <w:i/>
          <w:lang w:eastAsia="en-GB"/>
        </w:rPr>
        <w:t xml:space="preserve">E. coli </w:t>
      </w:r>
      <w:r w:rsidRPr="00BB02B8">
        <w:rPr>
          <w:rFonts w:cs="Arial"/>
          <w:lang w:eastAsia="en-GB"/>
        </w:rPr>
        <w:t>O157:H7 was applied to pig skin (10</w:t>
      </w:r>
      <w:r w:rsidRPr="00BB02B8">
        <w:rPr>
          <w:rFonts w:cs="Arial"/>
          <w:vertAlign w:val="superscript"/>
          <w:lang w:eastAsia="en-GB"/>
        </w:rPr>
        <w:t>4</w:t>
      </w:r>
      <w:r w:rsidRPr="00BB02B8">
        <w:rPr>
          <w:rFonts w:cs="Arial"/>
          <w:lang w:eastAsia="en-GB"/>
        </w:rPr>
        <w:t xml:space="preserve"> CFU/cm</w:t>
      </w:r>
      <w:r w:rsidRPr="00BB02B8">
        <w:rPr>
          <w:rFonts w:cs="Arial"/>
          <w:vertAlign w:val="superscript"/>
          <w:lang w:eastAsia="en-GB"/>
        </w:rPr>
        <w:t>2</w:t>
      </w:r>
      <w:r w:rsidRPr="00BB02B8">
        <w:rPr>
          <w:rFonts w:cs="Arial"/>
          <w:lang w:eastAsia="en-GB"/>
        </w:rPr>
        <w:t xml:space="preserve">), which was then secured to gloves, and the inoculated gloves used to pick 100 strawberries. The first ten strawberries to be picked had a higher </w:t>
      </w:r>
      <w:r>
        <w:rPr>
          <w:rFonts w:cs="Arial"/>
          <w:i/>
          <w:lang w:eastAsia="en-GB"/>
        </w:rPr>
        <w:t>E. </w:t>
      </w:r>
      <w:r w:rsidRPr="00BB02B8">
        <w:rPr>
          <w:rFonts w:cs="Arial"/>
          <w:i/>
          <w:lang w:eastAsia="en-GB"/>
        </w:rPr>
        <w:t>coli</w:t>
      </w:r>
      <w:r>
        <w:rPr>
          <w:rFonts w:cs="Arial"/>
          <w:lang w:eastAsia="en-GB"/>
        </w:rPr>
        <w:t xml:space="preserve"> O157:H7 count (mean of L</w:t>
      </w:r>
      <w:r w:rsidRPr="00BB02B8">
        <w:rPr>
          <w:rFonts w:cs="Arial"/>
          <w:lang w:eastAsia="en-GB"/>
        </w:rPr>
        <w:t>og</w:t>
      </w:r>
      <w:r>
        <w:rPr>
          <w:rFonts w:cs="Arial"/>
          <w:vertAlign w:val="subscript"/>
          <w:lang w:eastAsia="en-GB"/>
        </w:rPr>
        <w:t xml:space="preserve"> </w:t>
      </w:r>
      <w:r>
        <w:rPr>
          <w:rFonts w:cs="Arial"/>
          <w:lang w:eastAsia="en-GB"/>
        </w:rPr>
        <w:t>2.10±</w:t>
      </w:r>
      <w:r w:rsidRPr="00BB02B8">
        <w:rPr>
          <w:rFonts w:cs="Arial"/>
          <w:lang w:eastAsia="en-GB"/>
        </w:rPr>
        <w:t>1.78 CFU/g per strawberry), while the 50-100</w:t>
      </w:r>
      <w:r w:rsidRPr="00BB02B8">
        <w:rPr>
          <w:rFonts w:cs="Arial"/>
          <w:vertAlign w:val="superscript"/>
          <w:lang w:eastAsia="en-GB"/>
        </w:rPr>
        <w:t>th</w:t>
      </w:r>
      <w:r w:rsidRPr="00BB02B8">
        <w:rPr>
          <w:rFonts w:cs="Arial"/>
          <w:lang w:eastAsia="en-GB"/>
        </w:rPr>
        <w:t xml:space="preserve"> picked strawberries had</w:t>
      </w:r>
      <w:r>
        <w:rPr>
          <w:rFonts w:cs="Arial"/>
          <w:lang w:eastAsia="en-GB"/>
        </w:rPr>
        <w:t xml:space="preserve"> lower counts (mean of L</w:t>
      </w:r>
      <w:r w:rsidRPr="00BB02B8">
        <w:rPr>
          <w:rFonts w:cs="Arial"/>
          <w:lang w:eastAsia="en-GB"/>
        </w:rPr>
        <w:t>og</w:t>
      </w:r>
      <w:r>
        <w:rPr>
          <w:rFonts w:cs="Arial"/>
          <w:vertAlign w:val="subscript"/>
          <w:lang w:eastAsia="en-GB"/>
        </w:rPr>
        <w:t xml:space="preserve"> </w:t>
      </w:r>
      <w:r>
        <w:rPr>
          <w:rFonts w:cs="Arial"/>
          <w:lang w:eastAsia="en-GB"/>
        </w:rPr>
        <w:t>1.37±1.53 - L</w:t>
      </w:r>
      <w:r w:rsidRPr="00BB02B8">
        <w:rPr>
          <w:rFonts w:cs="Arial"/>
          <w:lang w:eastAsia="en-GB"/>
        </w:rPr>
        <w:t>og</w:t>
      </w:r>
      <w:r>
        <w:rPr>
          <w:rFonts w:cs="Arial"/>
          <w:vertAlign w:val="subscript"/>
          <w:lang w:eastAsia="en-GB"/>
        </w:rPr>
        <w:t xml:space="preserve"> </w:t>
      </w:r>
      <w:r>
        <w:rPr>
          <w:rFonts w:cs="Arial"/>
          <w:lang w:eastAsia="en-GB"/>
        </w:rPr>
        <w:t>1.67±</w:t>
      </w:r>
      <w:r w:rsidRPr="00BB02B8">
        <w:rPr>
          <w:rFonts w:cs="Arial"/>
          <w:lang w:eastAsia="en-GB"/>
        </w:rPr>
        <w:t>1.04 CFU/g per strawberry). The transfer rates decreased from 38.14% (first strawberry) to 29.13% (100</w:t>
      </w:r>
      <w:r w:rsidRPr="00BB02B8">
        <w:rPr>
          <w:rFonts w:cs="Arial"/>
          <w:vertAlign w:val="superscript"/>
          <w:lang w:eastAsia="en-GB"/>
        </w:rPr>
        <w:t>th</w:t>
      </w:r>
      <w:r w:rsidRPr="00BB02B8">
        <w:rPr>
          <w:rFonts w:cs="Arial"/>
          <w:lang w:eastAsia="en-GB"/>
        </w:rPr>
        <w:t xml:space="preserve"> strawberry). Sharps et al. </w:t>
      </w:r>
      <w:r w:rsidR="00657FDB">
        <w:rPr>
          <w:rFonts w:cs="Arial"/>
          <w:lang w:eastAsia="en-GB"/>
        </w:rPr>
        <w:t>(2012)</w:t>
      </w:r>
      <w:r w:rsidRPr="00BB02B8">
        <w:rPr>
          <w:rFonts w:cs="Arial"/>
          <w:lang w:eastAsia="en-GB"/>
        </w:rPr>
        <w:t xml:space="preserve"> examined the level of transfer of human NoV GI and GII and murine </w:t>
      </w:r>
      <w:r>
        <w:rPr>
          <w:rFonts w:cs="Arial"/>
          <w:lang w:eastAsia="en-GB"/>
        </w:rPr>
        <w:t>NoV</w:t>
      </w:r>
      <w:r w:rsidRPr="00BB02B8">
        <w:rPr>
          <w:rFonts w:cs="Arial"/>
          <w:lang w:eastAsia="en-GB"/>
        </w:rPr>
        <w:t xml:space="preserve"> (MNV-1) from artificially inoculated gloves (~ 10</w:t>
      </w:r>
      <w:r w:rsidRPr="00BB02B8">
        <w:rPr>
          <w:rFonts w:cs="Arial"/>
          <w:vertAlign w:val="superscript"/>
          <w:lang w:eastAsia="en-GB"/>
        </w:rPr>
        <w:t>6</w:t>
      </w:r>
      <w:r w:rsidRPr="00BB02B8">
        <w:rPr>
          <w:rFonts w:cs="Arial"/>
          <w:lang w:eastAsia="en-GB"/>
        </w:rPr>
        <w:t xml:space="preserve"> genome copies of each virus) to blueberries and raspberries. The average percentage of transfer under wet conditions for NoV GI.3b, NoV GII.4 and MNV-1 for blueberries was 59%, 60% and 70%, respectively, and for raspberries was 33%, 26% and 20%, respectively. When the viral inoculation was left to dry for 30 min</w:t>
      </w:r>
      <w:r>
        <w:rPr>
          <w:rFonts w:cs="Arial"/>
          <w:lang w:eastAsia="en-GB"/>
        </w:rPr>
        <w:t>utes</w:t>
      </w:r>
      <w:r w:rsidRPr="00BB02B8">
        <w:rPr>
          <w:rFonts w:cs="Arial"/>
          <w:lang w:eastAsia="en-GB"/>
        </w:rPr>
        <w:t xml:space="preserve"> prior to contact the average percentage of transfer </w:t>
      </w:r>
      <w:r>
        <w:rPr>
          <w:rFonts w:cs="Arial"/>
          <w:lang w:eastAsia="en-GB"/>
        </w:rPr>
        <w:t>was</w:t>
      </w:r>
      <w:r w:rsidRPr="00BB02B8">
        <w:rPr>
          <w:rFonts w:cs="Arial"/>
          <w:lang w:eastAsia="en-GB"/>
        </w:rPr>
        <w:t xml:space="preserve"> </w:t>
      </w:r>
      <w:r>
        <w:rPr>
          <w:rFonts w:cs="Arial"/>
          <w:lang w:eastAsia="en-GB"/>
        </w:rPr>
        <w:t>&lt;10</w:t>
      </w:r>
      <w:r w:rsidRPr="00BB02B8">
        <w:rPr>
          <w:rFonts w:cs="Arial"/>
          <w:lang w:eastAsia="en-GB"/>
        </w:rPr>
        <w:t xml:space="preserve">% for all viruses on either fruit. In a study by Verhaelen et al. </w:t>
      </w:r>
      <w:r w:rsidR="00657FDB">
        <w:rPr>
          <w:rFonts w:cs="Arial"/>
          <w:lang w:eastAsia="en-GB"/>
        </w:rPr>
        <w:t>(2013b)</w:t>
      </w:r>
      <w:r w:rsidRPr="00BB02B8">
        <w:rPr>
          <w:rFonts w:cs="Arial"/>
          <w:lang w:eastAsia="en-GB"/>
        </w:rPr>
        <w:t xml:space="preserve"> gloves were in</w:t>
      </w:r>
      <w:r>
        <w:rPr>
          <w:rFonts w:cs="Arial"/>
          <w:lang w:eastAsia="en-GB"/>
        </w:rPr>
        <w:t>oculated with human NoV GI.4 (7x</w:t>
      </w:r>
      <w:r w:rsidRPr="00BB02B8">
        <w:rPr>
          <w:rFonts w:cs="Arial"/>
          <w:lang w:eastAsia="en-GB"/>
        </w:rPr>
        <w:t>10</w:t>
      </w:r>
      <w:r w:rsidRPr="00BB02B8">
        <w:rPr>
          <w:rFonts w:cs="Arial"/>
          <w:vertAlign w:val="superscript"/>
          <w:lang w:eastAsia="en-GB"/>
        </w:rPr>
        <w:t>8</w:t>
      </w:r>
      <w:r>
        <w:rPr>
          <w:rFonts w:cs="Arial"/>
          <w:lang w:eastAsia="en-GB"/>
        </w:rPr>
        <w:t xml:space="preserve"> genomic copies), NoV GII.4 (2x</w:t>
      </w:r>
      <w:r w:rsidRPr="00BB02B8">
        <w:rPr>
          <w:rFonts w:cs="Arial"/>
          <w:lang w:eastAsia="en-GB"/>
        </w:rPr>
        <w:t>10</w:t>
      </w:r>
      <w:r w:rsidRPr="00BB02B8">
        <w:rPr>
          <w:rFonts w:cs="Arial"/>
          <w:vertAlign w:val="superscript"/>
          <w:lang w:eastAsia="en-GB"/>
        </w:rPr>
        <w:t>8</w:t>
      </w:r>
      <w:r>
        <w:rPr>
          <w:rFonts w:cs="Arial"/>
          <w:lang w:eastAsia="en-GB"/>
        </w:rPr>
        <w:t xml:space="preserve"> genomic copies), MNV-1 (4x</w:t>
      </w:r>
      <w:r w:rsidRPr="00BB02B8">
        <w:rPr>
          <w:rFonts w:cs="Arial"/>
          <w:lang w:eastAsia="en-GB"/>
        </w:rPr>
        <w:t>10</w:t>
      </w:r>
      <w:r w:rsidRPr="00BB02B8">
        <w:rPr>
          <w:rFonts w:cs="Arial"/>
          <w:vertAlign w:val="superscript"/>
          <w:lang w:eastAsia="en-GB"/>
        </w:rPr>
        <w:t>8</w:t>
      </w:r>
      <w:r w:rsidRPr="00BB02B8">
        <w:rPr>
          <w:rFonts w:cs="Arial"/>
          <w:lang w:eastAsia="en-GB"/>
        </w:rPr>
        <w:t xml:space="preserve"> genomic copies) a</w:t>
      </w:r>
      <w:r>
        <w:rPr>
          <w:rFonts w:cs="Arial"/>
          <w:lang w:eastAsia="en-GB"/>
        </w:rPr>
        <w:t>nd human adenovirus (hAdV-2) (2x</w:t>
      </w:r>
      <w:r w:rsidRPr="00BB02B8">
        <w:rPr>
          <w:rFonts w:cs="Arial"/>
          <w:lang w:eastAsia="en-GB"/>
        </w:rPr>
        <w:t>10</w:t>
      </w:r>
      <w:r w:rsidRPr="00BB02B8">
        <w:rPr>
          <w:rFonts w:cs="Arial"/>
          <w:vertAlign w:val="superscript"/>
          <w:lang w:eastAsia="en-GB"/>
        </w:rPr>
        <w:t>8</w:t>
      </w:r>
      <w:r w:rsidRPr="00BB02B8">
        <w:rPr>
          <w:rFonts w:cs="Arial"/>
          <w:lang w:eastAsia="en-GB"/>
        </w:rPr>
        <w:t xml:space="preserve"> genomic copies) and left to dry for 2 hours. The </w:t>
      </w:r>
      <w:r>
        <w:rPr>
          <w:rFonts w:cs="Arial"/>
          <w:lang w:eastAsia="en-GB"/>
        </w:rPr>
        <w:t>estimated</w:t>
      </w:r>
      <w:r w:rsidRPr="00BB02B8">
        <w:rPr>
          <w:rFonts w:cs="Arial"/>
          <w:lang w:eastAsia="en-GB"/>
        </w:rPr>
        <w:t xml:space="preserve"> level of transfer from gloves to raspberries and strawberries was mostly </w:t>
      </w:r>
      <w:r>
        <w:rPr>
          <w:rFonts w:cs="Arial"/>
          <w:lang w:eastAsia="en-GB"/>
        </w:rPr>
        <w:t>≤</w:t>
      </w:r>
      <w:r w:rsidRPr="00BB02B8">
        <w:rPr>
          <w:rFonts w:cs="Arial"/>
          <w:lang w:eastAsia="en-GB"/>
        </w:rPr>
        <w:t xml:space="preserve">1%. </w:t>
      </w:r>
      <w:r>
        <w:rPr>
          <w:rFonts w:cs="Arial"/>
          <w:lang w:eastAsia="en-GB"/>
        </w:rPr>
        <w:t xml:space="preserve">Transfer from produce to gloves was also examined in this study, with raspberries artificially inoculated with the same quantity of virus (the raspberries were sliced in half to allow more consistent inoculation). The level of transfer from raspberries to gloves (estimated at 3-40% between viruses) was higher than transfer from gloves to berries, </w:t>
      </w:r>
      <w:r w:rsidRPr="00B66DA1">
        <w:rPr>
          <w:rFonts w:cs="Arial"/>
          <w:lang w:eastAsia="en-GB"/>
        </w:rPr>
        <w:t>a</w:t>
      </w:r>
      <w:r>
        <w:rPr>
          <w:rFonts w:cs="Arial"/>
          <w:lang w:eastAsia="en-GB"/>
        </w:rPr>
        <w:t>dding to the likelihood of viral transfer due to cross-</w:t>
      </w:r>
      <w:r w:rsidRPr="00B66DA1">
        <w:rPr>
          <w:rFonts w:cs="Arial"/>
          <w:lang w:eastAsia="en-GB"/>
        </w:rPr>
        <w:t xml:space="preserve">contamination from contaminated produce via </w:t>
      </w:r>
      <w:r>
        <w:rPr>
          <w:rFonts w:cs="Arial"/>
          <w:lang w:eastAsia="en-GB"/>
        </w:rPr>
        <w:t>workers hands. Also, t</w:t>
      </w:r>
      <w:r w:rsidRPr="00BB02B8">
        <w:rPr>
          <w:rFonts w:cs="Arial"/>
          <w:lang w:eastAsia="en-GB"/>
        </w:rPr>
        <w:t xml:space="preserve">he low level of transfer </w:t>
      </w:r>
      <w:r>
        <w:rPr>
          <w:rFonts w:cs="Arial"/>
          <w:lang w:eastAsia="en-GB"/>
        </w:rPr>
        <w:t>to the berries</w:t>
      </w:r>
      <w:r w:rsidRPr="00BB02B8">
        <w:rPr>
          <w:rFonts w:cs="Arial"/>
          <w:lang w:eastAsia="en-GB"/>
        </w:rPr>
        <w:t xml:space="preserve"> is generally characterised by a larger amount of </w:t>
      </w:r>
      <w:r>
        <w:rPr>
          <w:rFonts w:cs="Arial"/>
          <w:lang w:eastAsia="en-GB"/>
        </w:rPr>
        <w:t>berries</w:t>
      </w:r>
      <w:r w:rsidRPr="00BB02B8">
        <w:rPr>
          <w:rFonts w:cs="Arial"/>
          <w:lang w:eastAsia="en-GB"/>
        </w:rPr>
        <w:t xml:space="preserve"> being contaminated at low contamination levels (compared to high transfer proportion). These low level contamination levels, even though likely to cause disease, may not be detectable using present virus detection protocols and the possible heterogeneous distribution of virus particles in food batches </w:t>
      </w:r>
      <w:r w:rsidR="00657FDB">
        <w:rPr>
          <w:rFonts w:cs="Arial"/>
          <w:lang w:eastAsia="en-GB"/>
        </w:rPr>
        <w:t>(Verhaelen et al. 2013b)</w:t>
      </w:r>
      <w:r w:rsidRPr="00BB02B8">
        <w:rPr>
          <w:rFonts w:cs="Arial"/>
          <w:lang w:eastAsia="en-GB"/>
        </w:rPr>
        <w:t>.</w:t>
      </w:r>
    </w:p>
    <w:p w14:paraId="7BC0869B" w14:textId="77777777" w:rsidR="0055458D" w:rsidRDefault="0055458D" w:rsidP="0055458D"/>
    <w:p w14:paraId="23F8CFF0" w14:textId="55C0B8A2" w:rsidR="0055458D" w:rsidRPr="00BD2FE2" w:rsidRDefault="0055458D" w:rsidP="0055458D">
      <w:r w:rsidRPr="005A3386">
        <w:t xml:space="preserve">International NoV and HAV berry outbreaks have been </w:t>
      </w:r>
      <w:r>
        <w:t xml:space="preserve">potentially </w:t>
      </w:r>
      <w:r w:rsidRPr="005A3386">
        <w:t xml:space="preserve">linked to pickers in the field </w:t>
      </w:r>
      <w:r w:rsidR="00657FDB">
        <w:t>(Bozkurt et al. 2020)</w:t>
      </w:r>
      <w:r w:rsidRPr="005A3386">
        <w:t xml:space="preserve">. For example, a series of NoV outbreaks in Denmark associated with imported frozen raspberries were suspected to be caused by several independent contamination events </w:t>
      </w:r>
      <w:r>
        <w:t>including</w:t>
      </w:r>
      <w:r w:rsidRPr="005A3386">
        <w:t xml:space="preserve"> during harvest by infected farm workers, faecally contaminated irrigation water </w:t>
      </w:r>
      <w:r>
        <w:t>and/</w:t>
      </w:r>
      <w:r w:rsidRPr="005A3386">
        <w:t xml:space="preserve">or during processing by an infected worker </w:t>
      </w:r>
      <w:r w:rsidR="00657FDB">
        <w:t>(Falkenhorst et al. 2005)</w:t>
      </w:r>
      <w:r>
        <w:t>.</w:t>
      </w:r>
    </w:p>
    <w:p w14:paraId="1B4DE5C2" w14:textId="77777777" w:rsidR="0055458D" w:rsidRPr="00145A61" w:rsidRDefault="0055458D" w:rsidP="00787E56">
      <w:pPr>
        <w:pStyle w:val="Heading3"/>
        <w:numPr>
          <w:ilvl w:val="2"/>
          <w:numId w:val="11"/>
        </w:numPr>
      </w:pPr>
      <w:bookmarkStart w:id="353" w:name="_Toc45275373"/>
      <w:bookmarkStart w:id="354" w:name="_Toc56693460"/>
      <w:bookmarkStart w:id="355" w:name="_Toc58327813"/>
      <w:bookmarkStart w:id="356" w:name="_Toc58333993"/>
      <w:bookmarkStart w:id="357" w:name="_Toc64448800"/>
      <w:bookmarkStart w:id="358" w:name="_Toc87860061"/>
      <w:r w:rsidRPr="00145A61">
        <w:t>Melons</w:t>
      </w:r>
      <w:bookmarkEnd w:id="353"/>
      <w:bookmarkEnd w:id="354"/>
      <w:bookmarkEnd w:id="355"/>
      <w:bookmarkEnd w:id="356"/>
      <w:bookmarkEnd w:id="357"/>
      <w:bookmarkEnd w:id="358"/>
    </w:p>
    <w:p w14:paraId="16740677" w14:textId="77777777" w:rsidR="0055458D" w:rsidRPr="00472A35" w:rsidRDefault="0055458D" w:rsidP="0055458D">
      <w:pPr>
        <w:rPr>
          <w:lang w:eastAsia="en-AU" w:bidi="ar-SA"/>
        </w:rPr>
      </w:pPr>
      <w:r w:rsidRPr="00472A35">
        <w:rPr>
          <w:lang w:eastAsia="en-AU" w:bidi="ar-SA"/>
        </w:rPr>
        <w:t>Rockmelons</w:t>
      </w:r>
      <w:r>
        <w:rPr>
          <w:lang w:eastAsia="en-AU" w:bidi="ar-SA"/>
        </w:rPr>
        <w:t xml:space="preserve"> </w:t>
      </w:r>
      <w:r w:rsidRPr="00472A35">
        <w:rPr>
          <w:lang w:eastAsia="en-AU" w:bidi="ar-SA"/>
        </w:rPr>
        <w:t xml:space="preserve">in Australia are harvested by hand, generally with the use of knives, and transported to a packing shed for further </w:t>
      </w:r>
      <w:r>
        <w:rPr>
          <w:lang w:eastAsia="en-AU" w:bidi="ar-SA"/>
        </w:rPr>
        <w:t>postharvest</w:t>
      </w:r>
      <w:r w:rsidRPr="00472A35">
        <w:rPr>
          <w:lang w:eastAsia="en-AU" w:bidi="ar-SA"/>
        </w:rPr>
        <w:t xml:space="preserve"> processing</w:t>
      </w:r>
      <w:r>
        <w:rPr>
          <w:lang w:eastAsia="en-AU" w:bidi="ar-SA"/>
        </w:rPr>
        <w:t xml:space="preserve"> (</w:t>
      </w:r>
      <w:r w:rsidRPr="00F404EA">
        <w:rPr>
          <w:lang w:eastAsia="en-AU" w:bidi="ar-SA"/>
        </w:rPr>
        <w:t>see Section 5.3). Although</w:t>
      </w:r>
      <w:r w:rsidRPr="00472A35">
        <w:rPr>
          <w:lang w:eastAsia="en-AU" w:bidi="ar-SA"/>
        </w:rPr>
        <w:t xml:space="preserve"> more common in other countries, field packing of rockmelons in Australia is rarely undertaken. </w:t>
      </w:r>
      <w:r>
        <w:rPr>
          <w:lang w:eastAsia="en-AU" w:bidi="ar-SA"/>
        </w:rPr>
        <w:t>W</w:t>
      </w:r>
      <w:r w:rsidRPr="00472A35">
        <w:rPr>
          <w:lang w:eastAsia="en-AU" w:bidi="ar-SA"/>
        </w:rPr>
        <w:t xml:space="preserve">atermelons in Australia </w:t>
      </w:r>
      <w:r>
        <w:rPr>
          <w:lang w:eastAsia="en-AU" w:bidi="ar-SA"/>
        </w:rPr>
        <w:t>are</w:t>
      </w:r>
      <w:r w:rsidRPr="00472A35">
        <w:rPr>
          <w:lang w:eastAsia="en-AU" w:bidi="ar-SA"/>
        </w:rPr>
        <w:t xml:space="preserve"> generally </w:t>
      </w:r>
      <w:r>
        <w:rPr>
          <w:lang w:eastAsia="en-AU" w:bidi="ar-SA"/>
        </w:rPr>
        <w:t xml:space="preserve">harvested with the use of knives and </w:t>
      </w:r>
      <w:r w:rsidRPr="00472A35">
        <w:rPr>
          <w:lang w:eastAsia="en-AU" w:bidi="ar-SA"/>
        </w:rPr>
        <w:t>packed in field by hand.</w:t>
      </w:r>
    </w:p>
    <w:p w14:paraId="7C28C58A" w14:textId="77777777" w:rsidR="0055458D" w:rsidRPr="00472A35" w:rsidRDefault="0055458D" w:rsidP="0055458D">
      <w:pPr>
        <w:rPr>
          <w:lang w:eastAsia="en-AU"/>
        </w:rPr>
      </w:pPr>
      <w:r w:rsidRPr="00472A35">
        <w:rPr>
          <w:lang w:eastAsia="en-AU"/>
        </w:rPr>
        <w:t xml:space="preserve"> </w:t>
      </w:r>
    </w:p>
    <w:p w14:paraId="432F35D2" w14:textId="4DD25C52" w:rsidR="0055458D" w:rsidRPr="00472A35" w:rsidRDefault="0055458D" w:rsidP="0055458D">
      <w:pPr>
        <w:rPr>
          <w:lang w:eastAsia="en-AU"/>
        </w:rPr>
      </w:pPr>
      <w:r w:rsidRPr="00472A35">
        <w:rPr>
          <w:lang w:eastAsia="en-AU"/>
        </w:rPr>
        <w:t xml:space="preserve">The prevalence of </w:t>
      </w:r>
      <w:r w:rsidRPr="00472A35">
        <w:rPr>
          <w:i/>
          <w:lang w:eastAsia="en-AU"/>
        </w:rPr>
        <w:t>Salmonella</w:t>
      </w:r>
      <w:r w:rsidRPr="00472A35">
        <w:rPr>
          <w:lang w:eastAsia="en-AU"/>
        </w:rPr>
        <w:t xml:space="preserve"> </w:t>
      </w:r>
      <w:r>
        <w:rPr>
          <w:lang w:eastAsia="en-AU"/>
        </w:rPr>
        <w:t xml:space="preserve">spp. </w:t>
      </w:r>
      <w:r w:rsidRPr="00472A35">
        <w:rPr>
          <w:lang w:eastAsia="en-AU"/>
        </w:rPr>
        <w:t xml:space="preserve">on rockmelons in the field has been reported internationally ranging from 0 – 55%. </w:t>
      </w:r>
      <w:r w:rsidRPr="00472A35">
        <w:rPr>
          <w:i/>
          <w:lang w:eastAsia="en-AU"/>
        </w:rPr>
        <w:t xml:space="preserve">Salmonella </w:t>
      </w:r>
      <w:r w:rsidRPr="00472A35">
        <w:rPr>
          <w:lang w:eastAsia="en-AU"/>
        </w:rPr>
        <w:t xml:space="preserve">spp. were detected on 45% (9/20) of rockmelons via culture method and 11/20 (55%) via PCR from composite rinse samples comprising five field rockmelons collected from four farms in Mexico </w:t>
      </w:r>
      <w:r w:rsidR="00657FDB">
        <w:rPr>
          <w:lang w:eastAsia="en-AU"/>
        </w:rPr>
        <w:t>(Gallegos</w:t>
      </w:r>
      <w:r w:rsidR="00657FDB">
        <w:rPr>
          <w:rFonts w:ascii="Cambria Math" w:hAnsi="Cambria Math" w:cs="Cambria Math"/>
          <w:lang w:eastAsia="en-AU"/>
        </w:rPr>
        <w:t>‐</w:t>
      </w:r>
      <w:r w:rsidR="00657FDB">
        <w:rPr>
          <w:lang w:eastAsia="en-AU"/>
        </w:rPr>
        <w:t>Robles et al. 2009)</w:t>
      </w:r>
      <w:r w:rsidRPr="00472A35">
        <w:rPr>
          <w:lang w:eastAsia="en-AU"/>
        </w:rPr>
        <w:t xml:space="preserve">. 26% (9/35) of 25g rind/flesh samples taken from rockmelons at harvest on five Mexican farms were positive for </w:t>
      </w:r>
      <w:r w:rsidRPr="00472A35">
        <w:rPr>
          <w:i/>
          <w:lang w:eastAsia="en-AU"/>
        </w:rPr>
        <w:t>Salmonella</w:t>
      </w:r>
      <w:r w:rsidRPr="00472A35">
        <w:rPr>
          <w:lang w:eastAsia="en-AU"/>
        </w:rPr>
        <w:t xml:space="preserve"> </w:t>
      </w:r>
      <w:r>
        <w:rPr>
          <w:lang w:eastAsia="en-AU"/>
        </w:rPr>
        <w:t xml:space="preserve">spp. </w:t>
      </w:r>
      <w:r w:rsidRPr="00472A35">
        <w:rPr>
          <w:lang w:eastAsia="en-AU"/>
        </w:rPr>
        <w:t xml:space="preserve">via PCR method </w:t>
      </w:r>
      <w:r w:rsidR="00657FDB">
        <w:rPr>
          <w:lang w:eastAsia="en-AU"/>
        </w:rPr>
        <w:t>(Espinoza-Medina et al. 2006)</w:t>
      </w:r>
      <w:r w:rsidRPr="00472A35">
        <w:rPr>
          <w:lang w:eastAsia="en-AU"/>
        </w:rPr>
        <w:t>. 1/400 (six US farms) and 0/75 (three Mexican farms) swabs of 100cm</w:t>
      </w:r>
      <w:r w:rsidRPr="00472A35">
        <w:rPr>
          <w:vertAlign w:val="superscript"/>
          <w:lang w:eastAsia="en-AU"/>
        </w:rPr>
        <w:t xml:space="preserve">2 </w:t>
      </w:r>
      <w:r w:rsidRPr="00472A35">
        <w:rPr>
          <w:lang w:eastAsia="en-AU"/>
        </w:rPr>
        <w:t xml:space="preserve">rind area of rockmelon rinds in the field were positive for </w:t>
      </w:r>
      <w:r w:rsidRPr="00472A35">
        <w:rPr>
          <w:i/>
          <w:lang w:eastAsia="en-AU"/>
        </w:rPr>
        <w:t>Salmonella</w:t>
      </w:r>
      <w:r>
        <w:rPr>
          <w:i/>
          <w:lang w:eastAsia="en-AU"/>
        </w:rPr>
        <w:t xml:space="preserve"> </w:t>
      </w:r>
      <w:r>
        <w:rPr>
          <w:lang w:eastAsia="en-AU"/>
        </w:rPr>
        <w:t>spp.</w:t>
      </w:r>
      <w:r w:rsidRPr="00472A35">
        <w:rPr>
          <w:i/>
          <w:lang w:eastAsia="en-AU"/>
        </w:rPr>
        <w:t xml:space="preserve"> </w:t>
      </w:r>
      <w:r w:rsidR="00657FDB">
        <w:rPr>
          <w:lang w:eastAsia="en-AU"/>
        </w:rPr>
        <w:t>(Castillo et al. 2004)</w:t>
      </w:r>
      <w:r w:rsidRPr="00472A35">
        <w:rPr>
          <w:lang w:eastAsia="en-AU"/>
        </w:rPr>
        <w:t xml:space="preserve">. </w:t>
      </w:r>
    </w:p>
    <w:p w14:paraId="05308858" w14:textId="77777777" w:rsidR="0055458D" w:rsidRPr="00472A35" w:rsidRDefault="0055458D" w:rsidP="0055458D"/>
    <w:p w14:paraId="31EB3D49" w14:textId="01C2E74C" w:rsidR="0055458D" w:rsidRPr="00472A35" w:rsidRDefault="0055458D" w:rsidP="0055458D">
      <w:pPr>
        <w:rPr>
          <w:lang w:eastAsia="en-AU"/>
        </w:rPr>
      </w:pPr>
      <w:r w:rsidRPr="00472A35">
        <w:rPr>
          <w:i/>
          <w:lang w:eastAsia="en-AU"/>
        </w:rPr>
        <w:t>L. monocytogenes</w:t>
      </w:r>
      <w:r w:rsidRPr="00472A35">
        <w:rPr>
          <w:lang w:eastAsia="en-AU"/>
        </w:rPr>
        <w:t xml:space="preserve"> has not been detected on rockmelons in the field in the US (0/36 25g enriched rind samples) </w:t>
      </w:r>
      <w:r w:rsidR="00657FDB">
        <w:rPr>
          <w:lang w:eastAsia="en-AU"/>
        </w:rPr>
        <w:t>(Johnston et al. 2005a)</w:t>
      </w:r>
      <w:r w:rsidRPr="00472A35">
        <w:rPr>
          <w:lang w:eastAsia="en-AU"/>
        </w:rPr>
        <w:t xml:space="preserve">, Korea (0/18 25g rind samples), or Mexico (0/106 rockmelon rinse samples filtered then enriched) </w:t>
      </w:r>
      <w:r w:rsidR="00657FDB">
        <w:rPr>
          <w:lang w:eastAsia="en-AU"/>
        </w:rPr>
        <w:t>(Heredia et al. 2016)</w:t>
      </w:r>
      <w:r w:rsidRPr="00472A35">
        <w:rPr>
          <w:lang w:eastAsia="en-AU"/>
        </w:rPr>
        <w:t xml:space="preserve">. Furthermore, </w:t>
      </w:r>
      <w:r>
        <w:rPr>
          <w:i/>
          <w:lang w:eastAsia="en-AU"/>
        </w:rPr>
        <w:t>L. </w:t>
      </w:r>
      <w:r w:rsidRPr="00472A35">
        <w:rPr>
          <w:i/>
          <w:lang w:eastAsia="en-AU"/>
        </w:rPr>
        <w:t xml:space="preserve">monocytogenes </w:t>
      </w:r>
      <w:r w:rsidRPr="00472A35">
        <w:rPr>
          <w:lang w:eastAsia="en-AU"/>
        </w:rPr>
        <w:t xml:space="preserve">(n = 125) and </w:t>
      </w:r>
      <w:r w:rsidRPr="00472A35">
        <w:rPr>
          <w:i/>
          <w:lang w:eastAsia="en-AU"/>
        </w:rPr>
        <w:t>Salmonella</w:t>
      </w:r>
      <w:r w:rsidRPr="00472A35">
        <w:rPr>
          <w:lang w:eastAsia="en-AU"/>
        </w:rPr>
        <w:t xml:space="preserve"> </w:t>
      </w:r>
      <w:r>
        <w:rPr>
          <w:lang w:eastAsia="en-AU"/>
        </w:rPr>
        <w:t xml:space="preserve">spp. </w:t>
      </w:r>
      <w:r w:rsidRPr="00472A35">
        <w:rPr>
          <w:lang w:eastAsia="en-AU"/>
        </w:rPr>
        <w:t>(n = 64)</w:t>
      </w:r>
      <w:r w:rsidRPr="00472A35">
        <w:rPr>
          <w:i/>
          <w:lang w:eastAsia="en-AU"/>
        </w:rPr>
        <w:t xml:space="preserve"> </w:t>
      </w:r>
      <w:r w:rsidRPr="00472A35">
        <w:rPr>
          <w:lang w:eastAsia="en-AU"/>
        </w:rPr>
        <w:t xml:space="preserve">were not isolated from rockmelon sampled from fields in NSW using a surface rinse </w:t>
      </w:r>
      <w:r w:rsidR="00657FDB">
        <w:rPr>
          <w:lang w:val="en-AU"/>
        </w:rPr>
        <w:t>(NSW DPI 2020)</w:t>
      </w:r>
      <w:r w:rsidRPr="00472A35">
        <w:rPr>
          <w:lang w:val="en-AU"/>
        </w:rPr>
        <w:t>.</w:t>
      </w:r>
    </w:p>
    <w:p w14:paraId="289ADE88" w14:textId="77777777" w:rsidR="0055458D" w:rsidRPr="00472A35" w:rsidRDefault="0055458D" w:rsidP="0055458D">
      <w:pPr>
        <w:rPr>
          <w:highlight w:val="yellow"/>
        </w:rPr>
      </w:pPr>
    </w:p>
    <w:p w14:paraId="127E69F7" w14:textId="74B9C130" w:rsidR="00A20428" w:rsidRDefault="0055458D" w:rsidP="00A20428">
      <w:r w:rsidRPr="00472A35">
        <w:rPr>
          <w:lang w:eastAsia="en-AU"/>
        </w:rPr>
        <w:t xml:space="preserve">The survival of </w:t>
      </w:r>
      <w:r w:rsidRPr="00472A35">
        <w:rPr>
          <w:i/>
          <w:lang w:eastAsia="en-AU"/>
        </w:rPr>
        <w:t xml:space="preserve">Salmonella </w:t>
      </w:r>
      <w:r>
        <w:rPr>
          <w:lang w:eastAsia="en-AU"/>
        </w:rPr>
        <w:t xml:space="preserve">spp. </w:t>
      </w:r>
      <w:r w:rsidRPr="00472A35">
        <w:rPr>
          <w:lang w:eastAsia="en-AU"/>
        </w:rPr>
        <w:t xml:space="preserve">on the rind of rockmelons in the field has been experimentally investigated. Attenuated </w:t>
      </w:r>
      <w:r w:rsidRPr="00230D4F">
        <w:rPr>
          <w:i/>
          <w:lang w:eastAsia="en-AU"/>
        </w:rPr>
        <w:t>S</w:t>
      </w:r>
      <w:r w:rsidR="00230D4F" w:rsidRPr="00230D4F">
        <w:rPr>
          <w:i/>
          <w:lang w:eastAsia="en-AU"/>
        </w:rPr>
        <w:t>almonella</w:t>
      </w:r>
      <w:r w:rsidRPr="00472A35">
        <w:rPr>
          <w:lang w:eastAsia="en-AU"/>
        </w:rPr>
        <w:t xml:space="preserve"> Poona inoculated onto field grown rockmelons at 12 days old was able to survive on the rind for at least 24 days after inoculation, although populations did decline si</w:t>
      </w:r>
      <w:r>
        <w:rPr>
          <w:lang w:eastAsia="en-AU"/>
        </w:rPr>
        <w:t>gnificantly by approximately 3 L</w:t>
      </w:r>
      <w:r w:rsidRPr="00472A35">
        <w:rPr>
          <w:lang w:eastAsia="en-AU"/>
        </w:rPr>
        <w:t>og CFU/3 cm</w:t>
      </w:r>
      <w:r w:rsidRPr="00472A35">
        <w:rPr>
          <w:vertAlign w:val="superscript"/>
          <w:lang w:eastAsia="en-AU"/>
        </w:rPr>
        <w:t>2</w:t>
      </w:r>
      <w:r w:rsidRPr="00472A35">
        <w:rPr>
          <w:lang w:eastAsia="en-AU"/>
        </w:rPr>
        <w:t xml:space="preserve"> by 9 DPI </w:t>
      </w:r>
      <w:r w:rsidR="00657FDB">
        <w:rPr>
          <w:lang w:eastAsia="en-AU"/>
        </w:rPr>
        <w:t>(Gautam et al. 2014)</w:t>
      </w:r>
      <w:r w:rsidRPr="00472A35">
        <w:rPr>
          <w:lang w:eastAsia="en-AU"/>
        </w:rPr>
        <w:t xml:space="preserve">. </w:t>
      </w:r>
      <w:r w:rsidRPr="00472A35">
        <w:t xml:space="preserve">An attenuated </w:t>
      </w:r>
      <w:r w:rsidRPr="00472A35">
        <w:rPr>
          <w:i/>
        </w:rPr>
        <w:t>Salmonella</w:t>
      </w:r>
      <w:r w:rsidRPr="00472A35">
        <w:t xml:space="preserve"> strain survived for at least </w:t>
      </w:r>
      <w:r>
        <w:t>ten</w:t>
      </w:r>
      <w:r w:rsidRPr="00472A35">
        <w:t xml:space="preserve"> days on the rind of 30% (12/40) of rockmelons when applied in th</w:t>
      </w:r>
      <w:r w:rsidR="00A1728B">
        <w:t>e field at inoculum levels of &gt;</w:t>
      </w:r>
      <w:r w:rsidRPr="00472A35">
        <w:t>6</w:t>
      </w:r>
      <w:r w:rsidR="00A1728B">
        <w:t> </w:t>
      </w:r>
      <w:r>
        <w:t>L</w:t>
      </w:r>
      <w:r w:rsidRPr="00472A35">
        <w:t xml:space="preserve">og CFU/mL, and </w:t>
      </w:r>
      <w:r>
        <w:t>for at least two</w:t>
      </w:r>
      <w:r w:rsidRPr="00472A35">
        <w:t xml:space="preserve"> days but less than </w:t>
      </w:r>
      <w:r>
        <w:t>ten</w:t>
      </w:r>
      <w:r w:rsidRPr="00472A35">
        <w:t xml:space="preserve"> days on 80% (4/5) rockmelons when inoculated </w:t>
      </w:r>
      <w:r>
        <w:t>at 4 L</w:t>
      </w:r>
      <w:r w:rsidRPr="00472A35">
        <w:t xml:space="preserve">og CFU/mL </w:t>
      </w:r>
      <w:r w:rsidR="00657FDB">
        <w:t>(Lopez-Velasco et al. 2012)</w:t>
      </w:r>
      <w:r w:rsidRPr="00472A35">
        <w:t xml:space="preserve">. </w:t>
      </w:r>
      <w:r w:rsidR="00A20428">
        <w:br w:type="page"/>
      </w:r>
    </w:p>
    <w:p w14:paraId="3BA37968" w14:textId="09756320" w:rsidR="00705359" w:rsidRPr="00472A35" w:rsidRDefault="0055458D" w:rsidP="00705359">
      <w:pPr>
        <w:rPr>
          <w:highlight w:val="yellow"/>
          <w:lang w:eastAsia="en-AU"/>
        </w:rPr>
      </w:pPr>
      <w:r w:rsidRPr="00472A35">
        <w:rPr>
          <w:lang w:eastAsia="en-AU"/>
        </w:rPr>
        <w:t xml:space="preserve">The occurrence of </w:t>
      </w:r>
      <w:r w:rsidRPr="00472A35">
        <w:rPr>
          <w:i/>
          <w:lang w:eastAsia="en-AU"/>
        </w:rPr>
        <w:t>Salmonella</w:t>
      </w:r>
      <w:r w:rsidRPr="00472A35">
        <w:rPr>
          <w:lang w:eastAsia="en-AU"/>
        </w:rPr>
        <w:t xml:space="preserve"> </w:t>
      </w:r>
      <w:r>
        <w:rPr>
          <w:lang w:eastAsia="en-AU"/>
        </w:rPr>
        <w:t xml:space="preserve">spp. </w:t>
      </w:r>
      <w:r w:rsidRPr="00472A35">
        <w:rPr>
          <w:lang w:eastAsia="en-AU"/>
        </w:rPr>
        <w:t xml:space="preserve">and </w:t>
      </w:r>
      <w:r w:rsidRPr="00472A35">
        <w:rPr>
          <w:i/>
          <w:lang w:eastAsia="en-AU"/>
        </w:rPr>
        <w:t>L. monocytogenes</w:t>
      </w:r>
      <w:r w:rsidRPr="00472A35">
        <w:rPr>
          <w:lang w:eastAsia="en-AU"/>
        </w:rPr>
        <w:t xml:space="preserve"> on the hands of workers in melon fields has been investigated overseas. </w:t>
      </w:r>
      <w:r w:rsidRPr="00472A35">
        <w:rPr>
          <w:i/>
          <w:lang w:eastAsia="en-AU"/>
        </w:rPr>
        <w:t>Salmonella</w:t>
      </w:r>
      <w:r w:rsidRPr="00472A35">
        <w:rPr>
          <w:lang w:eastAsia="en-AU"/>
        </w:rPr>
        <w:t xml:space="preserve"> </w:t>
      </w:r>
      <w:r>
        <w:rPr>
          <w:lang w:eastAsia="en-AU"/>
        </w:rPr>
        <w:t>spp. were</w:t>
      </w:r>
      <w:r w:rsidRPr="00472A35">
        <w:rPr>
          <w:lang w:eastAsia="en-AU"/>
        </w:rPr>
        <w:t xml:space="preserve"> not detected in 24 surface samples from the hands of workers harvesting rockmelons on five commercial Mexican rockmelon farms analysed by both PCR and a standard method </w:t>
      </w:r>
      <w:r w:rsidR="00657FDB">
        <w:rPr>
          <w:lang w:eastAsia="en-AU"/>
        </w:rPr>
        <w:t>(Espinoza-Medina et al. 2006)</w:t>
      </w:r>
      <w:r w:rsidRPr="00472A35">
        <w:rPr>
          <w:lang w:eastAsia="en-AU"/>
        </w:rPr>
        <w:t xml:space="preserve">. Similarly, </w:t>
      </w:r>
      <w:r w:rsidRPr="00472A35">
        <w:rPr>
          <w:i/>
          <w:lang w:eastAsia="en-AU"/>
        </w:rPr>
        <w:t>L. monocytogenes</w:t>
      </w:r>
      <w:r w:rsidRPr="00472A35">
        <w:rPr>
          <w:lang w:eastAsia="en-AU"/>
        </w:rPr>
        <w:t xml:space="preserve"> was not isolated from samples taken from the hands of workers during harvest on Mexican rockmelon farms </w:t>
      </w:r>
      <w:r w:rsidR="00657FDB">
        <w:rPr>
          <w:lang w:eastAsia="en-AU"/>
        </w:rPr>
        <w:t>(Heredia et al. 2016)</w:t>
      </w:r>
      <w:r w:rsidRPr="00472A35">
        <w:rPr>
          <w:lang w:eastAsia="en-AU"/>
        </w:rPr>
        <w:t>.</w:t>
      </w:r>
      <w:r w:rsidR="00705359" w:rsidRPr="00705359">
        <w:rPr>
          <w:highlight w:val="yellow"/>
          <w:lang w:eastAsia="en-AU"/>
        </w:rPr>
        <w:t xml:space="preserve"> </w:t>
      </w:r>
    </w:p>
    <w:p w14:paraId="2595203A" w14:textId="6C98C3FC" w:rsidR="0055458D" w:rsidRPr="00472A35" w:rsidRDefault="0055458D" w:rsidP="0055458D">
      <w:pPr>
        <w:rPr>
          <w:highlight w:val="yellow"/>
          <w:lang w:eastAsia="en-AU"/>
        </w:rPr>
      </w:pPr>
    </w:p>
    <w:p w14:paraId="65022942" w14:textId="0F969C0C" w:rsidR="0055458D" w:rsidRPr="00472A35" w:rsidRDefault="0055458D" w:rsidP="0055458D">
      <w:pPr>
        <w:rPr>
          <w:lang w:eastAsia="en-AU"/>
        </w:rPr>
      </w:pPr>
      <w:r w:rsidRPr="00472A35">
        <w:rPr>
          <w:lang w:eastAsia="en-AU"/>
        </w:rPr>
        <w:t xml:space="preserve">There is preliminary experimental evidence that </w:t>
      </w:r>
      <w:r w:rsidRPr="00472A35">
        <w:rPr>
          <w:i/>
          <w:lang w:eastAsia="en-AU"/>
        </w:rPr>
        <w:t>L. monocytogenes</w:t>
      </w:r>
      <w:r w:rsidRPr="00472A35">
        <w:rPr>
          <w:lang w:eastAsia="en-AU"/>
        </w:rPr>
        <w:t xml:space="preserve"> and </w:t>
      </w:r>
      <w:r w:rsidRPr="00472A35">
        <w:rPr>
          <w:i/>
          <w:lang w:eastAsia="en-AU"/>
        </w:rPr>
        <w:t>Salmonella</w:t>
      </w:r>
      <w:r w:rsidRPr="00472A35">
        <w:rPr>
          <w:lang w:eastAsia="en-AU"/>
        </w:rPr>
        <w:t xml:space="preserve"> </w:t>
      </w:r>
      <w:r>
        <w:rPr>
          <w:lang w:eastAsia="en-AU"/>
        </w:rPr>
        <w:t xml:space="preserve">spp. </w:t>
      </w:r>
      <w:r w:rsidRPr="00472A35">
        <w:rPr>
          <w:lang w:eastAsia="en-AU"/>
        </w:rPr>
        <w:t xml:space="preserve">transfer to or from melons may be influenced by glove type and transfer rates are higher for rubber gloves </w:t>
      </w:r>
      <w:r w:rsidR="00657FDB">
        <w:rPr>
          <w:lang w:eastAsia="en-AU"/>
        </w:rPr>
        <w:t>(Pfuntner et al. 2017; Pfuntner et al. 2018)</w:t>
      </w:r>
      <w:r w:rsidRPr="00472A35">
        <w:rPr>
          <w:lang w:eastAsia="en-AU"/>
        </w:rPr>
        <w:t xml:space="preserve">. A study quantified </w:t>
      </w:r>
      <w:r w:rsidRPr="00472A35">
        <w:rPr>
          <w:i/>
          <w:lang w:eastAsia="en-AU"/>
        </w:rPr>
        <w:t>Salmonella</w:t>
      </w:r>
      <w:r w:rsidRPr="00472A35">
        <w:rPr>
          <w:lang w:eastAsia="en-AU"/>
        </w:rPr>
        <w:t xml:space="preserve"> </w:t>
      </w:r>
      <w:r>
        <w:rPr>
          <w:lang w:eastAsia="en-AU"/>
        </w:rPr>
        <w:t xml:space="preserve">spp. </w:t>
      </w:r>
      <w:r w:rsidRPr="00472A35">
        <w:rPr>
          <w:lang w:eastAsia="en-AU"/>
        </w:rPr>
        <w:t xml:space="preserve">transfer from contaminated gloves (rubber, nitrile, cotton) to rockmelons and vice versa assessing different contact times </w:t>
      </w:r>
      <w:r>
        <w:rPr>
          <w:lang w:eastAsia="en-AU"/>
        </w:rPr>
        <w:t>(5-</w:t>
      </w:r>
      <w:r w:rsidRPr="00472A35">
        <w:rPr>
          <w:lang w:eastAsia="en-AU"/>
        </w:rPr>
        <w:t>20</w:t>
      </w:r>
      <w:r>
        <w:rPr>
          <w:lang w:eastAsia="en-AU"/>
        </w:rPr>
        <w:t xml:space="preserve"> </w:t>
      </w:r>
      <w:r w:rsidRPr="00472A35">
        <w:rPr>
          <w:lang w:eastAsia="en-AU"/>
        </w:rPr>
        <w:t>s</w:t>
      </w:r>
      <w:r>
        <w:rPr>
          <w:lang w:eastAsia="en-AU"/>
        </w:rPr>
        <w:t>econds</w:t>
      </w:r>
      <w:r w:rsidRPr="00472A35">
        <w:rPr>
          <w:lang w:eastAsia="en-AU"/>
        </w:rPr>
        <w:t xml:space="preserve">) and pressures. The test scenarios were </w:t>
      </w:r>
      <w:r w:rsidRPr="00472A35">
        <w:t xml:space="preserve">inoculated rockmelon to clean glove and inoculated glove to clean rockmelon using a dry inoculum of </w:t>
      </w:r>
      <w:r w:rsidRPr="00472A35">
        <w:rPr>
          <w:i/>
        </w:rPr>
        <w:t>Salmonella</w:t>
      </w:r>
      <w:r w:rsidRPr="00472A35">
        <w:t xml:space="preserve"> mixed with sand (10</w:t>
      </w:r>
      <w:r w:rsidRPr="00472A35">
        <w:rPr>
          <w:vertAlign w:val="superscript"/>
        </w:rPr>
        <w:t>6</w:t>
      </w:r>
      <w:r w:rsidRPr="00472A35">
        <w:t xml:space="preserve"> CFU/g). Transfer coefficients were calculated and there were no significant difference in transfer rates between contact times for both scenarios. There was a positive association with pressure and transfer. Rates of </w:t>
      </w:r>
      <w:r w:rsidRPr="00472A35">
        <w:rPr>
          <w:i/>
        </w:rPr>
        <w:t>Salmonella</w:t>
      </w:r>
      <w:r w:rsidR="00A1728B">
        <w:t> </w:t>
      </w:r>
      <w:r>
        <w:t xml:space="preserve">spp. </w:t>
      </w:r>
      <w:r w:rsidRPr="00472A35">
        <w:t xml:space="preserve">transfer were significantly higher for inoculated rockmelon to glove than inoculated glove to rockmelon. Rubber glove transfer rates were significantly higher than cotton or nitrile gloves under both scenarios at the highest pressure </w:t>
      </w:r>
      <w:r w:rsidR="00657FDB">
        <w:t>(Pfuntner et al. 2017)</w:t>
      </w:r>
      <w:r w:rsidRPr="00472A35">
        <w:t xml:space="preserve">. The same experiment preformed with </w:t>
      </w:r>
      <w:r w:rsidRPr="00472A35">
        <w:rPr>
          <w:i/>
        </w:rPr>
        <w:t>L. monocytogenes</w:t>
      </w:r>
      <w:r w:rsidRPr="00472A35">
        <w:t xml:space="preserve"> demonstrated transfer rates from a contaminated rockmelon to glove or contaminated glove to rockmelon was low using a dry inoculum. Transfer rates from inoculated glove material to rockmelon were highest for rubber gloves and lowest for nitrile gloves, regardless of contact time or pressure </w:t>
      </w:r>
      <w:r w:rsidR="00657FDB">
        <w:t>(Pfuntner et al. 2018)</w:t>
      </w:r>
      <w:r w:rsidRPr="00472A35">
        <w:t xml:space="preserve">. </w:t>
      </w:r>
    </w:p>
    <w:p w14:paraId="1EF5C12A" w14:textId="77777777" w:rsidR="0055458D" w:rsidRPr="00472A35" w:rsidRDefault="0055458D" w:rsidP="0055458D">
      <w:pPr>
        <w:rPr>
          <w:lang w:eastAsia="en-AU" w:bidi="ar-SA"/>
        </w:rPr>
      </w:pPr>
    </w:p>
    <w:p w14:paraId="55002938" w14:textId="2109BCFA" w:rsidR="0055458D" w:rsidRPr="00A31304" w:rsidRDefault="0055458D" w:rsidP="0055458D">
      <w:pPr>
        <w:rPr>
          <w:lang w:eastAsia="en-AU"/>
        </w:rPr>
      </w:pPr>
      <w:r w:rsidRPr="00472A35">
        <w:rPr>
          <w:lang w:eastAsia="en-AU"/>
        </w:rPr>
        <w:t xml:space="preserve">Preliminary evidence </w:t>
      </w:r>
      <w:r>
        <w:rPr>
          <w:lang w:eastAsia="en-AU"/>
        </w:rPr>
        <w:t xml:space="preserve">was demonstrated </w:t>
      </w:r>
      <w:r w:rsidRPr="00472A35">
        <w:rPr>
          <w:lang w:eastAsia="en-AU"/>
        </w:rPr>
        <w:t>for the novel use of octenidine dihydr</w:t>
      </w:r>
      <w:r>
        <w:rPr>
          <w:lang w:eastAsia="en-AU"/>
        </w:rPr>
        <w:t>ochloride (OH) applied as a pre</w:t>
      </w:r>
      <w:r w:rsidRPr="00472A35">
        <w:rPr>
          <w:lang w:eastAsia="en-AU"/>
        </w:rPr>
        <w:t xml:space="preserve">harvest spray to reduce </w:t>
      </w:r>
      <w:r w:rsidRPr="00472A35">
        <w:rPr>
          <w:i/>
          <w:lang w:eastAsia="en-AU"/>
        </w:rPr>
        <w:t xml:space="preserve">Listeria </w:t>
      </w:r>
      <w:r w:rsidRPr="00472A35">
        <w:rPr>
          <w:lang w:eastAsia="en-AU"/>
        </w:rPr>
        <w:t>spp. on the surface of whole melons. Inoculated melons in the field were sprayed with 0.1% OH or 0.2% OH</w:t>
      </w:r>
      <w:r>
        <w:rPr>
          <w:lang w:eastAsia="en-AU"/>
        </w:rPr>
        <w:t>. Reductions of 1.0 and 1.5 L</w:t>
      </w:r>
      <w:r w:rsidRPr="00472A35">
        <w:rPr>
          <w:lang w:eastAsia="en-AU"/>
        </w:rPr>
        <w:t>og CFU/cm</w:t>
      </w:r>
      <w:r w:rsidRPr="00472A35">
        <w:rPr>
          <w:vertAlign w:val="superscript"/>
          <w:lang w:eastAsia="en-AU"/>
        </w:rPr>
        <w:t>2</w:t>
      </w:r>
      <w:r w:rsidRPr="00472A35">
        <w:rPr>
          <w:lang w:eastAsia="en-AU"/>
        </w:rPr>
        <w:t xml:space="preserve"> were observed for 0.1% and 0.2% OH</w:t>
      </w:r>
      <w:r>
        <w:rPr>
          <w:lang w:eastAsia="en-AU"/>
        </w:rPr>
        <w:t>,</w:t>
      </w:r>
      <w:r w:rsidRPr="00472A35">
        <w:rPr>
          <w:lang w:eastAsia="en-AU"/>
        </w:rPr>
        <w:t xml:space="preserve"> respectively</w:t>
      </w:r>
      <w:r>
        <w:rPr>
          <w:lang w:eastAsia="en-AU"/>
        </w:rPr>
        <w:t>,</w:t>
      </w:r>
      <w:r w:rsidRPr="00472A35">
        <w:rPr>
          <w:lang w:eastAsia="en-AU"/>
        </w:rPr>
        <w:t xml:space="preserve"> on day </w:t>
      </w:r>
      <w:r>
        <w:rPr>
          <w:lang w:eastAsia="en-AU"/>
        </w:rPr>
        <w:t>zero, and approximately 2 L</w:t>
      </w:r>
      <w:r w:rsidRPr="00472A35">
        <w:rPr>
          <w:lang w:eastAsia="en-AU"/>
        </w:rPr>
        <w:t xml:space="preserve">og </w:t>
      </w:r>
      <w:r>
        <w:rPr>
          <w:lang w:eastAsia="en-AU"/>
        </w:rPr>
        <w:t xml:space="preserve">on </w:t>
      </w:r>
      <w:r w:rsidRPr="00472A35">
        <w:rPr>
          <w:lang w:eastAsia="en-AU"/>
        </w:rPr>
        <w:t>28</w:t>
      </w:r>
      <w:r>
        <w:rPr>
          <w:lang w:eastAsia="en-AU"/>
        </w:rPr>
        <w:t xml:space="preserve"> days post inoculation</w:t>
      </w:r>
      <w:r w:rsidRPr="00472A35">
        <w:rPr>
          <w:lang w:eastAsia="en-AU"/>
        </w:rPr>
        <w:t xml:space="preserve"> </w:t>
      </w:r>
      <w:r w:rsidR="00657FDB">
        <w:rPr>
          <w:lang w:eastAsia="en-AU"/>
        </w:rPr>
        <w:t>(Keelara et al. 2015)</w:t>
      </w:r>
      <w:r w:rsidRPr="00472A35">
        <w:rPr>
          <w:lang w:eastAsia="en-AU"/>
        </w:rPr>
        <w:t xml:space="preserve">. </w:t>
      </w:r>
    </w:p>
    <w:p w14:paraId="4C8BE640" w14:textId="77777777" w:rsidR="00F57E1E" w:rsidRDefault="00F57E1E" w:rsidP="0055458D">
      <w:pPr>
        <w:rPr>
          <w:lang w:eastAsia="en-AU"/>
        </w:rPr>
      </w:pPr>
    </w:p>
    <w:p w14:paraId="0E2A93CE" w14:textId="77777777" w:rsidR="0055458D" w:rsidRDefault="0055458D" w:rsidP="0055458D">
      <w:pPr>
        <w:pStyle w:val="Heading2"/>
        <w:numPr>
          <w:ilvl w:val="1"/>
          <w:numId w:val="11"/>
        </w:numPr>
      </w:pPr>
      <w:bookmarkStart w:id="359" w:name="_Toc56693461"/>
      <w:bookmarkStart w:id="360" w:name="_Toc58327814"/>
      <w:bookmarkStart w:id="361" w:name="_Toc58333994"/>
      <w:bookmarkStart w:id="362" w:name="_Toc64448801"/>
      <w:bookmarkStart w:id="363" w:name="_Toc87860062"/>
      <w:r>
        <w:t>Conclusions, uncertainty, and data gaps</w:t>
      </w:r>
      <w:bookmarkEnd w:id="359"/>
      <w:bookmarkEnd w:id="360"/>
      <w:bookmarkEnd w:id="361"/>
      <w:bookmarkEnd w:id="362"/>
      <w:bookmarkEnd w:id="363"/>
    </w:p>
    <w:p w14:paraId="12750AC7" w14:textId="77777777" w:rsidR="0055458D" w:rsidRPr="00BD2FE2" w:rsidRDefault="0055458D" w:rsidP="0055458D">
      <w:pPr>
        <w:rPr>
          <w:lang w:eastAsia="en-AU" w:bidi="ar-SA"/>
        </w:rPr>
      </w:pPr>
      <w:r w:rsidRPr="00F2204C">
        <w:rPr>
          <w:i/>
        </w:rPr>
        <w:t xml:space="preserve">Contamination and cross-contamination due to poor worker and equipment hygiene are risk factors that </w:t>
      </w:r>
      <w:r w:rsidRPr="00F2204C">
        <w:rPr>
          <w:i/>
          <w:lang w:eastAsia="en-AU" w:bidi="ar-SA"/>
        </w:rPr>
        <w:t>apply broadly to all commodities at harvest</w:t>
      </w:r>
      <w:r w:rsidRPr="00502B0C">
        <w:rPr>
          <w:lang w:eastAsia="en-AU" w:bidi="ar-SA"/>
        </w:rPr>
        <w:t>.</w:t>
      </w:r>
      <w:r w:rsidRPr="00BD2FE2">
        <w:rPr>
          <w:lang w:eastAsia="en-AU" w:bidi="ar-SA"/>
        </w:rPr>
        <w:t xml:space="preserve"> There is a low level of uncertainty and high level of confidence in this conclusion based on the general evidence, and the available evidence for leafy vegetables, berries, and melons. </w:t>
      </w:r>
    </w:p>
    <w:p w14:paraId="2F2B1C9B" w14:textId="77777777" w:rsidR="0055458D" w:rsidRPr="00B76E4F" w:rsidRDefault="0055458D" w:rsidP="0055458D"/>
    <w:p w14:paraId="23F53583" w14:textId="0033BDA6" w:rsidR="0055458D" w:rsidRPr="00BD2FE2" w:rsidRDefault="0055458D" w:rsidP="0055458D">
      <w:pPr>
        <w:rPr>
          <w:lang w:eastAsia="en-AU"/>
        </w:rPr>
      </w:pPr>
      <w:r w:rsidRPr="00F2204C">
        <w:rPr>
          <w:i/>
        </w:rPr>
        <w:t xml:space="preserve">Contamination and cross-contamination due to poor worker and equipment hygiene are risk factors that </w:t>
      </w:r>
      <w:r w:rsidRPr="00F2204C">
        <w:rPr>
          <w:i/>
          <w:lang w:eastAsia="en-AU"/>
        </w:rPr>
        <w:t>apply broadly to all commodities at harvest</w:t>
      </w:r>
      <w:r w:rsidRPr="00502B0C">
        <w:rPr>
          <w:lang w:eastAsia="en-AU"/>
        </w:rPr>
        <w:t>.</w:t>
      </w:r>
      <w:r w:rsidRPr="00BD2FE2">
        <w:rPr>
          <w:lang w:eastAsia="en-AU"/>
        </w:rPr>
        <w:t xml:space="preserve"> There is a low level of uncertainty and high level of confidence in this conclusion based on the general evidence, and the available evidence for leafy vegetables, berries, and melons</w:t>
      </w:r>
      <w:r w:rsidRPr="0064726A">
        <w:rPr>
          <w:b/>
        </w:rPr>
        <w:t>.</w:t>
      </w:r>
      <w:r w:rsidRPr="00BD2FE2">
        <w:t xml:space="preserve"> The experimental evidence cited above has demonstrated the potential for cross-contamination of pathogens by workers during manual harvesting of lettuce, parsley, rockmelons, strawberries, blueberries, and raspberries both through glove contact and the use of harvesting equipment</w:t>
      </w:r>
      <w:r>
        <w:t>,</w:t>
      </w:r>
      <w:r w:rsidRPr="00BD2FE2">
        <w:t xml:space="preserve"> such as knives. Furthermore, field coring of lettuce can expose nutrients and experimental studies have indicated the potential for growth of </w:t>
      </w:r>
      <w:r w:rsidRPr="0064726A">
        <w:rPr>
          <w:i/>
        </w:rPr>
        <w:t>E. coli </w:t>
      </w:r>
      <w:r w:rsidRPr="00BD2FE2">
        <w:t>O157:H7 on cored lettuces.</w:t>
      </w:r>
      <w:r w:rsidRPr="0064726A">
        <w:rPr>
          <w:b/>
        </w:rPr>
        <w:t xml:space="preserve"> </w:t>
      </w:r>
      <w:r w:rsidRPr="00BD2FE2">
        <w:t xml:space="preserve">Although contact with the mechanical equipment used to harvest produce has been identified as a potential mechanism of transferring contaminated faeces or soil to large amounts of produce, there is limited direct evidence in regards to leafy vegetables or berries that may be mechanically harvested. However, the experimental evidence available that describes the ability of bacterial pathogens to adhere to and </w:t>
      </w:r>
      <w:r w:rsidR="00157348">
        <w:t>from</w:t>
      </w:r>
      <w:r w:rsidR="00157348" w:rsidRPr="00BD2FE2">
        <w:t xml:space="preserve"> </w:t>
      </w:r>
      <w:r w:rsidRPr="00BD2FE2">
        <w:t xml:space="preserve">biofilms on </w:t>
      </w:r>
      <w:r w:rsidRPr="00BD2FE2">
        <w:rPr>
          <w:lang w:eastAsia="en-AU"/>
        </w:rPr>
        <w:t xml:space="preserve">surfaces commonly used during the harvesting of leafy vegetables and melons, </w:t>
      </w:r>
      <w:r w:rsidRPr="009D5A9D">
        <w:rPr>
          <w:lang w:eastAsia="en-AU"/>
        </w:rPr>
        <w:t>i.e.</w:t>
      </w:r>
      <w:r w:rsidRPr="00BD2FE2">
        <w:rPr>
          <w:lang w:eastAsia="en-AU"/>
        </w:rPr>
        <w:t xml:space="preserve"> knives or cutting blades, </w:t>
      </w:r>
      <w:r w:rsidRPr="00BD2FE2">
        <w:t xml:space="preserve">supports the conclusion that if equipment is not maintained in a hygienic manner that the risk of contamination will increase, particularly if produce is damaged and exposed to contaminated equipment. Moreover, experimental evidence indicates that attachment and persistence may be enhanced on soiled and wet equipment surfaces as opposed to clean and dry surfaces. However, the evidence reviewed above is from experimental studies, rather than in the field, so there is high uncertainty regarding the level of cross-contamination that occurs in field during harvesting of leafy vegetables, berries and melons in Australia. </w:t>
      </w:r>
    </w:p>
    <w:p w14:paraId="111295D8" w14:textId="77777777" w:rsidR="0055458D" w:rsidRPr="00BD2FE2" w:rsidRDefault="0055458D" w:rsidP="0055458D"/>
    <w:p w14:paraId="110B3C3D" w14:textId="77777777" w:rsidR="0055458D" w:rsidRDefault="0055458D" w:rsidP="0055458D">
      <w:r w:rsidRPr="00F2204C">
        <w:rPr>
          <w:i/>
        </w:rPr>
        <w:t xml:space="preserve">Leafy vegetables, berries, or watermelons packed in the field that are contaminated may, in some cases, present an increased risk compared to those that are subsequently washed and sanitised under optimised </w:t>
      </w:r>
      <w:r w:rsidRPr="00F404EA">
        <w:rPr>
          <w:i/>
        </w:rPr>
        <w:t>conditions</w:t>
      </w:r>
      <w:r w:rsidRPr="00F404EA">
        <w:t xml:space="preserve"> (see Section 11.4 below on washing</w:t>
      </w:r>
      <w:r w:rsidRPr="00BD2FE2">
        <w:t xml:space="preserve"> and sanitising). There is a low level of uncertainty and a high level of confidence that the use of sanitisers and disinfectants in wash water can provide modest reductions of</w:t>
      </w:r>
      <w:r>
        <w:t xml:space="preserve"> pathogens on the surface of in-</w:t>
      </w:r>
      <w:r w:rsidRPr="00BD2FE2">
        <w:t xml:space="preserve">scope commodities but only if wash systems are well monitored and optimised. Due to the intrinsic nature of berries being soft and susceptible to fungal and microbial deterioration, especially if excess water is present, they are not generally washed or sanitised after harvest. Similarly, watermelons and some leafy vegetables (parsley and lettuce) packed in field do not undergo further </w:t>
      </w:r>
      <w:r>
        <w:t>postharvest</w:t>
      </w:r>
      <w:r w:rsidRPr="00BD2FE2">
        <w:t xml:space="preserve"> processing. However, the actual level or difference in risk to consumers would be dependent on a variety of factors including the level of pathogen contaminating the products</w:t>
      </w:r>
      <w:r>
        <w:t xml:space="preserve">, potential for die-off or growth on the product, the efficacy of specific interventions, the maintenance of the cold chain, and consumer handling. For example, watermelons and rockmelons are not eaten whole as opposed to berries and, therefore, an infectious dose of the pathogen would need to be transferred to, or, already be present in the flesh, to cause illness. The ability of pathogens to be transferred from the rind to the flesh during the cutting of melons is, however, well documented in the literature. </w:t>
      </w:r>
    </w:p>
    <w:p w14:paraId="7712AF8C" w14:textId="77777777" w:rsidR="0055458D" w:rsidRDefault="0055458D" w:rsidP="0055458D"/>
    <w:p w14:paraId="22E58153" w14:textId="367499AC" w:rsidR="0055458D" w:rsidRPr="00BD2FE2" w:rsidRDefault="0055458D" w:rsidP="0055458D">
      <w:r w:rsidRPr="00F2204C">
        <w:rPr>
          <w:i/>
        </w:rPr>
        <w:t>For hand</w:t>
      </w:r>
      <w:r>
        <w:rPr>
          <w:i/>
        </w:rPr>
        <w:t>-</w:t>
      </w:r>
      <w:r w:rsidRPr="00F2204C">
        <w:rPr>
          <w:i/>
        </w:rPr>
        <w:t>picked rather than mechanically picked produce, the likelihood of transfer of pathogens from workers increases with increased handling.</w:t>
      </w:r>
      <w:r w:rsidRPr="0064726A">
        <w:rPr>
          <w:b/>
        </w:rPr>
        <w:t xml:space="preserve"> </w:t>
      </w:r>
      <w:r>
        <w:t xml:space="preserve">The likelihood of contamination is </w:t>
      </w:r>
      <w:r w:rsidRPr="0003213C">
        <w:t>increased if handled excessively by workers who are infected by, or, carrying pathogens, whether they are symptomatic or asymptomatic.</w:t>
      </w:r>
      <w:r>
        <w:t xml:space="preserve"> Experimental evidence has demonstrated that pathogens can be transferred from gloves to berries and rockmelons. However, there is limited data to quantify the potential for transfer of bacterial pathogens from workers to leafy vegetables. Outbreaks associated with contamination of berries by NoV and HAV have been potentially linked to pickers in the field. However, evidence of infected individuals causing outbreaks is limited for all commodities. International studies have also isolated NoV and </w:t>
      </w:r>
      <w:r w:rsidRPr="00BD2FE2">
        <w:t xml:space="preserve">HAV from hand swabs and harvester’s gloves on strawberry farms, though similar surveillance on Australia farms was not identified for any commodity. No literature was identified that investigated pathogen contamination on gloves used during the hand harvesting of parsley, raspberry, blueberry or watermelon. </w:t>
      </w:r>
      <w:r>
        <w:t xml:space="preserve">In Australia, food safety management advice recommends that workers who are ill and can potentially contaminate produce should notify management, and not harvest or pack produce until fully recovered </w:t>
      </w:r>
      <w:r w:rsidR="00657FDB">
        <w:t>(FPSC A-NZ 2019; Freshcare 2020)</w:t>
      </w:r>
      <w:r>
        <w:t>. However, this</w:t>
      </w:r>
      <w:r w:rsidRPr="00BD2FE2">
        <w:t xml:space="preserve"> is </w:t>
      </w:r>
      <w:r>
        <w:t xml:space="preserve">subject to workers notifying management of their illness. </w:t>
      </w:r>
      <w:r w:rsidRPr="00BD2FE2">
        <w:t>As such, there is high uncertainty as to the extent that workers influence the likeli</w:t>
      </w:r>
      <w:r>
        <w:t>hood of contamination of the in-</w:t>
      </w:r>
      <w:r w:rsidRPr="00BD2FE2">
        <w:t>scope commodities, particularly</w:t>
      </w:r>
      <w:r>
        <w:t xml:space="preserve"> for NoV</w:t>
      </w:r>
      <w:r w:rsidRPr="00BD2FE2">
        <w:t xml:space="preserve"> in the Australian context.</w:t>
      </w:r>
      <w:r>
        <w:t xml:space="preserve"> HAV incidence in Australia is comparatively very low and mainly associated with overseas acquired cases compared to NoV </w:t>
      </w:r>
      <w:r w:rsidR="00657FDB">
        <w:t>(OzFoodNet 2018)</w:t>
      </w:r>
      <w:r>
        <w:t xml:space="preserve">. </w:t>
      </w:r>
    </w:p>
    <w:p w14:paraId="599F238B" w14:textId="77777777" w:rsidR="0055458D" w:rsidRDefault="0055458D" w:rsidP="0055458D">
      <w:pPr>
        <w:rPr>
          <w:lang w:bidi="ar-SA"/>
        </w:rPr>
      </w:pPr>
    </w:p>
    <w:p w14:paraId="492375E5" w14:textId="77777777" w:rsidR="0055458D" w:rsidRDefault="0055458D" w:rsidP="0055458D">
      <w:pPr>
        <w:rPr>
          <w:lang w:eastAsia="en-AU" w:bidi="ar-SA"/>
        </w:rPr>
      </w:pPr>
      <w:r>
        <w:rPr>
          <w:lang w:eastAsia="en-AU" w:bidi="ar-SA"/>
        </w:rPr>
        <w:t xml:space="preserve">The prevalence or concentration of foodborne pathogens on leafy vegetables, berries or melons at harvest in Australian are poorly documented. International studies indicate a low prevalence of </w:t>
      </w:r>
      <w:r>
        <w:rPr>
          <w:i/>
          <w:lang w:eastAsia="en-AU" w:bidi="ar-SA"/>
        </w:rPr>
        <w:t>Salmonella</w:t>
      </w:r>
      <w:r>
        <w:rPr>
          <w:lang w:eastAsia="en-AU" w:bidi="ar-SA"/>
        </w:rPr>
        <w:t xml:space="preserve"> spp. on lettuce (0-1.85%) and spinach (1.1%). Also, </w:t>
      </w:r>
      <w:r>
        <w:rPr>
          <w:i/>
          <w:lang w:eastAsia="en-AU" w:bidi="ar-SA"/>
        </w:rPr>
        <w:t xml:space="preserve">L. monocytogenes </w:t>
      </w:r>
      <w:r>
        <w:rPr>
          <w:lang w:eastAsia="en-AU" w:bidi="ar-SA"/>
        </w:rPr>
        <w:t xml:space="preserve">was not detected on lettuce and </w:t>
      </w:r>
      <w:r>
        <w:rPr>
          <w:i/>
          <w:lang w:eastAsia="en-AU" w:bidi="ar-SA"/>
        </w:rPr>
        <w:t xml:space="preserve">E. coli </w:t>
      </w:r>
      <w:r>
        <w:rPr>
          <w:lang w:eastAsia="en-AU" w:bidi="ar-SA"/>
        </w:rPr>
        <w:t xml:space="preserve">O157 was not detected on lettuce, spinach or parsley in the limited number of available studies. There is considerable variance in the prevalence of </w:t>
      </w:r>
      <w:r w:rsidRPr="00DE4133">
        <w:rPr>
          <w:i/>
          <w:lang w:eastAsia="en-AU" w:bidi="ar-SA"/>
        </w:rPr>
        <w:t>Salmonella</w:t>
      </w:r>
      <w:r>
        <w:rPr>
          <w:lang w:eastAsia="en-AU" w:bidi="ar-SA"/>
        </w:rPr>
        <w:t xml:space="preserve"> spp. reported in the field for rockmelons (1-55%), and, comparatively, a limited number of studies have not isolated </w:t>
      </w:r>
      <w:r w:rsidRPr="00DE4133">
        <w:rPr>
          <w:i/>
          <w:lang w:eastAsia="en-AU" w:bidi="ar-SA"/>
        </w:rPr>
        <w:t>L. monocytogenes</w:t>
      </w:r>
      <w:r>
        <w:rPr>
          <w:lang w:eastAsia="en-AU" w:bidi="ar-SA"/>
        </w:rPr>
        <w:t>. No prevalence data were identified for watermelons. A low prevalence of viruses (0-1.3%) has been reported for strawberries in the international literature and the prevalence associated with blueberries and raspberries is poorly documented. Furthermore</w:t>
      </w:r>
      <w:r w:rsidRPr="007A3631">
        <w:rPr>
          <w:lang w:eastAsia="en-AU" w:bidi="ar-SA"/>
        </w:rPr>
        <w:t xml:space="preserve">, it can be difficult to directly compare the results of prevalence data as there are a variety of methods and </w:t>
      </w:r>
      <w:r>
        <w:rPr>
          <w:lang w:eastAsia="en-AU" w:bidi="ar-SA"/>
        </w:rPr>
        <w:t xml:space="preserve">levels of </w:t>
      </w:r>
      <w:r w:rsidRPr="00F404EA">
        <w:rPr>
          <w:lang w:eastAsia="en-AU" w:bidi="ar-SA"/>
        </w:rPr>
        <w:t>detection applied in the literature for the in-scope commodities and pathogens (see Section 4.4 for more discussion).</w:t>
      </w:r>
    </w:p>
    <w:p w14:paraId="706EA955" w14:textId="77777777" w:rsidR="0055458D" w:rsidRPr="00F404EA" w:rsidRDefault="0055458D" w:rsidP="0055458D">
      <w:pPr>
        <w:rPr>
          <w:lang w:bidi="ar-SA"/>
        </w:rPr>
      </w:pPr>
    </w:p>
    <w:p w14:paraId="6063053B" w14:textId="77777777" w:rsidR="0055458D" w:rsidRDefault="0055458D" w:rsidP="0055458D">
      <w:pPr>
        <w:pStyle w:val="Heading2"/>
        <w:numPr>
          <w:ilvl w:val="1"/>
          <w:numId w:val="11"/>
        </w:numPr>
      </w:pPr>
      <w:bookmarkStart w:id="364" w:name="_Toc56693462"/>
      <w:bookmarkStart w:id="365" w:name="_Toc58327815"/>
      <w:bookmarkStart w:id="366" w:name="_Toc58333995"/>
      <w:bookmarkStart w:id="367" w:name="_Toc64448802"/>
      <w:bookmarkStart w:id="368" w:name="_Toc87860063"/>
      <w:r w:rsidRPr="00F404EA">
        <w:t>Mitigation</w:t>
      </w:r>
      <w:r>
        <w:t xml:space="preserve"> measures</w:t>
      </w:r>
      <w:bookmarkStart w:id="369" w:name="_Toc45275376"/>
      <w:bookmarkEnd w:id="364"/>
      <w:bookmarkEnd w:id="365"/>
      <w:bookmarkEnd w:id="366"/>
      <w:bookmarkEnd w:id="367"/>
      <w:bookmarkEnd w:id="368"/>
    </w:p>
    <w:p w14:paraId="51CCA33E" w14:textId="4A07E7CA" w:rsidR="0055458D" w:rsidRDefault="0055458D" w:rsidP="0055458D">
      <w:r>
        <w:t>F</w:t>
      </w:r>
      <w:r w:rsidRPr="00EE1808">
        <w:t xml:space="preserve">arm </w:t>
      </w:r>
      <w:r>
        <w:t xml:space="preserve">management and </w:t>
      </w:r>
      <w:r w:rsidRPr="00EE1808">
        <w:t>hygiene practices—</w:t>
      </w:r>
      <w:r>
        <w:t>e.g.</w:t>
      </w:r>
      <w:r w:rsidRPr="007160BE">
        <w:t xml:space="preserve"> </w:t>
      </w:r>
      <w:r w:rsidRPr="00EE1808">
        <w:t>absence of grazing and hay production in the field before spinach planting</w:t>
      </w:r>
      <w:r>
        <w:t>;</w:t>
      </w:r>
      <w:r w:rsidRPr="00EE1808">
        <w:t xml:space="preserve"> use of portable toilets an</w:t>
      </w:r>
      <w:r>
        <w:t>d washing stations in the field;</w:t>
      </w:r>
      <w:r w:rsidRPr="00EE1808">
        <w:t xml:space="preserve"> training staff/temporary </w:t>
      </w:r>
      <w:r>
        <w:t>workers to use portable toilets</w:t>
      </w:r>
      <w:r w:rsidRPr="00EE1808">
        <w:t>—</w:t>
      </w:r>
      <w:r>
        <w:t xml:space="preserve">have been identified </w:t>
      </w:r>
      <w:r w:rsidRPr="00EE1808">
        <w:t xml:space="preserve">as protective </w:t>
      </w:r>
      <w:r>
        <w:t xml:space="preserve">factors </w:t>
      </w:r>
      <w:r w:rsidRPr="00EE1808">
        <w:t xml:space="preserve">against contamination with generic </w:t>
      </w:r>
      <w:r>
        <w:rPr>
          <w:i/>
        </w:rPr>
        <w:t>E.</w:t>
      </w:r>
      <w:r w:rsidRPr="00E02E25">
        <w:rPr>
          <w:i/>
        </w:rPr>
        <w:t xml:space="preserve"> coli</w:t>
      </w:r>
      <w:r>
        <w:t xml:space="preserve"> (</w:t>
      </w:r>
      <w:r w:rsidRPr="00EE1808">
        <w:t>a proxy measure for pathogen contamination</w:t>
      </w:r>
      <w:r>
        <w:t xml:space="preserve">) </w:t>
      </w:r>
      <w:r w:rsidR="00657FDB">
        <w:t>(Park et al. 2014)</w:t>
      </w:r>
      <w:r>
        <w:t>.</w:t>
      </w:r>
    </w:p>
    <w:p w14:paraId="329F5033" w14:textId="77777777" w:rsidR="0055458D" w:rsidRDefault="0055458D" w:rsidP="0055458D">
      <w:pPr>
        <w:rPr>
          <w:i/>
        </w:rPr>
      </w:pPr>
    </w:p>
    <w:p w14:paraId="24D483BB" w14:textId="78C4AEA4" w:rsidR="0055458D" w:rsidRPr="00F70626" w:rsidRDefault="0055458D" w:rsidP="0055458D">
      <w:pPr>
        <w:rPr>
          <w:rFonts w:cs="Arial"/>
          <w:lang w:eastAsia="en-AU"/>
        </w:rPr>
      </w:pPr>
      <w:r>
        <w:rPr>
          <w:rFonts w:cs="Arial"/>
          <w:lang w:eastAsia="en-AU"/>
        </w:rPr>
        <w:t>Although h</w:t>
      </w:r>
      <w:r w:rsidRPr="00F70626">
        <w:rPr>
          <w:rFonts w:cs="Arial"/>
          <w:lang w:eastAsia="en-AU"/>
        </w:rPr>
        <w:t>and-sanitisers are useful against bacteria</w:t>
      </w:r>
      <w:r>
        <w:rPr>
          <w:rFonts w:cs="Arial"/>
          <w:lang w:eastAsia="en-AU"/>
        </w:rPr>
        <w:t xml:space="preserve">, </w:t>
      </w:r>
      <w:r w:rsidRPr="00F70626">
        <w:rPr>
          <w:rFonts w:cs="Arial"/>
          <w:lang w:eastAsia="en-AU"/>
        </w:rPr>
        <w:t xml:space="preserve">they are relatively ineffective against human viruses, such as </w:t>
      </w:r>
      <w:r>
        <w:rPr>
          <w:rFonts w:cs="Arial"/>
          <w:lang w:eastAsia="en-AU"/>
        </w:rPr>
        <w:t>NoV. Handwashing and/or</w:t>
      </w:r>
      <w:r w:rsidRPr="00F70626">
        <w:rPr>
          <w:rFonts w:cs="Arial"/>
          <w:lang w:eastAsia="en-AU"/>
        </w:rPr>
        <w:t xml:space="preserve"> the use of clean gloves is </w:t>
      </w:r>
      <w:r>
        <w:rPr>
          <w:rFonts w:cs="Arial"/>
          <w:lang w:eastAsia="en-AU"/>
        </w:rPr>
        <w:t xml:space="preserve">recommended </w:t>
      </w:r>
      <w:r w:rsidR="00657FDB">
        <w:rPr>
          <w:rFonts w:cs="Arial"/>
          <w:lang w:eastAsia="en-AU"/>
        </w:rPr>
        <w:t>(DEDJTR and FSANZ 2016)</w:t>
      </w:r>
      <w:r>
        <w:rPr>
          <w:rFonts w:cs="Arial"/>
          <w:lang w:eastAsia="en-AU"/>
        </w:rPr>
        <w:t>.</w:t>
      </w:r>
    </w:p>
    <w:p w14:paraId="07CE5030" w14:textId="77777777" w:rsidR="0055458D" w:rsidRDefault="0055458D" w:rsidP="0055458D"/>
    <w:p w14:paraId="10E6FE35" w14:textId="7DA458E6" w:rsidR="0055458D" w:rsidRDefault="0055458D" w:rsidP="004E0C49">
      <w:pPr>
        <w:spacing w:after="120"/>
      </w:pPr>
      <w:r>
        <w:t xml:space="preserve">The mitigation recommendations provided by other agencies, organisations and peak industry bodies for limiting the risk from animal and human ingress are similar across the in-scope commodity sectors </w:t>
      </w:r>
      <w:r w:rsidR="00657FDB">
        <w:t>(EFSA Panel on Biological Hazards 2014a, 2014b, 2014c; FAO/WHO 2008b; FPSC A-NZ 2019; IFPA et al. 2006; NSW DPI 2019)</w:t>
      </w:r>
      <w:r>
        <w:t xml:space="preserve"> and include:</w:t>
      </w:r>
    </w:p>
    <w:p w14:paraId="08B2F6A6" w14:textId="77777777" w:rsidR="0055458D" w:rsidRDefault="0055458D" w:rsidP="0055458D">
      <w:pPr>
        <w:pStyle w:val="ListParagraph"/>
        <w:numPr>
          <w:ilvl w:val="0"/>
          <w:numId w:val="25"/>
        </w:numPr>
        <w:rPr>
          <w:lang w:eastAsia="en-AU"/>
        </w:rPr>
      </w:pPr>
      <w:r>
        <w:rPr>
          <w:lang w:eastAsia="en-AU"/>
        </w:rPr>
        <w:t>Undertake environmental risk assessments within one week prior to harvest to assess factors that may affect contamination of the produce</w:t>
      </w:r>
    </w:p>
    <w:p w14:paraId="54ACE50B" w14:textId="77777777" w:rsidR="0055458D" w:rsidRDefault="0055458D" w:rsidP="0055458D">
      <w:pPr>
        <w:pStyle w:val="ListParagraph"/>
        <w:numPr>
          <w:ilvl w:val="0"/>
          <w:numId w:val="25"/>
        </w:numPr>
        <w:rPr>
          <w:lang w:eastAsia="en-AU"/>
        </w:rPr>
      </w:pPr>
      <w:r>
        <w:rPr>
          <w:lang w:eastAsia="en-AU"/>
        </w:rPr>
        <w:t>Ensure robust traceability by labelling bins, boxes or other containers used in the field</w:t>
      </w:r>
    </w:p>
    <w:p w14:paraId="07DBAD51" w14:textId="77777777" w:rsidR="0055458D" w:rsidRDefault="0055458D" w:rsidP="0055458D">
      <w:pPr>
        <w:pStyle w:val="ListParagraph"/>
        <w:numPr>
          <w:ilvl w:val="0"/>
          <w:numId w:val="25"/>
        </w:numPr>
        <w:rPr>
          <w:lang w:eastAsia="en-AU"/>
        </w:rPr>
      </w:pPr>
      <w:r>
        <w:t>Ensure no contact of picking bins and harvesting aids with soil</w:t>
      </w:r>
    </w:p>
    <w:p w14:paraId="1194B97F" w14:textId="77777777" w:rsidR="0055458D" w:rsidRDefault="0055458D" w:rsidP="0055458D">
      <w:pPr>
        <w:pStyle w:val="ListParagraph"/>
        <w:numPr>
          <w:ilvl w:val="0"/>
          <w:numId w:val="25"/>
        </w:numPr>
        <w:rPr>
          <w:lang w:eastAsia="en-AU"/>
        </w:rPr>
      </w:pPr>
      <w:r>
        <w:rPr>
          <w:lang w:eastAsia="en-AU"/>
        </w:rPr>
        <w:t>Where machine harvest is undertaken, ensure the use of well-designed equipment and establish scheduling and recording of maintenance and cleaning, including verification of the processes</w:t>
      </w:r>
    </w:p>
    <w:p w14:paraId="119CF20A" w14:textId="77777777" w:rsidR="0055458D" w:rsidRDefault="0055458D" w:rsidP="0055458D">
      <w:pPr>
        <w:pStyle w:val="ListParagraph"/>
        <w:numPr>
          <w:ilvl w:val="0"/>
          <w:numId w:val="25"/>
        </w:numPr>
        <w:rPr>
          <w:lang w:eastAsia="en-AU"/>
        </w:rPr>
      </w:pPr>
      <w:r>
        <w:rPr>
          <w:lang w:eastAsia="en-AU"/>
        </w:rPr>
        <w:t>Where hand harvesting is undertaken, ensure harvest employees are well trained in harvest methods that minimise microbial risk, such as culling damaged/diseased produce; applying personal and equipment hygiene practices; recognising and reporting risk factors; and verify compliance with food safety policies</w:t>
      </w:r>
    </w:p>
    <w:p w14:paraId="4CFE2640" w14:textId="77777777" w:rsidR="0055458D" w:rsidRDefault="0055458D" w:rsidP="0055458D">
      <w:pPr>
        <w:pStyle w:val="ListParagraph"/>
        <w:numPr>
          <w:ilvl w:val="0"/>
          <w:numId w:val="25"/>
        </w:numPr>
        <w:rPr>
          <w:lang w:eastAsia="en-AU"/>
        </w:rPr>
      </w:pPr>
      <w:r>
        <w:rPr>
          <w:lang w:eastAsia="en-AU"/>
        </w:rPr>
        <w:t>Ensuring sick staff do not work</w:t>
      </w:r>
    </w:p>
    <w:p w14:paraId="4D0E3D11" w14:textId="77777777" w:rsidR="0055458D" w:rsidRDefault="0055458D" w:rsidP="0055458D">
      <w:pPr>
        <w:pStyle w:val="ListParagraph"/>
        <w:numPr>
          <w:ilvl w:val="0"/>
          <w:numId w:val="25"/>
        </w:numPr>
        <w:rPr>
          <w:lang w:eastAsia="en-AU"/>
        </w:rPr>
      </w:pPr>
      <w:r>
        <w:rPr>
          <w:lang w:eastAsia="en-AU"/>
        </w:rPr>
        <w:t>If water is used, ensure it does not become a source of contamination</w:t>
      </w:r>
    </w:p>
    <w:p w14:paraId="36498A85" w14:textId="77777777" w:rsidR="0055458D" w:rsidRDefault="0055458D" w:rsidP="0055458D">
      <w:pPr>
        <w:pStyle w:val="ListParagraph"/>
        <w:numPr>
          <w:ilvl w:val="0"/>
          <w:numId w:val="25"/>
        </w:numPr>
      </w:pPr>
      <w:r>
        <w:t>Transport produce immediately to packhouses for cooling</w:t>
      </w:r>
    </w:p>
    <w:p w14:paraId="3E53E5E3" w14:textId="77777777" w:rsidR="0055458D" w:rsidRDefault="0055458D" w:rsidP="0055458D">
      <w:pPr>
        <w:pStyle w:val="ListParagraph"/>
        <w:numPr>
          <w:ilvl w:val="0"/>
          <w:numId w:val="25"/>
        </w:numPr>
      </w:pPr>
      <w:r>
        <w:t>Provide appropriate sanitary facilities for workers in the field</w:t>
      </w:r>
    </w:p>
    <w:p w14:paraId="33A6F993" w14:textId="77777777" w:rsidR="0055458D" w:rsidRDefault="0055458D" w:rsidP="0055458D">
      <w:pPr>
        <w:pStyle w:val="ListParagraph"/>
        <w:numPr>
          <w:ilvl w:val="0"/>
          <w:numId w:val="25"/>
        </w:numPr>
      </w:pPr>
      <w:r>
        <w:t>Regularly clean and sanitise harvest equipment</w:t>
      </w:r>
    </w:p>
    <w:p w14:paraId="27C15A84" w14:textId="77777777" w:rsidR="0055458D" w:rsidRDefault="0055458D" w:rsidP="0055458D">
      <w:pPr>
        <w:pStyle w:val="ListParagraph"/>
        <w:numPr>
          <w:ilvl w:val="0"/>
          <w:numId w:val="25"/>
        </w:numPr>
      </w:pPr>
      <w:r>
        <w:t>Do not use harvest equipment to transfer waste.</w:t>
      </w:r>
    </w:p>
    <w:p w14:paraId="3FBA32D3" w14:textId="77777777" w:rsidR="0055458D" w:rsidRDefault="0055458D" w:rsidP="0055458D">
      <w:pPr>
        <w:widowControl/>
      </w:pPr>
    </w:p>
    <w:p w14:paraId="653C9D52" w14:textId="4EAC8D29" w:rsidR="0055458D" w:rsidRDefault="0055458D" w:rsidP="0055458D">
      <w:r>
        <w:rPr>
          <w:color w:val="000000" w:themeColor="text1"/>
        </w:rPr>
        <w:t xml:space="preserve">Codex recommendations specific for leafy vegetables state that any water used during harvesting should be clean or preferably potable </w:t>
      </w:r>
      <w:r w:rsidRPr="00AE7C91">
        <w:rPr>
          <w:color w:val="000000" w:themeColor="text1"/>
        </w:rPr>
        <w:t>where there is direct contact between the water and edible portions of the leafy vegetables</w:t>
      </w:r>
      <w:r>
        <w:rPr>
          <w:color w:val="000000" w:themeColor="text1"/>
        </w:rPr>
        <w:t xml:space="preserve"> </w:t>
      </w:r>
      <w:r w:rsidR="00657FDB">
        <w:rPr>
          <w:lang w:bidi="ar-SA"/>
        </w:rPr>
        <w:t>(Codex 2017)</w:t>
      </w:r>
      <w:r>
        <w:rPr>
          <w:color w:val="000000" w:themeColor="text1"/>
        </w:rPr>
        <w:t>.</w:t>
      </w:r>
    </w:p>
    <w:p w14:paraId="616C365E" w14:textId="77777777" w:rsidR="0055458D" w:rsidRDefault="0055458D" w:rsidP="0055458D">
      <w:pPr>
        <w:widowControl/>
      </w:pPr>
      <w:r>
        <w:t xml:space="preserve"> </w:t>
      </w:r>
    </w:p>
    <w:p w14:paraId="0F6E9D5A" w14:textId="0E0D640D" w:rsidR="0055458D" w:rsidRDefault="0055458D" w:rsidP="0055458D">
      <w:pPr>
        <w:rPr>
          <w:lang w:bidi="ar-SA"/>
        </w:rPr>
      </w:pPr>
      <w:r>
        <w:rPr>
          <w:color w:val="000000" w:themeColor="text1"/>
        </w:rPr>
        <w:t xml:space="preserve">Codex state </w:t>
      </w:r>
      <w:r w:rsidRPr="0090112E">
        <w:rPr>
          <w:color w:val="000000" w:themeColor="text1"/>
        </w:rPr>
        <w:t>safe handling, transport and st</w:t>
      </w:r>
      <w:r>
        <w:rPr>
          <w:color w:val="000000" w:themeColor="text1"/>
        </w:rPr>
        <w:t xml:space="preserve">orage practices and immediate </w:t>
      </w:r>
      <w:r w:rsidRPr="0090112E">
        <w:rPr>
          <w:color w:val="000000" w:themeColor="text1"/>
        </w:rPr>
        <w:t>cool</w:t>
      </w:r>
      <w:r>
        <w:rPr>
          <w:color w:val="000000" w:themeColor="text1"/>
        </w:rPr>
        <w:t>ing of</w:t>
      </w:r>
      <w:r w:rsidRPr="0090112E">
        <w:rPr>
          <w:color w:val="000000" w:themeColor="text1"/>
        </w:rPr>
        <w:t xml:space="preserve"> berries </w:t>
      </w:r>
      <w:r>
        <w:rPr>
          <w:color w:val="000000" w:themeColor="text1"/>
        </w:rPr>
        <w:t xml:space="preserve">occurs </w:t>
      </w:r>
      <w:r w:rsidRPr="0090112E">
        <w:rPr>
          <w:color w:val="000000" w:themeColor="text1"/>
        </w:rPr>
        <w:t xml:space="preserve">after harvesting. </w:t>
      </w:r>
      <w:r>
        <w:rPr>
          <w:color w:val="000000" w:themeColor="text1"/>
        </w:rPr>
        <w:t>If pre-cooling is undertaken</w:t>
      </w:r>
      <w:r w:rsidRPr="0090112E">
        <w:rPr>
          <w:color w:val="000000" w:themeColor="text1"/>
        </w:rPr>
        <w:t xml:space="preserve"> growers should use potable </w:t>
      </w:r>
      <w:r>
        <w:rPr>
          <w:color w:val="000000" w:themeColor="text1"/>
        </w:rPr>
        <w:t>water for ice and hydro-coolers. For manual harvest considerations, o</w:t>
      </w:r>
      <w:r w:rsidRPr="0090112E">
        <w:rPr>
          <w:color w:val="000000" w:themeColor="text1"/>
        </w:rPr>
        <w:t>ver</w:t>
      </w:r>
      <w:r>
        <w:rPr>
          <w:color w:val="000000" w:themeColor="text1"/>
        </w:rPr>
        <w:t xml:space="preserve"> </w:t>
      </w:r>
      <w:r w:rsidRPr="0090112E">
        <w:rPr>
          <w:color w:val="000000" w:themeColor="text1"/>
        </w:rPr>
        <w:t xml:space="preserve">handling berries </w:t>
      </w:r>
      <w:r>
        <w:rPr>
          <w:color w:val="000000" w:themeColor="text1"/>
        </w:rPr>
        <w:t xml:space="preserve">can cause damage </w:t>
      </w:r>
      <w:r w:rsidRPr="0090112E">
        <w:rPr>
          <w:color w:val="000000" w:themeColor="text1"/>
        </w:rPr>
        <w:t xml:space="preserve">and excessive temperatures during harvesting </w:t>
      </w:r>
      <w:r>
        <w:rPr>
          <w:color w:val="000000" w:themeColor="text1"/>
        </w:rPr>
        <w:t>can</w:t>
      </w:r>
      <w:r w:rsidRPr="0090112E">
        <w:rPr>
          <w:color w:val="000000" w:themeColor="text1"/>
        </w:rPr>
        <w:t xml:space="preserve"> decrease quality </w:t>
      </w:r>
      <w:r>
        <w:rPr>
          <w:color w:val="000000" w:themeColor="text1"/>
        </w:rPr>
        <w:t>that can</w:t>
      </w:r>
      <w:r w:rsidRPr="0090112E">
        <w:rPr>
          <w:color w:val="000000" w:themeColor="text1"/>
        </w:rPr>
        <w:t xml:space="preserve"> affect food safety due to fruit damage and juice leakage</w:t>
      </w:r>
      <w:r>
        <w:rPr>
          <w:color w:val="000000" w:themeColor="text1"/>
        </w:rPr>
        <w:t xml:space="preserve">. A harvest supervisor should be appointed </w:t>
      </w:r>
      <w:r w:rsidRPr="0090112E">
        <w:rPr>
          <w:color w:val="000000" w:themeColor="text1"/>
        </w:rPr>
        <w:t xml:space="preserve">at all times to ensure that harvesters use proper hand-washing and follow procedures not to harvest wet, bruised and/or damaged fruits. </w:t>
      </w:r>
      <w:r>
        <w:rPr>
          <w:color w:val="000000" w:themeColor="text1"/>
        </w:rPr>
        <w:t>B</w:t>
      </w:r>
      <w:r w:rsidRPr="0090112E">
        <w:rPr>
          <w:color w:val="000000" w:themeColor="text1"/>
        </w:rPr>
        <w:t xml:space="preserve">erries on the ground should </w:t>
      </w:r>
      <w:r>
        <w:rPr>
          <w:color w:val="000000" w:themeColor="text1"/>
        </w:rPr>
        <w:t xml:space="preserve">not be harvested </w:t>
      </w:r>
      <w:r w:rsidRPr="0090112E">
        <w:rPr>
          <w:color w:val="000000" w:themeColor="text1"/>
        </w:rPr>
        <w:t>u</w:t>
      </w:r>
      <w:r w:rsidR="00531D32">
        <w:rPr>
          <w:color w:val="000000" w:themeColor="text1"/>
        </w:rPr>
        <w:t>nless they are processed with a</w:t>
      </w:r>
      <w:r>
        <w:rPr>
          <w:color w:val="000000" w:themeColor="text1"/>
        </w:rPr>
        <w:t xml:space="preserve"> microbiological inactivation</w:t>
      </w:r>
      <w:r w:rsidRPr="0090112E">
        <w:rPr>
          <w:color w:val="000000" w:themeColor="text1"/>
        </w:rPr>
        <w:t xml:space="preserve"> step. </w:t>
      </w:r>
      <w:r>
        <w:rPr>
          <w:color w:val="000000" w:themeColor="text1"/>
        </w:rPr>
        <w:t>All workers should be trained i</w:t>
      </w:r>
      <w:r w:rsidRPr="0090112E">
        <w:rPr>
          <w:color w:val="000000" w:themeColor="text1"/>
        </w:rPr>
        <w:t>n safe handling, transport and storage practices to ensure that berries are immediately cooled after harvesting.</w:t>
      </w:r>
      <w:r w:rsidRPr="00947525">
        <w:rPr>
          <w:lang w:bidi="ar-SA"/>
        </w:rPr>
        <w:t xml:space="preserve"> Preference should be given to field packing berries into consumer-ready containers that will not be washed after harvest (e.g. strawberries) so as to minimize the possibility of microbial contamination through additional handling steps</w:t>
      </w:r>
      <w:r>
        <w:rPr>
          <w:lang w:bidi="ar-SA"/>
        </w:rPr>
        <w:t xml:space="preserve"> </w:t>
      </w:r>
      <w:r w:rsidR="00657FDB">
        <w:rPr>
          <w:lang w:bidi="ar-SA"/>
        </w:rPr>
        <w:t>(Codex 2017)</w:t>
      </w:r>
      <w:r>
        <w:rPr>
          <w:lang w:bidi="ar-SA"/>
        </w:rPr>
        <w:t>.</w:t>
      </w:r>
    </w:p>
    <w:p w14:paraId="21973A13" w14:textId="77777777" w:rsidR="0055458D" w:rsidRDefault="0055458D" w:rsidP="0055458D">
      <w:pPr>
        <w:rPr>
          <w:lang w:bidi="ar-SA"/>
        </w:rPr>
      </w:pPr>
    </w:p>
    <w:p w14:paraId="419B9D1B" w14:textId="714C4813" w:rsidR="0055458D" w:rsidRPr="00B76E4F" w:rsidRDefault="0055458D" w:rsidP="0055458D">
      <w:r>
        <w:t xml:space="preserve">It is noted that some countries require testing of pickers for HAV in the berry industry. However, Australia generally has a relatively low incidence of HAV, with a notification rate in 2019 of 1.0 cases per 100,000 population (246 cases) </w:t>
      </w:r>
      <w:r w:rsidR="00657FDB">
        <w:t>(NNDSS 2020)</w:t>
      </w:r>
      <w:r>
        <w:t xml:space="preserve">. In Australia pickers are not routinely tested for HAV. As noted above, in Australia workers who are ill and can potentially contaminate produce should notify management, and not handle produce until fully recovered, as per food safety management advice </w:t>
      </w:r>
      <w:r w:rsidR="00657FDB">
        <w:t>(FPSC A-NZ 2019; Freshcare 2020)</w:t>
      </w:r>
      <w:r>
        <w:t>.</w:t>
      </w:r>
    </w:p>
    <w:p w14:paraId="09E6E31D" w14:textId="77777777" w:rsidR="0055458D" w:rsidRPr="00AE0C58" w:rsidRDefault="0055458D" w:rsidP="0055458D">
      <w:pPr>
        <w:rPr>
          <w:color w:val="000000" w:themeColor="text1"/>
        </w:rPr>
      </w:pPr>
    </w:p>
    <w:p w14:paraId="79A37BE4" w14:textId="77777777" w:rsidR="0055458D" w:rsidRDefault="0055458D" w:rsidP="0055458D">
      <w:pPr>
        <w:widowControl/>
      </w:pPr>
      <w:r>
        <w:br w:type="page"/>
      </w:r>
    </w:p>
    <w:p w14:paraId="0FD4C80D" w14:textId="77777777" w:rsidR="0055458D" w:rsidRPr="00FE3604" w:rsidRDefault="0055458D" w:rsidP="0055458D">
      <w:pPr>
        <w:pStyle w:val="Heading1"/>
        <w:numPr>
          <w:ilvl w:val="0"/>
          <w:numId w:val="11"/>
        </w:numPr>
        <w:ind w:right="454"/>
      </w:pPr>
      <w:bookmarkStart w:id="370" w:name="_Toc56693463"/>
      <w:bookmarkStart w:id="371" w:name="_Toc58327816"/>
      <w:bookmarkStart w:id="372" w:name="_Toc58333996"/>
      <w:bookmarkStart w:id="373" w:name="_Toc64448803"/>
      <w:bookmarkStart w:id="374" w:name="_Toc87860064"/>
      <w:r>
        <w:t>Packhouse and postharvest p</w:t>
      </w:r>
      <w:r w:rsidRPr="00FE3604">
        <w:t>rocessing</w:t>
      </w:r>
      <w:bookmarkEnd w:id="369"/>
      <w:r w:rsidRPr="00FE3604">
        <w:t xml:space="preserve"> </w:t>
      </w:r>
      <w:r>
        <w:t>risk factors</w:t>
      </w:r>
      <w:bookmarkEnd w:id="370"/>
      <w:bookmarkEnd w:id="371"/>
      <w:bookmarkEnd w:id="372"/>
      <w:bookmarkEnd w:id="373"/>
      <w:bookmarkEnd w:id="374"/>
    </w:p>
    <w:p w14:paraId="710B55B0" w14:textId="77777777" w:rsidR="0055458D" w:rsidRDefault="0055458D" w:rsidP="0055458D">
      <w:r w:rsidRPr="004A4B77">
        <w:t xml:space="preserve">This section covers the activities that occur </w:t>
      </w:r>
      <w:r>
        <w:t>postharvest</w:t>
      </w:r>
      <w:r w:rsidRPr="004A4B77">
        <w:t xml:space="preserve"> in packhouses, with washing and sanitising of produce considered in a separate </w:t>
      </w:r>
      <w:r w:rsidRPr="00F404EA">
        <w:t>section (</w:t>
      </w:r>
      <w:r w:rsidRPr="006C1E16">
        <w:t>see</w:t>
      </w:r>
      <w:r w:rsidRPr="00F404EA">
        <w:t xml:space="preserve"> Section 11.4).</w:t>
      </w:r>
    </w:p>
    <w:p w14:paraId="5AE33F44" w14:textId="77777777" w:rsidR="0055458D" w:rsidRPr="004A4B77" w:rsidRDefault="0055458D" w:rsidP="0055458D"/>
    <w:p w14:paraId="5AFEF722" w14:textId="77777777" w:rsidR="0055458D" w:rsidRPr="004A4B77" w:rsidRDefault="0055458D" w:rsidP="0055458D">
      <w:pPr>
        <w:pStyle w:val="Heading2"/>
        <w:numPr>
          <w:ilvl w:val="1"/>
          <w:numId w:val="11"/>
        </w:numPr>
      </w:pPr>
      <w:bookmarkStart w:id="375" w:name="_Toc45275377"/>
      <w:bookmarkStart w:id="376" w:name="_Toc56693464"/>
      <w:bookmarkStart w:id="377" w:name="_Toc58327817"/>
      <w:bookmarkStart w:id="378" w:name="_Toc58333997"/>
      <w:bookmarkStart w:id="379" w:name="_Toc64448804"/>
      <w:bookmarkStart w:id="380" w:name="_Toc87860065"/>
      <w:r w:rsidRPr="004A4B77">
        <w:t xml:space="preserve">Packhouses and </w:t>
      </w:r>
      <w:r>
        <w:t>postharvest</w:t>
      </w:r>
      <w:r w:rsidRPr="004A4B77">
        <w:t xml:space="preserve"> processing</w:t>
      </w:r>
      <w:bookmarkEnd w:id="375"/>
      <w:bookmarkEnd w:id="376"/>
      <w:bookmarkEnd w:id="377"/>
      <w:bookmarkEnd w:id="378"/>
      <w:bookmarkEnd w:id="379"/>
      <w:bookmarkEnd w:id="380"/>
    </w:p>
    <w:p w14:paraId="025BAE9E" w14:textId="5303B3AB" w:rsidR="0055458D" w:rsidRPr="004A4B77" w:rsidRDefault="0055458D" w:rsidP="0055458D">
      <w:r w:rsidRPr="004A4B77">
        <w:t xml:space="preserve">The </w:t>
      </w:r>
      <w:r>
        <w:t xml:space="preserve">postharvest </w:t>
      </w:r>
      <w:r w:rsidRPr="004A4B77">
        <w:t xml:space="preserve">processing methods of fresh produce are diverse and can increase microbial risks. Fresh produce that is contaminated in the field can enter the processing environment and contaminate food contact </w:t>
      </w:r>
      <w:r>
        <w:t>surfaces and subsequently cross-</w:t>
      </w:r>
      <w:r w:rsidRPr="004A4B77">
        <w:t>contaminate uncontaminated produce upon entry. The microbial quality of water or ice used throughout processing also presents a risk if contaminated with pathogens</w:t>
      </w:r>
      <w:r>
        <w:t xml:space="preserve"> or allowed to settle in processing areas</w:t>
      </w:r>
      <w:r w:rsidRPr="004A4B77">
        <w:t xml:space="preserve"> </w:t>
      </w:r>
      <w:r w:rsidR="00657FDB">
        <w:rPr>
          <w:lang w:eastAsia="en-AU" w:bidi="ar-SA"/>
        </w:rPr>
        <w:t>(FAO/WHO 2008b)</w:t>
      </w:r>
      <w:r w:rsidRPr="004A4B77">
        <w:t>. Furthermore, if produce is damaged during processing this can lead to a higher load of organic matter, soiling of contact surfaces, increased access to nutrients for contaminating pathogens, and may assist internalisation. As nearly all fresh produce undergoes some processing they may be exposed to workers, different contact surfaces, water, and processing aids in the processing environment. As such, Good</w:t>
      </w:r>
      <w:r>
        <w:t xml:space="preserve"> Manufacturing Practices (GMPs) and</w:t>
      </w:r>
      <w:r w:rsidRPr="004A4B77">
        <w:t xml:space="preserve"> Good Hygiene Practices (GHPs), must be implemented consistently to manage microbial risks in the processing environment </w:t>
      </w:r>
      <w:r w:rsidR="00657FDB">
        <w:rPr>
          <w:lang w:eastAsia="en-AU" w:bidi="ar-SA"/>
        </w:rPr>
        <w:t>(FAO/WHO 2008b)</w:t>
      </w:r>
      <w:r w:rsidRPr="004A4B77">
        <w:t>.</w:t>
      </w:r>
    </w:p>
    <w:p w14:paraId="1246A005" w14:textId="77777777" w:rsidR="0055458D" w:rsidRDefault="0055458D" w:rsidP="00787E56">
      <w:pPr>
        <w:pStyle w:val="Heading3"/>
        <w:numPr>
          <w:ilvl w:val="2"/>
          <w:numId w:val="11"/>
        </w:numPr>
      </w:pPr>
      <w:bookmarkStart w:id="381" w:name="_Toc45275379"/>
      <w:r>
        <w:t xml:space="preserve"> </w:t>
      </w:r>
      <w:bookmarkStart w:id="382" w:name="_Toc56693465"/>
      <w:bookmarkStart w:id="383" w:name="_Toc58327818"/>
      <w:bookmarkStart w:id="384" w:name="_Toc58333998"/>
      <w:bookmarkStart w:id="385" w:name="_Toc64448805"/>
      <w:bookmarkStart w:id="386" w:name="_Toc87860066"/>
      <w:r>
        <w:t>Available data</w:t>
      </w:r>
      <w:bookmarkEnd w:id="381"/>
      <w:bookmarkEnd w:id="382"/>
      <w:bookmarkEnd w:id="383"/>
      <w:bookmarkEnd w:id="384"/>
      <w:bookmarkEnd w:id="385"/>
      <w:bookmarkEnd w:id="386"/>
    </w:p>
    <w:p w14:paraId="3A759146" w14:textId="7BC519B2" w:rsidR="0055458D" w:rsidRDefault="0055458D" w:rsidP="0055458D">
      <w:r w:rsidRPr="004A4B77">
        <w:t xml:space="preserve">A lack of consistent compliance with and implementation of GMP, GHP, and food safety management systems will represent a risk factor for increased microbial </w:t>
      </w:r>
      <w:r>
        <w:t>contamination for all of the in-</w:t>
      </w:r>
      <w:r w:rsidRPr="004A4B77">
        <w:t xml:space="preserve">scope commodities </w:t>
      </w:r>
      <w:r w:rsidR="00657FDB">
        <w:t>(EFSA Panel on Biological Hazards 2014a, 2014b, 2014c)</w:t>
      </w:r>
      <w:r w:rsidRPr="004A4B77">
        <w:t xml:space="preserve">. </w:t>
      </w:r>
    </w:p>
    <w:p w14:paraId="4B52F06A" w14:textId="77777777" w:rsidR="0055458D" w:rsidRPr="004A4B77" w:rsidRDefault="0055458D" w:rsidP="0055458D"/>
    <w:p w14:paraId="47DDDF02" w14:textId="3970D686" w:rsidR="0055458D" w:rsidRPr="004A4B77" w:rsidRDefault="0055458D" w:rsidP="0055458D">
      <w:r w:rsidRPr="004A4B77">
        <w:t xml:space="preserve">Bacterial pathogens including </w:t>
      </w:r>
      <w:r w:rsidRPr="004A4B77">
        <w:rPr>
          <w:i/>
        </w:rPr>
        <w:t>L. monocytogenes</w:t>
      </w:r>
      <w:r w:rsidRPr="004A4B77">
        <w:t xml:space="preserve">, </w:t>
      </w:r>
      <w:r w:rsidRPr="004A4B77">
        <w:rPr>
          <w:i/>
        </w:rPr>
        <w:t>Salmonella</w:t>
      </w:r>
      <w:r>
        <w:rPr>
          <w:i/>
        </w:rPr>
        <w:t xml:space="preserve"> </w:t>
      </w:r>
      <w:r>
        <w:t>spp.</w:t>
      </w:r>
      <w:r w:rsidRPr="004A4B77">
        <w:rPr>
          <w:i/>
        </w:rPr>
        <w:t xml:space="preserve">, </w:t>
      </w:r>
      <w:r w:rsidRPr="004A4B77">
        <w:t xml:space="preserve">and </w:t>
      </w:r>
      <w:r w:rsidRPr="004A4B77">
        <w:rPr>
          <w:i/>
        </w:rPr>
        <w:t xml:space="preserve">E. coli </w:t>
      </w:r>
      <w:r w:rsidRPr="004A4B77">
        <w:t xml:space="preserve">have been observed to form biofilms on equipment surfaces used in the harvesting and </w:t>
      </w:r>
      <w:r>
        <w:t>postharvest</w:t>
      </w:r>
      <w:r w:rsidRPr="004A4B77">
        <w:t xml:space="preserve"> processing of fresh produce </w:t>
      </w:r>
      <w:r w:rsidR="00657FDB">
        <w:t>(Aryal and Muriana 2019; Bonsaglia et al. 2014; Oliveira et al. 2014)</w:t>
      </w:r>
      <w:r w:rsidRPr="004A4B77">
        <w:t xml:space="preserve">. The cleanliness and type of contact surfaces is known to influence the formation of biofilms, with biofilms more likely to be formed on rougher surfaces where nutrients and water may be trapped due to the surface being harder to clean </w:t>
      </w:r>
      <w:r w:rsidR="00657FDB">
        <w:t>(Lim et al. 2020)</w:t>
      </w:r>
      <w:r w:rsidRPr="004A4B77">
        <w:t xml:space="preserve">. </w:t>
      </w:r>
    </w:p>
    <w:p w14:paraId="25C13B07" w14:textId="77777777" w:rsidR="0055458D" w:rsidRPr="004A4B77" w:rsidRDefault="0055458D" w:rsidP="0055458D"/>
    <w:p w14:paraId="01023338" w14:textId="6D02927C" w:rsidR="0055458D" w:rsidRPr="004A4B77" w:rsidRDefault="0055458D" w:rsidP="0055458D">
      <w:r w:rsidRPr="004A4B77">
        <w:t xml:space="preserve">Food handlers can contaminate produce during processing, for example while sorting and packaging produce </w:t>
      </w:r>
      <w:r w:rsidR="00657FDB">
        <w:t>(Verhaelen et al. 2013b)</w:t>
      </w:r>
      <w:r w:rsidRPr="004A4B77">
        <w:t xml:space="preserve">. More frequent handling of fresh produce during postharvest processing can increase the risk of contamination via the faecal-oral route for some bacterial pathogens and particularly viruses such as </w:t>
      </w:r>
      <w:r>
        <w:t>NoV</w:t>
      </w:r>
      <w:r w:rsidRPr="004A4B77">
        <w:t xml:space="preserve"> and HAV </w:t>
      </w:r>
      <w:r w:rsidR="00657FDB">
        <w:t>(EFSA Panel on Biological Hazards 2014b)</w:t>
      </w:r>
      <w:r w:rsidRPr="004A4B77">
        <w:t xml:space="preserve">. Moreover, viral pathogens do not form biofilms and are unable to multiply outside the human host, but </w:t>
      </w:r>
      <w:r>
        <w:t>NoV</w:t>
      </w:r>
      <w:r w:rsidRPr="004A4B77">
        <w:t xml:space="preserve"> and HAV have been reported to persist and remain infective on different food contact surfaces for weeks </w:t>
      </w:r>
      <w:r w:rsidR="00657FDB">
        <w:t>(Bae et al. 2014; Lamhoujeb et al. 2009; Mormann et al. 2015)</w:t>
      </w:r>
      <w:r w:rsidRPr="004A4B77">
        <w:t xml:space="preserve">. </w:t>
      </w:r>
    </w:p>
    <w:p w14:paraId="4C739D3F" w14:textId="77777777" w:rsidR="0055458D" w:rsidRPr="004A4B77" w:rsidRDefault="0055458D" w:rsidP="0055458D">
      <w:pPr>
        <w:rPr>
          <w:i/>
        </w:rPr>
      </w:pPr>
    </w:p>
    <w:p w14:paraId="0A6452AE" w14:textId="77777777" w:rsidR="0055458D" w:rsidRDefault="0055458D" w:rsidP="0055458D">
      <w:pPr>
        <w:rPr>
          <w:lang w:eastAsia="en-AU" w:bidi="ar-SA"/>
        </w:rPr>
      </w:pPr>
      <w:r>
        <w:rPr>
          <w:lang w:eastAsia="en-AU" w:bidi="ar-SA"/>
        </w:rPr>
        <w:t>T</w:t>
      </w:r>
      <w:r w:rsidRPr="004A4B77">
        <w:rPr>
          <w:lang w:eastAsia="en-AU" w:bidi="ar-SA"/>
        </w:rPr>
        <w:t>he evidence spec</w:t>
      </w:r>
      <w:r>
        <w:rPr>
          <w:lang w:eastAsia="en-AU" w:bidi="ar-SA"/>
        </w:rPr>
        <w:t>ifically associated with the in-</w:t>
      </w:r>
      <w:r w:rsidRPr="004A4B77">
        <w:rPr>
          <w:lang w:eastAsia="en-AU" w:bidi="ar-SA"/>
        </w:rPr>
        <w:t>scope commodities and hazards</w:t>
      </w:r>
      <w:r w:rsidRPr="00E403E1">
        <w:rPr>
          <w:lang w:eastAsia="en-AU" w:bidi="ar-SA"/>
        </w:rPr>
        <w:t xml:space="preserve"> </w:t>
      </w:r>
      <w:r>
        <w:rPr>
          <w:lang w:eastAsia="en-AU" w:bidi="ar-SA"/>
        </w:rPr>
        <w:t xml:space="preserve">is </w:t>
      </w:r>
      <w:r w:rsidRPr="004A4B77">
        <w:rPr>
          <w:lang w:eastAsia="en-AU" w:bidi="ar-SA"/>
        </w:rPr>
        <w:t>summarise</w:t>
      </w:r>
      <w:r>
        <w:rPr>
          <w:lang w:eastAsia="en-AU" w:bidi="ar-SA"/>
        </w:rPr>
        <w:t>d below</w:t>
      </w:r>
      <w:r w:rsidRPr="004A4B77">
        <w:rPr>
          <w:lang w:eastAsia="en-AU" w:bidi="ar-SA"/>
        </w:rPr>
        <w:t xml:space="preserve">. </w:t>
      </w:r>
    </w:p>
    <w:p w14:paraId="45C4A584" w14:textId="77777777" w:rsidR="0055458D" w:rsidRDefault="0055458D" w:rsidP="0055458D">
      <w:pPr>
        <w:widowControl/>
        <w:rPr>
          <w:lang w:eastAsia="en-AU" w:bidi="ar-SA"/>
        </w:rPr>
      </w:pPr>
      <w:r>
        <w:rPr>
          <w:lang w:eastAsia="en-AU" w:bidi="ar-SA"/>
        </w:rPr>
        <w:br w:type="page"/>
      </w:r>
    </w:p>
    <w:p w14:paraId="240E9DA9" w14:textId="77777777" w:rsidR="0055458D" w:rsidRDefault="0055458D" w:rsidP="0055458D">
      <w:pPr>
        <w:pStyle w:val="Heading4"/>
        <w:numPr>
          <w:ilvl w:val="3"/>
          <w:numId w:val="11"/>
        </w:numPr>
      </w:pPr>
      <w:r>
        <w:t>Leafy vegetables</w:t>
      </w:r>
    </w:p>
    <w:p w14:paraId="5FC314AA" w14:textId="5BFF4AA4" w:rsidR="0055458D" w:rsidRDefault="0055458D" w:rsidP="0055458D">
      <w:r w:rsidRPr="000B77F8">
        <w:t>In Australia</w:t>
      </w:r>
      <w:r>
        <w:t xml:space="preserve"> leafy vegetables are generally cooled</w:t>
      </w:r>
      <w:r>
        <w:rPr>
          <w:rStyle w:val="FootnoteReference"/>
        </w:rPr>
        <w:footnoteReference w:id="20"/>
      </w:r>
      <w:r>
        <w:t xml:space="preserve"> on arrival at the packing shed (see discussion on cooling below). Some product is trimmed and packed in the field. Other product, such as baby spinach, is sorted by hand, with undesirable leaves removed at the packhouse. Once cooled, leafy vegetables are generally washed, undergo sorting/trimming (as required), sanitised, </w:t>
      </w:r>
      <w:r w:rsidR="00157348">
        <w:t>dried</w:t>
      </w:r>
      <w:r>
        <w:t xml:space="preserve"> and packed. Product can be packed into plastic bags or sleeves or bulk-packed into cartons, crates or boxes and is then stored in coolrooms until distribution.</w:t>
      </w:r>
    </w:p>
    <w:p w14:paraId="59FCA768" w14:textId="77777777" w:rsidR="0055458D" w:rsidRDefault="0055458D" w:rsidP="0055458D"/>
    <w:p w14:paraId="4CAF1EF7" w14:textId="79F79945" w:rsidR="0055458D" w:rsidRDefault="0055458D" w:rsidP="0055458D">
      <w:r w:rsidRPr="002311D3">
        <w:t>Traceability systems vary throughout the industry.</w:t>
      </w:r>
      <w:r>
        <w:t xml:space="preserve"> Product </w:t>
      </w:r>
      <w:r w:rsidR="00A1728B">
        <w:t>that is packed in plastic (e.g. </w:t>
      </w:r>
      <w:r>
        <w:t>bagged or wrapped) can contain information about the supply chain. However, some products, such as bagged loose leaf product, can be co-mingled prior to packing. Product that is bulk-packed can contain information on the packing boxes.</w:t>
      </w:r>
    </w:p>
    <w:p w14:paraId="7543CFEE" w14:textId="77777777" w:rsidR="0055458D" w:rsidRDefault="0055458D" w:rsidP="0055458D">
      <w:pPr>
        <w:rPr>
          <w:lang w:bidi="ar-SA"/>
        </w:rPr>
      </w:pPr>
    </w:p>
    <w:p w14:paraId="458CD45F" w14:textId="1E3713A1" w:rsidR="0055458D" w:rsidRDefault="0055458D" w:rsidP="0055458D">
      <w:r w:rsidRPr="00006859">
        <w:t xml:space="preserve">Cooling of leafy vegetables can be done using cool rooms or via other systems such as vacuum cooling. Although vacuum cooling efficiently reduces the temperature of produce down from field temperature (e.g. from 28°C), the negative pressure applied during vacuum cooling changes the structure of lettuce tissue, such as stomata, suggesting a possible mechanism of internalization </w:t>
      </w:r>
      <w:r>
        <w:t xml:space="preserve">by pathogens </w:t>
      </w:r>
      <w:r w:rsidR="00657FDB">
        <w:t>(EFSA Panel on Biological Hazard</w:t>
      </w:r>
      <w:r w:rsidR="00A1728B">
        <w:t>s 2014a; Li et </w:t>
      </w:r>
      <w:r w:rsidR="00657FDB">
        <w:t>al. 2008)</w:t>
      </w:r>
      <w:r>
        <w:t>. In an experimental study lettuce was incubated at 28</w:t>
      </w:r>
      <w:r w:rsidRPr="0075705C">
        <w:t>°C</w:t>
      </w:r>
      <w:r>
        <w:t xml:space="preserve"> to mimic field temperature and then artificially inoculated with a derivative of </w:t>
      </w:r>
      <w:r>
        <w:rPr>
          <w:i/>
        </w:rPr>
        <w:t xml:space="preserve">E. coli </w:t>
      </w:r>
      <w:r>
        <w:t xml:space="preserve">O157:H7 prior to the vacuum cooling process. There was a higher level of </w:t>
      </w:r>
      <w:r>
        <w:rPr>
          <w:i/>
        </w:rPr>
        <w:t xml:space="preserve">E. coli </w:t>
      </w:r>
      <w:r>
        <w:t xml:space="preserve">O157:H7 internalization into lettuce tissue that had undergone vacuum cooling (5.4%) compared with the control group (4.2% internalisation). Also, under vacuuming conditions there was deeper penetration of </w:t>
      </w:r>
      <w:r>
        <w:rPr>
          <w:i/>
        </w:rPr>
        <w:t>E. coli </w:t>
      </w:r>
      <w:r>
        <w:t xml:space="preserve">O157:H7 within the lettuce tissue </w:t>
      </w:r>
      <w:r w:rsidR="00657FDB">
        <w:t>(Li et al. 2008)</w:t>
      </w:r>
      <w:r>
        <w:t>.</w:t>
      </w:r>
    </w:p>
    <w:p w14:paraId="46BC248A" w14:textId="77777777" w:rsidR="0055458D" w:rsidRPr="00AB0ACD" w:rsidRDefault="0055458D" w:rsidP="0055458D">
      <w:pPr>
        <w:widowControl/>
        <w:shd w:val="clear" w:color="auto" w:fill="FFFFFF"/>
        <w:textAlignment w:val="baseline"/>
        <w:rPr>
          <w:rFonts w:ascii="Source Sans Pro" w:hAnsi="Source Sans Pro"/>
          <w:b/>
          <w:bCs/>
          <w:color w:val="1A1A1A"/>
          <w:sz w:val="21"/>
          <w:szCs w:val="21"/>
          <w:highlight w:val="yellow"/>
          <w:lang w:eastAsia="en-GB" w:bidi="ar-SA"/>
        </w:rPr>
      </w:pPr>
    </w:p>
    <w:p w14:paraId="3AD2AEC8" w14:textId="323B774E" w:rsidR="0055458D" w:rsidRDefault="0055458D" w:rsidP="0055458D">
      <w:r w:rsidRPr="0075705C">
        <w:rPr>
          <w:i/>
        </w:rPr>
        <w:t>E. coli</w:t>
      </w:r>
      <w:r w:rsidRPr="0075705C">
        <w:t xml:space="preserve"> O157:H7 can form stable, viable biofilms on polystyrene and stainless steel surfaces in the </w:t>
      </w:r>
      <w:r>
        <w:t>postharvest</w:t>
      </w:r>
      <w:r w:rsidRPr="0075705C">
        <w:t xml:space="preserve"> processing environment and transfer to leafy vegetables at high levels </w:t>
      </w:r>
      <w:r w:rsidR="00657FDB">
        <w:t>(Adator et al. 2018)</w:t>
      </w:r>
      <w:r w:rsidRPr="0075705C">
        <w:t>. An experimental study assessed the ability of 14 STEC strains to form biofilms on polystyrene and stainless steel. Biof</w:t>
      </w:r>
      <w:r>
        <w:t>ilm</w:t>
      </w:r>
      <w:r w:rsidRPr="0075705C">
        <w:t xml:space="preserve"> formation was dependent on temperature, at 10°C all 14 strains formed weak biofilms on both surfaces, whereas at 25°C the strains formed stronger biofilms. STEC remained viable within dry-surface biofilms </w:t>
      </w:r>
      <w:r>
        <w:t xml:space="preserve">on both surfaces </w:t>
      </w:r>
      <w:r w:rsidRPr="0075705C">
        <w:t>for at least 30 days. For 13 of the 14 strains</w:t>
      </w:r>
      <w:r>
        <w:t>,</w:t>
      </w:r>
      <w:r w:rsidRPr="0075705C">
        <w:t xml:space="preserve"> STEC was transferred from biofilms formed on</w:t>
      </w:r>
      <w:r>
        <w:t xml:space="preserve"> polystyrene to lettuce within two</w:t>
      </w:r>
      <w:r w:rsidRPr="0075705C">
        <w:t> min</w:t>
      </w:r>
      <w:r>
        <w:t>utes</w:t>
      </w:r>
      <w:r w:rsidRPr="0075705C">
        <w:t xml:space="preserve"> contac</w:t>
      </w:r>
      <w:r>
        <w:t>t time (transfer of up to 6.35 L</w:t>
      </w:r>
      <w:r w:rsidRPr="0075705C">
        <w:t>og CFU/g). The transfer rate was lower from stainless steel, with 8 of the 14 strains tran</w:t>
      </w:r>
      <w:r>
        <w:t>sferred to lettuce (up to 1.45 L</w:t>
      </w:r>
      <w:r w:rsidRPr="0075705C">
        <w:t>og CFU/g). In general STEC transfer to fresh lettuce from biofilms decreased as the biofilms aged.</w:t>
      </w:r>
    </w:p>
    <w:p w14:paraId="3F87F0AB" w14:textId="77777777" w:rsidR="0055458D" w:rsidRDefault="0055458D" w:rsidP="0055458D"/>
    <w:p w14:paraId="5D28AAEF" w14:textId="46ED7822" w:rsidR="0055458D" w:rsidRPr="00D04182" w:rsidRDefault="0055458D" w:rsidP="0055458D">
      <w:r>
        <w:t xml:space="preserve">An experimental study by Buchholz et al. </w:t>
      </w:r>
      <w:r w:rsidR="00657FDB">
        <w:t>(2012)</w:t>
      </w:r>
      <w:r>
        <w:t xml:space="preserve"> demonstrated the transfer of </w:t>
      </w:r>
      <w:r>
        <w:rPr>
          <w:i/>
        </w:rPr>
        <w:t>E. coli </w:t>
      </w:r>
      <w:r>
        <w:t>O157:H7 from leafy vegetable to equipment during simulated small-scale commercial processing.</w:t>
      </w:r>
      <w:r w:rsidRPr="00CC3363">
        <w:t xml:space="preserve"> </w:t>
      </w:r>
      <w:r>
        <w:t xml:space="preserve">Lettuce and baby spinach were artificially </w:t>
      </w:r>
      <w:r w:rsidR="00A1728B">
        <w:t>inoculated with a cocktail of four </w:t>
      </w:r>
      <w:r w:rsidR="00A1728B">
        <w:rPr>
          <w:i/>
        </w:rPr>
        <w:t>E. coli </w:t>
      </w:r>
      <w:r>
        <w:t xml:space="preserve">O157:H7 strains and contained up to 6.2 Log CFU/g (lettuce) and 2.5 Log CFU/g (baby spinach) at the time of processing. </w:t>
      </w:r>
      <w:r>
        <w:rPr>
          <w:i/>
        </w:rPr>
        <w:t xml:space="preserve">E. coli </w:t>
      </w:r>
      <w:r>
        <w:t xml:space="preserve">O157:H7 was transferred from lettuce to up to 0.53%, 0.93%, 0.48%, 0.19% and 0.15% of surfaces on the shredder, conveyor belt, centrifugal drier, flume tank and shaker table, respectively. For baby spinach the level of transfer was lower, with </w:t>
      </w:r>
      <w:r>
        <w:rPr>
          <w:i/>
        </w:rPr>
        <w:t xml:space="preserve">E. coli </w:t>
      </w:r>
      <w:r>
        <w:t>O157:H7 transferred to up to 0.05% and 0.01% of surfaces on the centrifugal drier and flume tank, respectively.</w:t>
      </w:r>
    </w:p>
    <w:p w14:paraId="7C32725B" w14:textId="77777777" w:rsidR="0055458D" w:rsidRDefault="0055458D" w:rsidP="0055458D"/>
    <w:p w14:paraId="1408D525" w14:textId="77777777" w:rsidR="00F57E1E" w:rsidRDefault="00F57E1E">
      <w:pPr>
        <w:widowControl/>
      </w:pPr>
      <w:r>
        <w:br w:type="page"/>
      </w:r>
    </w:p>
    <w:p w14:paraId="3659FD9A" w14:textId="15C725FB" w:rsidR="0055458D" w:rsidRPr="00E51BDA" w:rsidRDefault="0055458D" w:rsidP="0055458D">
      <w:pPr>
        <w:rPr>
          <w:i/>
        </w:rPr>
      </w:pPr>
      <w:r>
        <w:t xml:space="preserve">The survival of </w:t>
      </w:r>
      <w:r>
        <w:rPr>
          <w:i/>
        </w:rPr>
        <w:t xml:space="preserve">E. coli </w:t>
      </w:r>
      <w:r>
        <w:t xml:space="preserve">O157:H7 and </w:t>
      </w:r>
      <w:r>
        <w:rPr>
          <w:i/>
        </w:rPr>
        <w:t xml:space="preserve">Salmonella </w:t>
      </w:r>
      <w:r>
        <w:t xml:space="preserve">spp. on stainless steel surfaces soiled with leafy vegetable juices was examined by Posada-Izquierdo et al. </w:t>
      </w:r>
      <w:r w:rsidR="00657FDB">
        <w:t>(2013)</w:t>
      </w:r>
      <w:r>
        <w:t>. Food-grade stainless steel was inoculated with different vegetable juices containing 10</w:t>
      </w:r>
      <w:r>
        <w:rPr>
          <w:vertAlign w:val="superscript"/>
        </w:rPr>
        <w:t>7</w:t>
      </w:r>
      <w:r>
        <w:t>-10</w:t>
      </w:r>
      <w:r>
        <w:rPr>
          <w:vertAlign w:val="superscript"/>
        </w:rPr>
        <w:t>8</w:t>
      </w:r>
      <w:r>
        <w:t xml:space="preserve"> CFU/</w:t>
      </w:r>
      <w:r w:rsidRPr="00DE4062">
        <w:t>cm</w:t>
      </w:r>
      <w:r w:rsidRPr="00312F91">
        <w:rPr>
          <w:vertAlign w:val="superscript"/>
        </w:rPr>
        <w:t>2</w:t>
      </w:r>
      <w:r>
        <w:t xml:space="preserve"> of </w:t>
      </w:r>
      <w:r>
        <w:rPr>
          <w:i/>
        </w:rPr>
        <w:t>E. coli </w:t>
      </w:r>
      <w:r>
        <w:t xml:space="preserve">O157:H7 or </w:t>
      </w:r>
      <w:r>
        <w:rPr>
          <w:i/>
        </w:rPr>
        <w:t xml:space="preserve">Salmonella </w:t>
      </w:r>
      <w:r>
        <w:t xml:space="preserve">spp. Both microorganisms had reduced survival when parsley or spinach juice was present compared to lettuce juice, with both bacteria only detected up to 48 hours post inoculation in the spinach and parsley juice, while </w:t>
      </w:r>
      <w:r>
        <w:rPr>
          <w:i/>
        </w:rPr>
        <w:t xml:space="preserve">E. coli </w:t>
      </w:r>
      <w:r>
        <w:t xml:space="preserve">O157:H7 and </w:t>
      </w:r>
      <w:r>
        <w:rPr>
          <w:i/>
        </w:rPr>
        <w:t>Salmonella </w:t>
      </w:r>
      <w:r>
        <w:t>spp. could be detected up to 192 or 168 hours post inoculation in lettuce juice.</w:t>
      </w:r>
      <w:r>
        <w:rPr>
          <w:i/>
        </w:rPr>
        <w:t xml:space="preserve"> </w:t>
      </w:r>
      <w:r>
        <w:t xml:space="preserve">This shows that there is variation in the persistence of </w:t>
      </w:r>
      <w:r>
        <w:rPr>
          <w:i/>
        </w:rPr>
        <w:t xml:space="preserve">E. coli </w:t>
      </w:r>
      <w:r>
        <w:t xml:space="preserve">O157:H7 and </w:t>
      </w:r>
      <w:r>
        <w:rPr>
          <w:i/>
        </w:rPr>
        <w:t xml:space="preserve">Salmonella </w:t>
      </w:r>
      <w:r>
        <w:t>spp. on stainless steel surfaces depending on the type of leafy vegetable juice present.</w:t>
      </w:r>
    </w:p>
    <w:p w14:paraId="3562D031" w14:textId="77777777" w:rsidR="0055458D" w:rsidRDefault="0055458D" w:rsidP="0055458D">
      <w:pPr>
        <w:rPr>
          <w:lang w:bidi="ar-SA"/>
        </w:rPr>
      </w:pPr>
    </w:p>
    <w:p w14:paraId="2AD9BA13" w14:textId="75B974D3" w:rsidR="0055458D" w:rsidRDefault="0055458D" w:rsidP="0055458D">
      <w:r>
        <w:t xml:space="preserve">Limited data was identified in the literature on the prevalence of STEC, </w:t>
      </w:r>
      <w:r w:rsidRPr="007440E2">
        <w:rPr>
          <w:i/>
        </w:rPr>
        <w:t xml:space="preserve">Salmonella </w:t>
      </w:r>
      <w:r>
        <w:t xml:space="preserve">spp. or </w:t>
      </w:r>
      <w:r>
        <w:rPr>
          <w:i/>
        </w:rPr>
        <w:t>L. </w:t>
      </w:r>
      <w:r w:rsidRPr="007440E2">
        <w:rPr>
          <w:i/>
        </w:rPr>
        <w:t>monocytogenes</w:t>
      </w:r>
      <w:r>
        <w:t xml:space="preserve"> on lettuce, baby spinach and parsley in packing facilities.</w:t>
      </w:r>
      <w:r w:rsidRPr="007440E2">
        <w:t xml:space="preserve"> </w:t>
      </w:r>
      <w:r w:rsidRPr="000D73E7">
        <w:t xml:space="preserve">A study by Espigol et al. </w:t>
      </w:r>
      <w:r w:rsidR="00657FDB">
        <w:t>(2018)</w:t>
      </w:r>
      <w:r>
        <w:t xml:space="preserve"> detected </w:t>
      </w:r>
      <w:r w:rsidRPr="007440E2">
        <w:rPr>
          <w:i/>
        </w:rPr>
        <w:t xml:space="preserve">E. coli </w:t>
      </w:r>
      <w:r>
        <w:t xml:space="preserve">on swabs of trimming scissors, worker’s hands, plastic holding crates and dryers during postharvest processing of lettuce in the </w:t>
      </w:r>
      <w:r w:rsidR="00531D32">
        <w:t>Philippines</w:t>
      </w:r>
      <w:r>
        <w:t xml:space="preserve"> (number of samples not reported), however, the </w:t>
      </w:r>
      <w:r>
        <w:rPr>
          <w:i/>
        </w:rPr>
        <w:t xml:space="preserve">E. coli </w:t>
      </w:r>
      <w:r>
        <w:t xml:space="preserve">was not typed to the strain level. Holvoets et al. </w:t>
      </w:r>
      <w:r w:rsidR="00657FDB">
        <w:t>(2012)</w:t>
      </w:r>
      <w:r>
        <w:t xml:space="preserve"> did not detect </w:t>
      </w:r>
      <w:r>
        <w:rPr>
          <w:i/>
        </w:rPr>
        <w:t xml:space="preserve">E. coli </w:t>
      </w:r>
      <w:r>
        <w:t xml:space="preserve">on swabs of food handler’s hands or gloves (n=18) in Belgian leafy vegetable processing facilities, but did detect </w:t>
      </w:r>
      <w:r>
        <w:rPr>
          <w:i/>
        </w:rPr>
        <w:t xml:space="preserve">E. coli </w:t>
      </w:r>
      <w:r>
        <w:t xml:space="preserve">on 16.7% (3/18) of swabs of conveyor belts, 27.8% of weighing units (5/18) and a parsley sample (1/3). Neither </w:t>
      </w:r>
      <w:r w:rsidR="00531D32">
        <w:rPr>
          <w:i/>
        </w:rPr>
        <w:t>L. </w:t>
      </w:r>
      <w:r>
        <w:rPr>
          <w:i/>
        </w:rPr>
        <w:t xml:space="preserve">monocytogenes </w:t>
      </w:r>
      <w:r w:rsidR="00531D32">
        <w:t>n</w:t>
      </w:r>
      <w:r>
        <w:t xml:space="preserve">or </w:t>
      </w:r>
      <w:r>
        <w:rPr>
          <w:i/>
        </w:rPr>
        <w:t>Salmonella</w:t>
      </w:r>
      <w:r>
        <w:t xml:space="preserve"> spp. were detected at the packing facilities, including no detection on lettuce and parsley, however the sample numbers were very small (n=3 for lettuce and parsley).</w:t>
      </w:r>
    </w:p>
    <w:p w14:paraId="7DC42F4F" w14:textId="77777777" w:rsidR="0055458D" w:rsidRDefault="0055458D" w:rsidP="0055458D">
      <w:pPr>
        <w:rPr>
          <w:lang w:eastAsia="en-AU" w:bidi="ar-SA"/>
        </w:rPr>
      </w:pPr>
    </w:p>
    <w:p w14:paraId="6A57E3AE" w14:textId="4A856FCD" w:rsidR="0055458D" w:rsidRDefault="0055458D" w:rsidP="0055458D">
      <w:r>
        <w:t xml:space="preserve">The level of surface contamination of processing equipment after cleaning has been investigated in fresh cut vegetable (including lettuce) production plants in Finland. Samples were collected at different stages along the processing line. The total aerobic microbial contamination was highest on a centrifuge basket of lettuce and belt of cutter equipment. This shows that surfaces such as the inside of machines and cutters used for postharvest leafy vegetable processing may need more effective cleaning as surfaces could potentially develop biofilms </w:t>
      </w:r>
      <w:r w:rsidR="00657FDB">
        <w:t>(Lehto et al. 2011)</w:t>
      </w:r>
      <w:r>
        <w:t>.</w:t>
      </w:r>
    </w:p>
    <w:p w14:paraId="48C67F53" w14:textId="77777777" w:rsidR="0055458D" w:rsidRDefault="0055458D" w:rsidP="0055458D"/>
    <w:p w14:paraId="020F6953" w14:textId="7975234E" w:rsidR="0055458D" w:rsidRPr="00BD2FE2" w:rsidRDefault="0055458D" w:rsidP="0055458D">
      <w:pPr>
        <w:rPr>
          <w:rFonts w:cs="Arial"/>
        </w:rPr>
      </w:pPr>
      <w:r w:rsidRPr="00C867B0">
        <w:rPr>
          <w:rFonts w:cs="Arial"/>
        </w:rPr>
        <w:t xml:space="preserve">The 2001 Australian </w:t>
      </w:r>
      <w:r w:rsidRPr="00C867B0">
        <w:rPr>
          <w:rFonts w:cs="Arial"/>
          <w:i/>
        </w:rPr>
        <w:t xml:space="preserve">Salmonella </w:t>
      </w:r>
      <w:r w:rsidRPr="00C867B0">
        <w:rPr>
          <w:rFonts w:cs="Arial"/>
        </w:rPr>
        <w:t xml:space="preserve">outbreak associated with lettuce was linked to inadequate cleaning of </w:t>
      </w:r>
      <w:r>
        <w:rPr>
          <w:rFonts w:cs="Arial"/>
        </w:rPr>
        <w:t>post</w:t>
      </w:r>
      <w:r w:rsidR="00157348">
        <w:rPr>
          <w:rFonts w:cs="Arial"/>
        </w:rPr>
        <w:t xml:space="preserve"> </w:t>
      </w:r>
      <w:r>
        <w:rPr>
          <w:rFonts w:cs="Arial"/>
        </w:rPr>
        <w:t>harvest</w:t>
      </w:r>
      <w:r w:rsidRPr="00C867B0">
        <w:rPr>
          <w:rFonts w:cs="Arial"/>
        </w:rPr>
        <w:t>ing processing equipment used to shred the lettuce</w:t>
      </w:r>
      <w:r>
        <w:rPr>
          <w:rFonts w:cs="Arial"/>
        </w:rPr>
        <w:t xml:space="preserve">. </w:t>
      </w:r>
      <w:r w:rsidRPr="00C867B0">
        <w:rPr>
          <w:rFonts w:cs="Arial"/>
        </w:rPr>
        <w:t xml:space="preserve">This demonstrates that </w:t>
      </w:r>
      <w:r w:rsidRPr="00C867B0">
        <w:t xml:space="preserve">poorly cleaned and maintained equipment can harbour pathogens and provide a reservoir of contamination </w:t>
      </w:r>
      <w:r w:rsidR="00657FDB">
        <w:t>(FAO/WHO 2008b; Stafford et al. 2002)</w:t>
      </w:r>
      <w:r w:rsidRPr="00C867B0">
        <w:t>.</w:t>
      </w:r>
      <w:r>
        <w:rPr>
          <w:rFonts w:cs="Arial"/>
        </w:rPr>
        <w:t xml:space="preserve"> </w:t>
      </w:r>
    </w:p>
    <w:p w14:paraId="24484449" w14:textId="77777777" w:rsidR="0055458D" w:rsidRDefault="0055458D" w:rsidP="0055458D">
      <w:pPr>
        <w:pStyle w:val="Heading4"/>
        <w:numPr>
          <w:ilvl w:val="3"/>
          <w:numId w:val="11"/>
        </w:numPr>
      </w:pPr>
      <w:r>
        <w:t>Berries</w:t>
      </w:r>
    </w:p>
    <w:p w14:paraId="037061AB" w14:textId="77777777" w:rsidR="0055458D" w:rsidRDefault="0055458D" w:rsidP="0055458D">
      <w:r>
        <w:rPr>
          <w:lang w:bidi="ar-SA"/>
        </w:rPr>
        <w:t xml:space="preserve">In Australia, </w:t>
      </w:r>
      <w:r>
        <w:t>there is variation within the industry regarding the packing of berries destined for the fresh market. Some product is field packed and then cooled once it reaches the packhouse, while other product is first transported to the packhouse for cooling prior to being</w:t>
      </w:r>
      <w:r>
        <w:rPr>
          <w:lang w:bidi="ar-SA"/>
        </w:rPr>
        <w:t xml:space="preserve"> hand sorted and hand packed</w:t>
      </w:r>
      <w:r>
        <w:t>. As such, sorting and removal of damaged product can occur in the field or at the packhouse. The packed product is</w:t>
      </w:r>
      <w:r>
        <w:rPr>
          <w:lang w:bidi="ar-SA"/>
        </w:rPr>
        <w:t xml:space="preserve"> stored in coolrooms until distribution.</w:t>
      </w:r>
      <w:r>
        <w:t xml:space="preserve"> Strawberries and raspberries are sent to market as soon as possible due to their short shelf-life, whereas blueberries have a longer shelf-life.</w:t>
      </w:r>
    </w:p>
    <w:p w14:paraId="095F89A2" w14:textId="77777777" w:rsidR="0055458D" w:rsidRDefault="0055458D" w:rsidP="0055458D"/>
    <w:p w14:paraId="312FBB48" w14:textId="77777777" w:rsidR="0055458D" w:rsidRDefault="0055458D" w:rsidP="0055458D">
      <w:r w:rsidRPr="00B85F4F">
        <w:t>Traceability varies across the industry. As berries destined for the fresh market are sold in small plastic punnets which are marked with the company name, product can be traced back to this level. However, some companies are supplied by over 100 growers so more sophis</w:t>
      </w:r>
      <w:r>
        <w:t>ti</w:t>
      </w:r>
      <w:r w:rsidRPr="00B85F4F">
        <w:t xml:space="preserve">cated traceability systems are required </w:t>
      </w:r>
      <w:r>
        <w:t>to trace back to individual farms</w:t>
      </w:r>
      <w:r w:rsidRPr="00B85F4F">
        <w:t xml:space="preserve">. </w:t>
      </w:r>
    </w:p>
    <w:p w14:paraId="0F30922D" w14:textId="77777777" w:rsidR="0055458D" w:rsidRDefault="0055458D" w:rsidP="0055458D"/>
    <w:p w14:paraId="556473BB" w14:textId="24E5D2B1" w:rsidR="0055458D" w:rsidRDefault="0055458D" w:rsidP="0055458D">
      <w:pPr>
        <w:rPr>
          <w:rFonts w:cs="Arial"/>
          <w:lang w:eastAsia="en-GB"/>
        </w:rPr>
      </w:pPr>
      <w:r w:rsidRPr="00A37A8A">
        <w:t>As described above (</w:t>
      </w:r>
      <w:r w:rsidRPr="00F404EA">
        <w:t>in Section 10.1.2), experimental</w:t>
      </w:r>
      <w:r w:rsidRPr="00A37A8A">
        <w:t xml:space="preserve"> evidence has confirmed the transfer of pathogens (</w:t>
      </w:r>
      <w:r w:rsidRPr="00A37A8A">
        <w:rPr>
          <w:i/>
        </w:rPr>
        <w:t>E. coli </w:t>
      </w:r>
      <w:r w:rsidRPr="00A37A8A">
        <w:t xml:space="preserve">O157:H7 </w:t>
      </w:r>
      <w:r w:rsidRPr="002A471A">
        <w:t xml:space="preserve">and human NoV) from artificially inoculated gloved hands to berries </w:t>
      </w:r>
      <w:r w:rsidR="00657FDB">
        <w:t>(Sharps et al. 2012; Shaw et al. 2015a; Verhaelen et al. 2013b)</w:t>
      </w:r>
      <w:r w:rsidRPr="002A471A">
        <w:t xml:space="preserve">. It has also been shown that human NoV can be transferred from fomites to berries, as may occur from </w:t>
      </w:r>
      <w:r>
        <w:t>postharvest</w:t>
      </w:r>
      <w:r w:rsidRPr="002A471A">
        <w:t xml:space="preserve"> surfaces and equipment </w:t>
      </w:r>
      <w:r w:rsidR="00657FDB">
        <w:t>(Sharps et al. 2012)</w:t>
      </w:r>
      <w:r w:rsidRPr="002A471A">
        <w:t>. In an experimental study, stainless</w:t>
      </w:r>
      <w:r w:rsidR="00A1728B">
        <w:t> </w:t>
      </w:r>
      <w:r w:rsidRPr="002A471A">
        <w:t xml:space="preserve">steel coupons were artificially inoculated with </w:t>
      </w:r>
      <w:r w:rsidR="00A1728B">
        <w:rPr>
          <w:rFonts w:cs="Arial"/>
          <w:lang w:eastAsia="en-GB"/>
        </w:rPr>
        <w:t>human NoV GI and GII and murine </w:t>
      </w:r>
      <w:r>
        <w:rPr>
          <w:rFonts w:cs="Arial"/>
          <w:lang w:eastAsia="en-GB"/>
        </w:rPr>
        <w:t>NoV</w:t>
      </w:r>
      <w:r w:rsidRPr="002A471A">
        <w:rPr>
          <w:rFonts w:cs="Arial"/>
          <w:lang w:eastAsia="en-GB"/>
        </w:rPr>
        <w:t xml:space="preserve"> (MNV-1) (~ 10</w:t>
      </w:r>
      <w:r w:rsidRPr="002A471A">
        <w:rPr>
          <w:rFonts w:cs="Arial"/>
          <w:vertAlign w:val="superscript"/>
          <w:lang w:eastAsia="en-GB"/>
        </w:rPr>
        <w:t>6</w:t>
      </w:r>
      <w:r w:rsidRPr="002A471A">
        <w:rPr>
          <w:rFonts w:cs="Arial"/>
          <w:lang w:eastAsia="en-GB"/>
        </w:rPr>
        <w:t xml:space="preserve"> genome copies of each virus) and </w:t>
      </w:r>
      <w:r>
        <w:rPr>
          <w:rFonts w:cs="Arial"/>
          <w:lang w:eastAsia="en-GB"/>
        </w:rPr>
        <w:t xml:space="preserve">clean gloves first touched the contaminated stainless steel before touching blueberries and raspberries. Under wet conditions the average percentage of transfer of </w:t>
      </w:r>
      <w:r w:rsidRPr="00BB02B8">
        <w:rPr>
          <w:rFonts w:cs="Arial"/>
          <w:lang w:eastAsia="en-GB"/>
        </w:rPr>
        <w:t xml:space="preserve">NoV GI.3b, NoV GII.4 and MNV-1 </w:t>
      </w:r>
      <w:r>
        <w:rPr>
          <w:rFonts w:cs="Arial"/>
          <w:lang w:eastAsia="en-GB"/>
        </w:rPr>
        <w:t>to</w:t>
      </w:r>
      <w:r w:rsidRPr="00BB02B8">
        <w:rPr>
          <w:rFonts w:cs="Arial"/>
          <w:lang w:eastAsia="en-GB"/>
        </w:rPr>
        <w:t xml:space="preserve"> blueberries was</w:t>
      </w:r>
      <w:r>
        <w:rPr>
          <w:rFonts w:cs="Arial"/>
          <w:lang w:eastAsia="en-GB"/>
        </w:rPr>
        <w:t xml:space="preserve"> 24%, ~20% and &lt;10%, respectively, and to raspberries was 38%, 50% and &lt;10%, respectively.</w:t>
      </w:r>
      <w:r w:rsidRPr="00A20793">
        <w:rPr>
          <w:rFonts w:cs="Arial"/>
          <w:lang w:eastAsia="en-GB"/>
        </w:rPr>
        <w:t xml:space="preserve"> </w:t>
      </w:r>
      <w:r w:rsidRPr="00BB02B8">
        <w:rPr>
          <w:rFonts w:cs="Arial"/>
          <w:lang w:eastAsia="en-GB"/>
        </w:rPr>
        <w:t>When the viral inoculation was left to dry for 30 min</w:t>
      </w:r>
      <w:r>
        <w:rPr>
          <w:rFonts w:cs="Arial"/>
          <w:lang w:eastAsia="en-GB"/>
        </w:rPr>
        <w:t>utes</w:t>
      </w:r>
      <w:r w:rsidRPr="00BB02B8">
        <w:rPr>
          <w:rFonts w:cs="Arial"/>
          <w:lang w:eastAsia="en-GB"/>
        </w:rPr>
        <w:t xml:space="preserve"> prior to contact the average percentage of transfer </w:t>
      </w:r>
      <w:r>
        <w:rPr>
          <w:rFonts w:cs="Arial"/>
          <w:lang w:eastAsia="en-GB"/>
        </w:rPr>
        <w:t>was &lt;10</w:t>
      </w:r>
      <w:r w:rsidRPr="00BB02B8">
        <w:rPr>
          <w:rFonts w:cs="Arial"/>
          <w:lang w:eastAsia="en-GB"/>
        </w:rPr>
        <w:t>% for all viruses on either fruit</w:t>
      </w:r>
      <w:r>
        <w:rPr>
          <w:rFonts w:cs="Arial"/>
          <w:lang w:eastAsia="en-GB"/>
        </w:rPr>
        <w:t xml:space="preserve"> </w:t>
      </w:r>
      <w:r w:rsidR="00657FDB">
        <w:t>(Sharps et al. 2012)</w:t>
      </w:r>
      <w:r w:rsidRPr="00BB02B8">
        <w:rPr>
          <w:rFonts w:cs="Arial"/>
          <w:lang w:eastAsia="en-GB"/>
        </w:rPr>
        <w:t>.</w:t>
      </w:r>
    </w:p>
    <w:p w14:paraId="09B8AD4C" w14:textId="77777777" w:rsidR="0055458D" w:rsidRDefault="0055458D" w:rsidP="0055458D">
      <w:pPr>
        <w:rPr>
          <w:rFonts w:cs="Arial"/>
          <w:lang w:eastAsia="en-GB"/>
        </w:rPr>
      </w:pPr>
    </w:p>
    <w:p w14:paraId="0CDCE05B" w14:textId="5BA45DAF" w:rsidR="0055458D" w:rsidRDefault="0055458D" w:rsidP="0055458D">
      <w:r>
        <w:t xml:space="preserve">No Australian data, and very limited international data, was identified in the literature on the prevalence of STEC, NoV or HAV in blueberry, raspberry and strawberry packing facilities. A European study did not detect </w:t>
      </w:r>
      <w:r>
        <w:rPr>
          <w:rFonts w:cs="Arial"/>
          <w:lang w:eastAsia="en-AU"/>
        </w:rPr>
        <w:t>HAV, NoV GI or NoV GII</w:t>
      </w:r>
      <w:r>
        <w:t xml:space="preserve"> (n=24) from swabs taken of conveyor belts in berry processing plants </w:t>
      </w:r>
      <w:r w:rsidR="00657FDB">
        <w:rPr>
          <w:rFonts w:cs="Arial"/>
          <w:lang w:eastAsia="en-AU"/>
        </w:rPr>
        <w:t>(Maunula et al. 2013)</w:t>
      </w:r>
      <w:r>
        <w:rPr>
          <w:rFonts w:cs="Arial"/>
          <w:lang w:eastAsia="en-AU"/>
        </w:rPr>
        <w:t>.</w:t>
      </w:r>
    </w:p>
    <w:p w14:paraId="1097A8D3" w14:textId="77777777" w:rsidR="0055458D" w:rsidRDefault="0055458D" w:rsidP="0055458D">
      <w:pPr>
        <w:rPr>
          <w:lang w:eastAsia="en-GB"/>
        </w:rPr>
      </w:pPr>
    </w:p>
    <w:p w14:paraId="25346F1C" w14:textId="7B536B51" w:rsidR="0055458D" w:rsidRPr="00713DE0" w:rsidRDefault="0055458D" w:rsidP="0055458D">
      <w:pPr>
        <w:rPr>
          <w:lang w:eastAsia="en-GB"/>
        </w:rPr>
      </w:pPr>
      <w:r>
        <w:rPr>
          <w:lang w:eastAsia="en-GB"/>
        </w:rPr>
        <w:t xml:space="preserve">A study by Gazula et al. </w:t>
      </w:r>
      <w:r w:rsidR="00657FDB">
        <w:rPr>
          <w:lang w:eastAsia="en-GB"/>
        </w:rPr>
        <w:t>(2019)</w:t>
      </w:r>
      <w:r>
        <w:rPr>
          <w:lang w:eastAsia="en-GB"/>
        </w:rPr>
        <w:t xml:space="preserve"> used indicator organisms (faecal coliforms and enterococci) to evaluate the hygiene conditions of blueberry packing lines in the US. Various parts of the packing line was swabbed in the morning, middle of the day and at the end of the day (the packing facilities sanitised daily either at the beginning or end of the day). The morning samples had the lowest incidence of faecal coliforms and enterococci, with higher incidences recorded for the middle and end of the day samples. This indicates the packing line surfaces were contaminated during the packing processes.</w:t>
      </w:r>
    </w:p>
    <w:p w14:paraId="67975172" w14:textId="77777777" w:rsidR="0055458D" w:rsidRDefault="0055458D" w:rsidP="0055458D">
      <w:pPr>
        <w:pStyle w:val="Heading4"/>
        <w:numPr>
          <w:ilvl w:val="3"/>
          <w:numId w:val="11"/>
        </w:numPr>
      </w:pPr>
      <w:r>
        <w:t>Melons</w:t>
      </w:r>
    </w:p>
    <w:p w14:paraId="331C7F2C" w14:textId="77777777" w:rsidR="0055458D" w:rsidRDefault="0055458D" w:rsidP="0055458D">
      <w:r w:rsidRPr="004C28E4">
        <w:rPr>
          <w:lang w:eastAsia="en-AU"/>
        </w:rPr>
        <w:t xml:space="preserve">In Australia, rockmelons are sometimes cooled on arrival at the packing shed. During processing they may come into contact with various surfaces and are handled by workers when packing </w:t>
      </w:r>
      <w:r w:rsidRPr="004C28E4">
        <w:t>into cartons or trays. The point that undesirable fruit is removed is variable across the industry with some removing fruit before washing and sanitising and others removing fruit at the packing table.</w:t>
      </w:r>
    </w:p>
    <w:p w14:paraId="67477F04" w14:textId="77777777" w:rsidR="0055458D" w:rsidRDefault="0055458D" w:rsidP="0055458D"/>
    <w:p w14:paraId="3CE0B9F5" w14:textId="77777777" w:rsidR="0055458D" w:rsidRPr="004C28E4" w:rsidRDefault="0055458D" w:rsidP="0055458D">
      <w:pPr>
        <w:rPr>
          <w:lang w:eastAsia="en-AU"/>
        </w:rPr>
      </w:pPr>
      <w:r w:rsidRPr="004C28E4">
        <w:t>Traceability systems differ throughout the industry but include the recording of batch numbers and packers in many cases. Rockmelons are palletised and stored in cool rooms. In contrast</w:t>
      </w:r>
      <w:r w:rsidRPr="004C28E4">
        <w:rPr>
          <w:lang w:eastAsia="en-AU"/>
        </w:rPr>
        <w:t xml:space="preserve">, </w:t>
      </w:r>
      <w:r w:rsidRPr="004C28E4">
        <w:t xml:space="preserve">watermelons generally do not receive any </w:t>
      </w:r>
      <w:r>
        <w:t>postharvest</w:t>
      </w:r>
      <w:r w:rsidRPr="004C28E4">
        <w:t xml:space="preserve"> treatment and are packed in field. </w:t>
      </w:r>
    </w:p>
    <w:p w14:paraId="144ACF5D" w14:textId="77777777" w:rsidR="0055458D" w:rsidRPr="004C28E4" w:rsidRDefault="0055458D" w:rsidP="0055458D">
      <w:pPr>
        <w:rPr>
          <w:lang w:eastAsia="en-AU"/>
        </w:rPr>
      </w:pPr>
    </w:p>
    <w:p w14:paraId="1501D0B8" w14:textId="31A52EBA" w:rsidR="0055458D" w:rsidRPr="004C28E4" w:rsidRDefault="0055458D" w:rsidP="0055458D">
      <w:pPr>
        <w:rPr>
          <w:rFonts w:eastAsiaTheme="minorHAnsi"/>
          <w:lang w:eastAsia="en-AU"/>
        </w:rPr>
      </w:pPr>
      <w:r w:rsidRPr="004C28E4">
        <w:rPr>
          <w:rFonts w:eastAsiaTheme="minorHAnsi"/>
          <w:lang w:eastAsia="en-AU"/>
        </w:rPr>
        <w:t xml:space="preserve">The prevalence of </w:t>
      </w:r>
      <w:r w:rsidRPr="004C28E4">
        <w:rPr>
          <w:rFonts w:eastAsiaTheme="minorHAnsi"/>
          <w:i/>
          <w:lang w:eastAsia="en-AU"/>
        </w:rPr>
        <w:t xml:space="preserve">Salmonella </w:t>
      </w:r>
      <w:r>
        <w:rPr>
          <w:rFonts w:eastAsiaTheme="minorHAnsi"/>
          <w:lang w:eastAsia="en-AU"/>
        </w:rPr>
        <w:t xml:space="preserve">spp. </w:t>
      </w:r>
      <w:r w:rsidRPr="004C28E4">
        <w:rPr>
          <w:rFonts w:eastAsiaTheme="minorHAnsi"/>
          <w:lang w:eastAsia="en-AU"/>
        </w:rPr>
        <w:t>ha</w:t>
      </w:r>
      <w:r>
        <w:rPr>
          <w:rFonts w:eastAsiaTheme="minorHAnsi"/>
          <w:lang w:eastAsia="en-AU"/>
        </w:rPr>
        <w:t>s</w:t>
      </w:r>
      <w:r w:rsidRPr="004C28E4">
        <w:rPr>
          <w:rFonts w:eastAsiaTheme="minorHAnsi"/>
          <w:lang w:eastAsia="en-AU"/>
        </w:rPr>
        <w:t xml:space="preserve"> been investigated both on the rind of </w:t>
      </w:r>
      <w:r>
        <w:rPr>
          <w:rFonts w:eastAsiaTheme="minorHAnsi"/>
          <w:lang w:eastAsia="en-AU"/>
        </w:rPr>
        <w:t>postharvest</w:t>
      </w:r>
      <w:r w:rsidRPr="004C28E4">
        <w:rPr>
          <w:rFonts w:eastAsiaTheme="minorHAnsi"/>
          <w:lang w:eastAsia="en-AU"/>
        </w:rPr>
        <w:t xml:space="preserve"> rockmelons</w:t>
      </w:r>
      <w:r>
        <w:rPr>
          <w:rFonts w:eastAsiaTheme="minorHAnsi"/>
          <w:lang w:eastAsia="en-AU"/>
        </w:rPr>
        <w:t xml:space="preserve"> and</w:t>
      </w:r>
      <w:r w:rsidRPr="004C28E4">
        <w:rPr>
          <w:rFonts w:eastAsiaTheme="minorHAnsi"/>
          <w:lang w:eastAsia="en-AU"/>
        </w:rPr>
        <w:t xml:space="preserve"> in the </w:t>
      </w:r>
      <w:r>
        <w:rPr>
          <w:rFonts w:eastAsiaTheme="minorHAnsi"/>
          <w:lang w:eastAsia="en-AU"/>
        </w:rPr>
        <w:t>postharvest</w:t>
      </w:r>
      <w:r w:rsidRPr="004C28E4">
        <w:rPr>
          <w:rFonts w:eastAsiaTheme="minorHAnsi"/>
          <w:lang w:eastAsia="en-AU"/>
        </w:rPr>
        <w:t xml:space="preserve"> environment</w:t>
      </w:r>
      <w:r>
        <w:rPr>
          <w:rFonts w:eastAsiaTheme="minorHAnsi"/>
          <w:lang w:eastAsia="en-AU"/>
        </w:rPr>
        <w:t>, indicating</w:t>
      </w:r>
      <w:r w:rsidRPr="004C28E4">
        <w:rPr>
          <w:rFonts w:eastAsiaTheme="minorHAnsi"/>
          <w:lang w:eastAsia="en-AU"/>
        </w:rPr>
        <w:t xml:space="preserve"> likely pathways of contamination to som</w:t>
      </w:r>
      <w:r>
        <w:rPr>
          <w:rFonts w:eastAsiaTheme="minorHAnsi"/>
          <w:lang w:eastAsia="en-AU"/>
        </w:rPr>
        <w:t xml:space="preserve">e extent with varying results. </w:t>
      </w:r>
      <w:r w:rsidRPr="004C28E4">
        <w:rPr>
          <w:lang w:val="en-AU"/>
        </w:rPr>
        <w:t>In Australia, recent surveys conducted</w:t>
      </w:r>
      <w:r w:rsidRPr="004C28E4">
        <w:rPr>
          <w:rStyle w:val="FootnoteReference"/>
          <w:lang w:val="en-AU"/>
        </w:rPr>
        <w:footnoteReference w:id="21"/>
      </w:r>
      <w:r w:rsidRPr="004C28E4">
        <w:rPr>
          <w:lang w:val="en-AU"/>
        </w:rPr>
        <w:t xml:space="preserve"> in the melon </w:t>
      </w:r>
      <w:r>
        <w:rPr>
          <w:lang w:val="en-AU"/>
        </w:rPr>
        <w:t>postharvest</w:t>
      </w:r>
      <w:r w:rsidRPr="004C28E4">
        <w:rPr>
          <w:lang w:val="en-AU"/>
        </w:rPr>
        <w:t xml:space="preserve"> environment on three farms in NSW detected </w:t>
      </w:r>
      <w:r w:rsidRPr="004C28E4">
        <w:rPr>
          <w:i/>
          <w:lang w:val="en-AU"/>
        </w:rPr>
        <w:t>L. monocytogenes</w:t>
      </w:r>
      <w:r w:rsidRPr="004C28E4">
        <w:rPr>
          <w:lang w:val="en-AU"/>
        </w:rPr>
        <w:t xml:space="preserve"> in one boot swab (1/12)</w:t>
      </w:r>
      <w:r>
        <w:rPr>
          <w:lang w:val="en-AU"/>
        </w:rPr>
        <w:t>. T</w:t>
      </w:r>
      <w:r w:rsidRPr="004C28E4">
        <w:rPr>
          <w:lang w:val="en-AU"/>
        </w:rPr>
        <w:t xml:space="preserve">he bacterium was not detected from conveyor belt, roller, wall, packing table, cleaning equipment, or drain swabs (0/67). </w:t>
      </w:r>
      <w:r w:rsidRPr="004C28E4">
        <w:rPr>
          <w:i/>
          <w:lang w:val="en-AU"/>
        </w:rPr>
        <w:t xml:space="preserve">L. monocytogenes </w:t>
      </w:r>
      <w:r w:rsidRPr="004C28E4">
        <w:rPr>
          <w:lang w:val="en-AU"/>
        </w:rPr>
        <w:t xml:space="preserve">was also not detected in the rinse of 40 unwashed and 148 washed rockmelons </w:t>
      </w:r>
      <w:r w:rsidR="00657FDB">
        <w:rPr>
          <w:lang w:val="en-AU"/>
        </w:rPr>
        <w:t>(NSW DPI 2020)</w:t>
      </w:r>
      <w:r w:rsidRPr="004C28E4">
        <w:rPr>
          <w:lang w:val="en-AU"/>
        </w:rPr>
        <w:t xml:space="preserve">. </w:t>
      </w:r>
    </w:p>
    <w:p w14:paraId="01B0E396" w14:textId="77777777" w:rsidR="0055458D" w:rsidRPr="004C28E4" w:rsidRDefault="0055458D" w:rsidP="0055458D">
      <w:pPr>
        <w:rPr>
          <w:rFonts w:eastAsiaTheme="minorHAnsi" w:cstheme="minorBidi"/>
          <w:i/>
          <w:szCs w:val="22"/>
          <w:lang w:eastAsia="en-AU" w:bidi="ar-SA"/>
        </w:rPr>
      </w:pPr>
    </w:p>
    <w:p w14:paraId="7A17A291" w14:textId="24D6CC2E" w:rsidR="0055458D" w:rsidRPr="004C28E4" w:rsidRDefault="0055458D" w:rsidP="0055458D">
      <w:pPr>
        <w:rPr>
          <w:rFonts w:eastAsiaTheme="minorHAnsi" w:cstheme="minorBidi"/>
          <w:szCs w:val="22"/>
          <w:lang w:eastAsia="en-AU" w:bidi="ar-SA"/>
        </w:rPr>
      </w:pPr>
      <w:r w:rsidRPr="004C28E4">
        <w:rPr>
          <w:rFonts w:eastAsiaTheme="minorHAnsi" w:cstheme="minorBidi"/>
          <w:i/>
          <w:szCs w:val="22"/>
          <w:lang w:eastAsia="en-AU" w:bidi="ar-SA"/>
        </w:rPr>
        <w:t>Salmonella</w:t>
      </w:r>
      <w:r w:rsidRPr="004C28E4">
        <w:rPr>
          <w:rFonts w:eastAsiaTheme="minorHAnsi" w:cstheme="minorBidi"/>
          <w:szCs w:val="22"/>
          <w:lang w:eastAsia="en-AU" w:bidi="ar-SA"/>
        </w:rPr>
        <w:t xml:space="preserve"> </w:t>
      </w:r>
      <w:r>
        <w:rPr>
          <w:rFonts w:eastAsiaTheme="minorHAnsi" w:cstheme="minorBidi"/>
          <w:szCs w:val="22"/>
          <w:lang w:eastAsia="en-AU" w:bidi="ar-SA"/>
        </w:rPr>
        <w:t>spp. were</w:t>
      </w:r>
      <w:r w:rsidRPr="004C28E4">
        <w:rPr>
          <w:rFonts w:eastAsiaTheme="minorHAnsi" w:cstheme="minorBidi"/>
          <w:szCs w:val="22"/>
          <w:lang w:eastAsia="en-AU" w:bidi="ar-SA"/>
        </w:rPr>
        <w:t xml:space="preserve"> isolated by enric</w:t>
      </w:r>
      <w:r>
        <w:rPr>
          <w:rFonts w:eastAsiaTheme="minorHAnsi" w:cstheme="minorBidi"/>
          <w:szCs w:val="22"/>
          <w:lang w:eastAsia="en-AU" w:bidi="ar-SA"/>
        </w:rPr>
        <w:t>hment and culture method from &lt;1</w:t>
      </w:r>
      <w:r w:rsidRPr="004C28E4">
        <w:rPr>
          <w:rFonts w:eastAsiaTheme="minorHAnsi" w:cstheme="minorBidi"/>
          <w:szCs w:val="22"/>
          <w:lang w:eastAsia="en-AU" w:bidi="ar-SA"/>
        </w:rPr>
        <w:t>% of rockmelons sampled before washing (1/150) or after washing (1/150) (by swabbing 100cm</w:t>
      </w:r>
      <w:r w:rsidRPr="004C28E4">
        <w:rPr>
          <w:rFonts w:eastAsiaTheme="minorHAnsi" w:cstheme="minorBidi"/>
          <w:szCs w:val="22"/>
          <w:vertAlign w:val="superscript"/>
          <w:lang w:eastAsia="en-AU" w:bidi="ar-SA"/>
        </w:rPr>
        <w:t>2</w:t>
      </w:r>
      <w:r w:rsidR="00A1728B">
        <w:rPr>
          <w:rFonts w:eastAsiaTheme="minorHAnsi" w:cstheme="minorBidi"/>
          <w:szCs w:val="22"/>
          <w:lang w:eastAsia="en-AU" w:bidi="ar-SA"/>
        </w:rPr>
        <w:t xml:space="preserve"> of rind) on six </w:t>
      </w:r>
      <w:r w:rsidRPr="004C28E4">
        <w:rPr>
          <w:rFonts w:eastAsiaTheme="minorHAnsi" w:cstheme="minorBidi"/>
          <w:szCs w:val="22"/>
          <w:lang w:eastAsia="en-AU" w:bidi="ar-SA"/>
        </w:rPr>
        <w:t xml:space="preserve">US farms </w:t>
      </w:r>
      <w:r w:rsidR="00657FDB">
        <w:rPr>
          <w:rFonts w:eastAsiaTheme="minorHAnsi"/>
          <w:lang w:eastAsia="en-AU"/>
        </w:rPr>
        <w:t>(Castillo et al. 2004)</w:t>
      </w:r>
      <w:r w:rsidRPr="004C28E4">
        <w:rPr>
          <w:rFonts w:eastAsiaTheme="minorHAnsi" w:cstheme="minorBidi"/>
          <w:szCs w:val="22"/>
          <w:lang w:eastAsia="en-AU" w:bidi="ar-SA"/>
        </w:rPr>
        <w:t xml:space="preserve">. </w:t>
      </w:r>
      <w:r w:rsidRPr="004C28E4">
        <w:rPr>
          <w:rFonts w:eastAsiaTheme="minorHAnsi" w:cstheme="minorBidi"/>
          <w:i/>
          <w:szCs w:val="22"/>
          <w:lang w:eastAsia="en-AU" w:bidi="ar-SA"/>
        </w:rPr>
        <w:t xml:space="preserve">Salmonella </w:t>
      </w:r>
      <w:r>
        <w:rPr>
          <w:rFonts w:eastAsiaTheme="minorHAnsi" w:cstheme="minorBidi"/>
          <w:szCs w:val="22"/>
          <w:lang w:eastAsia="en-AU" w:bidi="ar-SA"/>
        </w:rPr>
        <w:t>spp. were</w:t>
      </w:r>
      <w:r w:rsidRPr="004C28E4">
        <w:rPr>
          <w:rFonts w:eastAsiaTheme="minorHAnsi" w:cstheme="minorBidi"/>
          <w:szCs w:val="22"/>
          <w:lang w:eastAsia="en-AU" w:bidi="ar-SA"/>
        </w:rPr>
        <w:t xml:space="preserve"> not isolated from the hands of workers packing and grading rockmelons (0/45), or from conveyor belts in contact with washed melons (0/30), but was isolated from 4% (2/50) of surfaces and 0.8% (2/250) packed rockmelons swabbed in the cool room. In the same study, similar prevalence was also reported for </w:t>
      </w:r>
      <w:r>
        <w:rPr>
          <w:rFonts w:eastAsiaTheme="minorHAnsi" w:cstheme="minorBidi"/>
          <w:szCs w:val="22"/>
          <w:lang w:eastAsia="en-AU" w:bidi="ar-SA"/>
        </w:rPr>
        <w:t>postharvest</w:t>
      </w:r>
      <w:r w:rsidRPr="004C28E4">
        <w:rPr>
          <w:rFonts w:eastAsiaTheme="minorHAnsi" w:cstheme="minorBidi"/>
          <w:szCs w:val="22"/>
          <w:lang w:eastAsia="en-AU" w:bidi="ar-SA"/>
        </w:rPr>
        <w:t xml:space="preserve"> melons and surfaces from Mexican farms and no difference in levels of contamination were observed between the countries. The authors concluded that irrigation water was not the primary source of contamination due to a lack of relatedness between </w:t>
      </w:r>
      <w:r w:rsidRPr="004C28E4">
        <w:rPr>
          <w:rFonts w:eastAsiaTheme="minorHAnsi" w:cstheme="minorBidi"/>
          <w:i/>
          <w:szCs w:val="22"/>
          <w:lang w:eastAsia="en-AU" w:bidi="ar-SA"/>
        </w:rPr>
        <w:t>Salmonella</w:t>
      </w:r>
      <w:r w:rsidRPr="004C28E4">
        <w:rPr>
          <w:rFonts w:eastAsiaTheme="minorHAnsi" w:cstheme="minorBidi"/>
          <w:szCs w:val="22"/>
          <w:lang w:eastAsia="en-AU" w:bidi="ar-SA"/>
        </w:rPr>
        <w:t xml:space="preserve"> isolated from irrigation </w:t>
      </w:r>
      <w:r w:rsidRPr="006855B1">
        <w:rPr>
          <w:rFonts w:eastAsiaTheme="minorHAnsi" w:cstheme="minorBidi"/>
          <w:szCs w:val="22"/>
          <w:lang w:eastAsia="en-AU" w:bidi="ar-SA"/>
        </w:rPr>
        <w:t>samples (see Section 9.6.1.3) and from</w:t>
      </w:r>
      <w:r w:rsidRPr="004C28E4">
        <w:rPr>
          <w:rFonts w:eastAsiaTheme="minorHAnsi" w:cstheme="minorBidi"/>
          <w:szCs w:val="22"/>
          <w:lang w:eastAsia="en-AU" w:bidi="ar-SA"/>
        </w:rPr>
        <w:t xml:space="preserve"> the surface of melons determined by PCR and DNA fingerprinting </w:t>
      </w:r>
      <w:r w:rsidR="00657FDB">
        <w:rPr>
          <w:rFonts w:eastAsiaTheme="minorHAnsi"/>
          <w:lang w:eastAsia="en-AU"/>
        </w:rPr>
        <w:t>(Castillo et al. 2004)</w:t>
      </w:r>
      <w:r w:rsidRPr="004C28E4">
        <w:rPr>
          <w:rFonts w:eastAsiaTheme="minorHAnsi" w:cstheme="minorBidi"/>
          <w:szCs w:val="22"/>
          <w:lang w:eastAsia="en-AU" w:bidi="ar-SA"/>
        </w:rPr>
        <w:t xml:space="preserve">. Furthermore, the isolates from the cool room and on the melons did not show significant relatedness. The authors noted that more extensive studies were required to confirm links between potential sources and contamination of </w:t>
      </w:r>
      <w:r>
        <w:rPr>
          <w:rFonts w:eastAsiaTheme="minorHAnsi" w:cstheme="minorBidi"/>
          <w:szCs w:val="22"/>
          <w:lang w:eastAsia="en-AU" w:bidi="ar-SA"/>
        </w:rPr>
        <w:t>postharvest</w:t>
      </w:r>
      <w:r w:rsidRPr="004C28E4">
        <w:rPr>
          <w:rFonts w:eastAsiaTheme="minorHAnsi" w:cstheme="minorBidi"/>
          <w:szCs w:val="22"/>
          <w:lang w:eastAsia="en-AU" w:bidi="ar-SA"/>
        </w:rPr>
        <w:t xml:space="preserve"> melons. Moreover, the sensitivity of the swabbing method may be less than other sampling methods </w:t>
      </w:r>
      <w:r w:rsidR="00657FDB">
        <w:rPr>
          <w:rFonts w:eastAsiaTheme="minorHAnsi"/>
          <w:lang w:eastAsia="en-AU"/>
        </w:rPr>
        <w:t>(Espinoza-Medina et al. 2006)</w:t>
      </w:r>
      <w:r w:rsidRPr="004C28E4">
        <w:rPr>
          <w:rFonts w:eastAsiaTheme="minorHAnsi" w:cstheme="minorBidi"/>
          <w:szCs w:val="22"/>
          <w:lang w:eastAsia="en-AU" w:bidi="ar-SA"/>
        </w:rPr>
        <w:t>.</w:t>
      </w:r>
    </w:p>
    <w:p w14:paraId="77C493E7" w14:textId="77777777" w:rsidR="0055458D" w:rsidRPr="004C28E4" w:rsidRDefault="0055458D" w:rsidP="0055458D">
      <w:pPr>
        <w:rPr>
          <w:rFonts w:eastAsiaTheme="minorHAnsi" w:cstheme="minorBidi"/>
          <w:szCs w:val="22"/>
          <w:lang w:eastAsia="en-AU" w:bidi="ar-SA"/>
        </w:rPr>
      </w:pPr>
    </w:p>
    <w:p w14:paraId="4B6B062B" w14:textId="2BBA09AE" w:rsidR="0055458D" w:rsidRPr="004C28E4" w:rsidRDefault="0055458D" w:rsidP="0055458D">
      <w:pPr>
        <w:rPr>
          <w:rFonts w:eastAsiaTheme="minorHAnsi" w:cstheme="minorBidi"/>
          <w:szCs w:val="22"/>
          <w:lang w:eastAsia="en-AU" w:bidi="ar-SA"/>
        </w:rPr>
      </w:pPr>
      <w:r>
        <w:rPr>
          <w:rFonts w:eastAsiaTheme="minorHAnsi" w:cstheme="minorBidi"/>
          <w:szCs w:val="22"/>
          <w:lang w:eastAsia="en-AU" w:bidi="ar-SA"/>
        </w:rPr>
        <w:t xml:space="preserve">Duffy et al. </w:t>
      </w:r>
      <w:r w:rsidR="00657FDB">
        <w:rPr>
          <w:rFonts w:eastAsiaTheme="minorHAnsi" w:cstheme="minorBidi"/>
          <w:szCs w:val="22"/>
          <w:lang w:eastAsia="en-AU" w:bidi="ar-SA"/>
        </w:rPr>
        <w:t>(2005a)</w:t>
      </w:r>
      <w:r>
        <w:rPr>
          <w:rFonts w:eastAsiaTheme="minorHAnsi" w:cstheme="minorBidi"/>
          <w:szCs w:val="22"/>
          <w:lang w:eastAsia="en-AU" w:bidi="ar-SA"/>
        </w:rPr>
        <w:t xml:space="preserve"> </w:t>
      </w:r>
      <w:r w:rsidRPr="004C28E4">
        <w:rPr>
          <w:rFonts w:eastAsiaTheme="minorHAnsi" w:cstheme="minorBidi"/>
          <w:szCs w:val="22"/>
          <w:lang w:eastAsia="en-AU" w:bidi="ar-SA"/>
        </w:rPr>
        <w:t xml:space="preserve">recovered </w:t>
      </w:r>
      <w:r w:rsidRPr="004C28E4">
        <w:rPr>
          <w:rFonts w:eastAsiaTheme="minorHAnsi" w:cstheme="minorBidi"/>
          <w:i/>
          <w:szCs w:val="22"/>
          <w:lang w:eastAsia="en-AU" w:bidi="ar-SA"/>
        </w:rPr>
        <w:t>Salmonella</w:t>
      </w:r>
      <w:r w:rsidRPr="004C28E4">
        <w:rPr>
          <w:rFonts w:eastAsiaTheme="minorHAnsi" w:cstheme="minorBidi"/>
          <w:szCs w:val="22"/>
          <w:lang w:eastAsia="en-AU" w:bidi="ar-SA"/>
        </w:rPr>
        <w:t xml:space="preserve"> </w:t>
      </w:r>
      <w:r>
        <w:rPr>
          <w:rFonts w:eastAsiaTheme="minorHAnsi" w:cstheme="minorBidi"/>
          <w:szCs w:val="22"/>
          <w:lang w:eastAsia="en-AU" w:bidi="ar-SA"/>
        </w:rPr>
        <w:t xml:space="preserve">spp. </w:t>
      </w:r>
      <w:r w:rsidRPr="004C28E4">
        <w:rPr>
          <w:rFonts w:eastAsiaTheme="minorHAnsi" w:cstheme="minorBidi"/>
          <w:szCs w:val="22"/>
          <w:lang w:eastAsia="en-AU" w:bidi="ar-SA"/>
        </w:rPr>
        <w:t xml:space="preserve">from 3% (3/100) rockmelons following washing and not from melons in the field (0/100) or other environmental samples, and suggested that contamination occurred </w:t>
      </w:r>
      <w:r>
        <w:rPr>
          <w:rFonts w:eastAsiaTheme="minorHAnsi" w:cstheme="minorBidi"/>
          <w:szCs w:val="22"/>
          <w:lang w:eastAsia="en-AU" w:bidi="ar-SA"/>
        </w:rPr>
        <w:t>postharvest</w:t>
      </w:r>
      <w:r w:rsidRPr="004C28E4">
        <w:rPr>
          <w:rFonts w:eastAsiaTheme="minorHAnsi" w:cstheme="minorBidi"/>
          <w:szCs w:val="22"/>
          <w:lang w:eastAsia="en-AU" w:bidi="ar-SA"/>
        </w:rPr>
        <w:t xml:space="preserve"> or that washing may have reduced attachment of </w:t>
      </w:r>
      <w:r w:rsidRPr="004C28E4">
        <w:rPr>
          <w:rFonts w:eastAsiaTheme="minorHAnsi" w:cstheme="minorBidi"/>
          <w:i/>
          <w:szCs w:val="22"/>
          <w:lang w:eastAsia="en-AU" w:bidi="ar-SA"/>
        </w:rPr>
        <w:t>Salmonella</w:t>
      </w:r>
      <w:r w:rsidRPr="004C28E4">
        <w:rPr>
          <w:rFonts w:eastAsiaTheme="minorHAnsi" w:cstheme="minorBidi"/>
          <w:szCs w:val="22"/>
          <w:lang w:eastAsia="en-AU" w:bidi="ar-SA"/>
        </w:rPr>
        <w:t xml:space="preserve"> </w:t>
      </w:r>
      <w:r>
        <w:rPr>
          <w:rFonts w:eastAsiaTheme="minorHAnsi" w:cstheme="minorBidi"/>
          <w:szCs w:val="22"/>
          <w:lang w:eastAsia="en-AU" w:bidi="ar-SA"/>
        </w:rPr>
        <w:t xml:space="preserve">spp. </w:t>
      </w:r>
      <w:r w:rsidRPr="004C28E4">
        <w:rPr>
          <w:rFonts w:eastAsiaTheme="minorHAnsi" w:cstheme="minorBidi"/>
          <w:szCs w:val="22"/>
          <w:lang w:eastAsia="en-AU" w:bidi="ar-SA"/>
        </w:rPr>
        <w:t xml:space="preserve">present in the field and resulted in easier identification by the surface swab method used. </w:t>
      </w:r>
      <w:r w:rsidRPr="004C28E4">
        <w:rPr>
          <w:lang w:val="en-AU"/>
        </w:rPr>
        <w:t xml:space="preserve">Similarly, 3.3% (3/90) </w:t>
      </w:r>
      <w:r w:rsidR="00657FDB">
        <w:rPr>
          <w:lang w:val="en-AU"/>
        </w:rPr>
        <w:t>(Johnston et al. 2005a)</w:t>
      </w:r>
      <w:r w:rsidR="00A1728B">
        <w:rPr>
          <w:lang w:val="en-AU"/>
        </w:rPr>
        <w:t>, and 0/26 </w:t>
      </w:r>
      <w:r w:rsidR="00657FDB">
        <w:rPr>
          <w:lang w:val="en-AU"/>
        </w:rPr>
        <w:t>(Johnston et al. 2006)</w:t>
      </w:r>
      <w:r w:rsidRPr="004C28E4">
        <w:rPr>
          <w:lang w:val="en-AU"/>
        </w:rPr>
        <w:t xml:space="preserve"> of rockmelons (25g rind/flesh) sampled from the </w:t>
      </w:r>
      <w:r>
        <w:rPr>
          <w:lang w:val="en-AU"/>
        </w:rPr>
        <w:t>postharvest</w:t>
      </w:r>
      <w:r w:rsidRPr="004C28E4">
        <w:rPr>
          <w:lang w:val="en-AU"/>
        </w:rPr>
        <w:t xml:space="preserve"> environment were positive for</w:t>
      </w:r>
      <w:r w:rsidRPr="004C28E4">
        <w:rPr>
          <w:i/>
          <w:lang w:val="en-AU"/>
        </w:rPr>
        <w:t xml:space="preserve"> Salmonella</w:t>
      </w:r>
      <w:r w:rsidRPr="004C28E4">
        <w:rPr>
          <w:lang w:val="en-AU"/>
        </w:rPr>
        <w:t xml:space="preserve"> </w:t>
      </w:r>
      <w:r>
        <w:rPr>
          <w:lang w:val="en-AU"/>
        </w:rPr>
        <w:t xml:space="preserve">spp. </w:t>
      </w:r>
      <w:r w:rsidRPr="004C28E4">
        <w:rPr>
          <w:lang w:val="en-AU"/>
        </w:rPr>
        <w:t xml:space="preserve">by enrichment and culture methods of </w:t>
      </w:r>
      <w:r w:rsidRPr="004C28E4">
        <w:rPr>
          <w:i/>
          <w:lang w:val="en-AU"/>
        </w:rPr>
        <w:t xml:space="preserve">Salmonella </w:t>
      </w:r>
      <w:r w:rsidRPr="00751D3F">
        <w:rPr>
          <w:lang w:val="en-AU"/>
        </w:rPr>
        <w:t>spp</w:t>
      </w:r>
      <w:r>
        <w:rPr>
          <w:i/>
          <w:lang w:val="en-AU"/>
        </w:rPr>
        <w:t xml:space="preserve">. </w:t>
      </w:r>
      <w:r>
        <w:rPr>
          <w:lang w:val="en-AU"/>
        </w:rPr>
        <w:t>in the US.</w:t>
      </w:r>
    </w:p>
    <w:p w14:paraId="63D88632" w14:textId="77777777" w:rsidR="0055458D" w:rsidRPr="004C28E4" w:rsidRDefault="0055458D" w:rsidP="0055458D">
      <w:pPr>
        <w:rPr>
          <w:lang w:val="en-AU" w:bidi="ar-SA"/>
        </w:rPr>
      </w:pPr>
    </w:p>
    <w:p w14:paraId="04A11F8F" w14:textId="0EE8FDF3" w:rsidR="0055458D" w:rsidRPr="004C28E4" w:rsidRDefault="0055458D" w:rsidP="0055458D">
      <w:pPr>
        <w:rPr>
          <w:lang w:val="en-AU" w:eastAsia="en-AU"/>
        </w:rPr>
      </w:pPr>
      <w:r w:rsidRPr="004C28E4">
        <w:rPr>
          <w:lang w:eastAsia="en-AU"/>
        </w:rPr>
        <w:t xml:space="preserve">Due to the low prevalence generally reported for </w:t>
      </w:r>
      <w:r w:rsidRPr="004C28E4">
        <w:rPr>
          <w:i/>
          <w:lang w:eastAsia="en-AU"/>
        </w:rPr>
        <w:t>L. monocytogenes</w:t>
      </w:r>
      <w:r w:rsidRPr="004C28E4">
        <w:rPr>
          <w:lang w:eastAsia="en-AU"/>
        </w:rPr>
        <w:t xml:space="preserve"> there is little data on the pathways of contamination, but positive detections are more often reported in the post-processing environment. </w:t>
      </w:r>
      <w:r w:rsidRPr="004C28E4">
        <w:rPr>
          <w:i/>
          <w:lang w:eastAsia="en-AU"/>
        </w:rPr>
        <w:t xml:space="preserve">L. monocytogenes </w:t>
      </w:r>
      <w:r w:rsidRPr="004C28E4">
        <w:rPr>
          <w:lang w:eastAsia="en-AU"/>
        </w:rPr>
        <w:t xml:space="preserve">was not isolated from rockmelons sampled </w:t>
      </w:r>
      <w:r w:rsidRPr="004C28E4">
        <w:rPr>
          <w:lang w:val="en-AU" w:eastAsia="en-AU"/>
        </w:rPr>
        <w:t xml:space="preserve">immediately after washing (0/3), immediately after rinsing (0/3), from the conveyor belt after rinsing (0/18), or from the box before distribution (0/18) on US farms and packing sheds </w:t>
      </w:r>
      <w:r w:rsidR="00657FDB">
        <w:rPr>
          <w:lang w:val="en-AU" w:eastAsia="en-AU"/>
        </w:rPr>
        <w:t>(Johnston et al. 2005a)</w:t>
      </w:r>
      <w:r w:rsidRPr="004C28E4">
        <w:rPr>
          <w:lang w:val="en-AU" w:eastAsia="en-AU"/>
        </w:rPr>
        <w:t xml:space="preserve">. Similarly, no positive samples were reported for </w:t>
      </w:r>
      <w:r w:rsidRPr="004C28E4">
        <w:rPr>
          <w:lang w:eastAsia="en-AU"/>
        </w:rPr>
        <w:t xml:space="preserve">rockmelons sampled </w:t>
      </w:r>
      <w:r w:rsidRPr="004C28E4">
        <w:rPr>
          <w:lang w:val="en-AU" w:eastAsia="en-AU"/>
        </w:rPr>
        <w:t xml:space="preserve">from conveyor belt after washing or the wash tank (0/36), or from the box before distribution (0/6) </w:t>
      </w:r>
      <w:r w:rsidR="00657FDB">
        <w:rPr>
          <w:lang w:val="en-AU" w:eastAsia="en-AU"/>
        </w:rPr>
        <w:t>(Johnston et al. 2005a; Johnston et al. 2006)</w:t>
      </w:r>
      <w:r>
        <w:rPr>
          <w:lang w:eastAsia="en-AU"/>
        </w:rPr>
        <w:t>.</w:t>
      </w:r>
      <w:r w:rsidRPr="004C28E4">
        <w:rPr>
          <w:lang w:val="en-AU" w:eastAsia="en-AU"/>
        </w:rPr>
        <w:t xml:space="preserve"> Sampling undertaken by the US FDA at 17 commercial rockmelon producers and/or packers i</w:t>
      </w:r>
      <w:r w:rsidR="00A1728B">
        <w:rPr>
          <w:lang w:val="en-AU" w:eastAsia="en-AU"/>
        </w:rPr>
        <w:t>n the US identified eight </w:t>
      </w:r>
      <w:r>
        <w:rPr>
          <w:lang w:val="en-AU" w:eastAsia="en-AU"/>
        </w:rPr>
        <w:t xml:space="preserve">sites which </w:t>
      </w:r>
      <w:r w:rsidRPr="004C28E4">
        <w:rPr>
          <w:lang w:val="en-AU" w:eastAsia="en-AU"/>
        </w:rPr>
        <w:t xml:space="preserve">were negative for </w:t>
      </w:r>
      <w:r w:rsidRPr="004C28E4">
        <w:rPr>
          <w:i/>
          <w:lang w:val="en-AU" w:eastAsia="en-AU"/>
        </w:rPr>
        <w:t>Listeria</w:t>
      </w:r>
      <w:r w:rsidRPr="004C28E4">
        <w:rPr>
          <w:lang w:val="en-AU" w:eastAsia="en-AU"/>
        </w:rPr>
        <w:t xml:space="preserve"> spp. on produce and environmental samples, and eight sites </w:t>
      </w:r>
      <w:r>
        <w:rPr>
          <w:lang w:val="en-AU" w:eastAsia="en-AU"/>
        </w:rPr>
        <w:t xml:space="preserve">where </w:t>
      </w:r>
      <w:r w:rsidRPr="004C28E4">
        <w:rPr>
          <w:lang w:val="en-AU" w:eastAsia="en-AU"/>
        </w:rPr>
        <w:t xml:space="preserve">produce and environmental samples were positive for </w:t>
      </w:r>
      <w:r w:rsidRPr="004C28E4">
        <w:rPr>
          <w:i/>
          <w:lang w:val="en-AU" w:eastAsia="en-AU"/>
        </w:rPr>
        <w:t>Listeria</w:t>
      </w:r>
      <w:r>
        <w:rPr>
          <w:lang w:val="en-AU" w:eastAsia="en-AU"/>
        </w:rPr>
        <w:t xml:space="preserve"> spp.</w:t>
      </w:r>
      <w:r w:rsidRPr="004C28E4">
        <w:rPr>
          <w:lang w:val="en-AU" w:eastAsia="en-AU"/>
        </w:rPr>
        <w:t xml:space="preserve"> One site returned two positive samples for </w:t>
      </w:r>
      <w:r w:rsidRPr="004C28E4">
        <w:rPr>
          <w:i/>
          <w:lang w:val="en-AU" w:eastAsia="en-AU"/>
        </w:rPr>
        <w:t xml:space="preserve">L. monocytogenes </w:t>
      </w:r>
      <w:r w:rsidRPr="004C28E4">
        <w:rPr>
          <w:lang w:val="en-AU" w:eastAsia="en-AU"/>
        </w:rPr>
        <w:t xml:space="preserve">from conveyor belts </w:t>
      </w:r>
      <w:r w:rsidR="00657FDB">
        <w:rPr>
          <w:lang w:val="en-AU" w:eastAsia="en-AU"/>
        </w:rPr>
        <w:t>(FDA 2015)</w:t>
      </w:r>
      <w:r w:rsidRPr="004C28E4">
        <w:rPr>
          <w:lang w:val="en-AU" w:eastAsia="en-AU"/>
        </w:rPr>
        <w:t xml:space="preserve">. </w:t>
      </w:r>
    </w:p>
    <w:p w14:paraId="344459F0" w14:textId="77777777" w:rsidR="0055458D" w:rsidRPr="004C28E4" w:rsidRDefault="0055458D" w:rsidP="0055458D">
      <w:pPr>
        <w:rPr>
          <w:lang w:val="en-AU" w:eastAsia="en-AU"/>
        </w:rPr>
      </w:pPr>
    </w:p>
    <w:p w14:paraId="3D3B0D60" w14:textId="5EDC9254" w:rsidR="0055458D" w:rsidRPr="004C28E4" w:rsidRDefault="0055458D" w:rsidP="0055458D">
      <w:pPr>
        <w:rPr>
          <w:lang w:eastAsia="en-AU"/>
        </w:rPr>
      </w:pPr>
      <w:r w:rsidRPr="004C28E4">
        <w:rPr>
          <w:lang w:val="en-AU"/>
        </w:rPr>
        <w:t xml:space="preserve">Due to the generally low prevalence of pathogens on fresh produce, microbial indicators have been used to determine if microbial </w:t>
      </w:r>
      <w:r>
        <w:rPr>
          <w:lang w:val="en-AU"/>
        </w:rPr>
        <w:t>postharvest</w:t>
      </w:r>
      <w:r w:rsidRPr="004C28E4">
        <w:rPr>
          <w:lang w:val="en-AU"/>
        </w:rPr>
        <w:t xml:space="preserve"> contamination is influenced by product type or production step</w:t>
      </w:r>
      <w:r>
        <w:rPr>
          <w:lang w:val="en-AU"/>
        </w:rPr>
        <w:t>. R</w:t>
      </w:r>
      <w:r w:rsidRPr="004C28E4">
        <w:rPr>
          <w:lang w:val="en-AU"/>
        </w:rPr>
        <w:t>esearch indicates that rockmelons support higher microbial loads than other produce, and microbial loads increase from the field to packing</w:t>
      </w:r>
      <w:r>
        <w:rPr>
          <w:lang w:val="en-AU"/>
        </w:rPr>
        <w:t xml:space="preserve"> shed</w:t>
      </w:r>
      <w:r w:rsidRPr="004C28E4">
        <w:rPr>
          <w:lang w:val="en-AU"/>
        </w:rPr>
        <w:t xml:space="preserve">. For example, </w:t>
      </w:r>
      <w:r w:rsidR="00657FDB">
        <w:rPr>
          <w:lang w:val="en-AU"/>
        </w:rPr>
        <w:t>Duffy et al.</w:t>
      </w:r>
      <w:r w:rsidRPr="004C28E4">
        <w:rPr>
          <w:lang w:val="en-AU"/>
        </w:rPr>
        <w:t xml:space="preserve"> </w:t>
      </w:r>
      <w:r w:rsidR="00657FDB">
        <w:rPr>
          <w:lang w:val="en-AU"/>
        </w:rPr>
        <w:t>(2005b)</w:t>
      </w:r>
      <w:r w:rsidRPr="004C28E4">
        <w:rPr>
          <w:lang w:val="en-AU"/>
        </w:rPr>
        <w:t xml:space="preserve"> </w:t>
      </w:r>
      <w:r w:rsidRPr="004C28E4">
        <w:rPr>
          <w:rFonts w:eastAsiaTheme="minorHAnsi" w:cstheme="minorBidi"/>
          <w:szCs w:val="22"/>
          <w:lang w:eastAsia="en-AU" w:bidi="ar-SA"/>
        </w:rPr>
        <w:t xml:space="preserve">demonstrated that </w:t>
      </w:r>
      <w:r w:rsidRPr="004C28E4">
        <w:rPr>
          <w:rFonts w:eastAsiaTheme="minorHAnsi" w:cstheme="minorBidi"/>
          <w:i/>
          <w:szCs w:val="22"/>
          <w:lang w:eastAsia="en-AU" w:bidi="ar-SA"/>
        </w:rPr>
        <w:t>E. coli</w:t>
      </w:r>
      <w:r w:rsidRPr="004C28E4">
        <w:rPr>
          <w:rFonts w:eastAsiaTheme="minorHAnsi" w:cstheme="minorBidi"/>
          <w:szCs w:val="22"/>
          <w:lang w:eastAsia="en-AU" w:bidi="ar-SA"/>
        </w:rPr>
        <w:t xml:space="preserve"> was isolated more frequently from rockmelons (13%) sampled in the field when compared to oranges (0%) and parsley (1%). </w:t>
      </w:r>
      <w:r>
        <w:rPr>
          <w:rFonts w:eastAsiaTheme="minorHAnsi" w:cstheme="minorBidi"/>
          <w:i/>
          <w:szCs w:val="22"/>
          <w:lang w:eastAsia="en-AU" w:bidi="ar-SA"/>
        </w:rPr>
        <w:t>E. </w:t>
      </w:r>
      <w:r w:rsidRPr="004C28E4">
        <w:rPr>
          <w:rFonts w:eastAsiaTheme="minorHAnsi" w:cstheme="minorBidi"/>
          <w:i/>
          <w:szCs w:val="22"/>
          <w:lang w:eastAsia="en-AU" w:bidi="ar-SA"/>
        </w:rPr>
        <w:t>coli</w:t>
      </w:r>
      <w:r w:rsidRPr="004C28E4">
        <w:rPr>
          <w:rFonts w:eastAsiaTheme="minorHAnsi" w:cstheme="minorBidi"/>
          <w:szCs w:val="22"/>
          <w:lang w:eastAsia="en-AU" w:bidi="ar-SA"/>
        </w:rPr>
        <w:t xml:space="preserve"> was also more frequently isolated in the packing shed after sorting and washing for all produce, but was always more prevalent on rockmelons. </w:t>
      </w:r>
      <w:r w:rsidRPr="004C28E4">
        <w:rPr>
          <w:lang w:val="en-AU" w:eastAsia="en-AU"/>
        </w:rPr>
        <w:t xml:space="preserve">Indicator levels were shown to increase significantly from the field through to packing on rockmelons while they remained relatively constant for cilantro and parsley. </w:t>
      </w:r>
      <w:r w:rsidR="00531D32">
        <w:rPr>
          <w:lang w:val="en-AU" w:eastAsia="en-AU"/>
        </w:rPr>
        <w:t>S</w:t>
      </w:r>
      <w:r w:rsidRPr="004C28E4">
        <w:rPr>
          <w:lang w:eastAsia="en-AU"/>
        </w:rPr>
        <w:t xml:space="preserve">imilar results were also obtained in a later study showing increases in microbial levels during packing of rockmelons </w:t>
      </w:r>
      <w:r w:rsidR="00657FDB">
        <w:rPr>
          <w:lang w:eastAsia="en-AU"/>
        </w:rPr>
        <w:t>(Johnston et al. 2006)</w:t>
      </w:r>
      <w:r w:rsidRPr="004C28E4">
        <w:rPr>
          <w:lang w:eastAsia="en-AU"/>
        </w:rPr>
        <w:t xml:space="preserve">. A more recent study also determined that general indicator levels and prevalence increased from the field to the packing facility, and that the levels were similar for jalapenos and tomatoes but higher for rockmelons </w:t>
      </w:r>
      <w:r w:rsidR="00657FDB">
        <w:rPr>
          <w:lang w:eastAsia="en-AU"/>
        </w:rPr>
        <w:t>(Heredia et al. 2016)</w:t>
      </w:r>
      <w:r w:rsidRPr="004C28E4">
        <w:rPr>
          <w:lang w:eastAsia="en-AU"/>
        </w:rPr>
        <w:t xml:space="preserve">. As with other studies, the authors attributed these differences to the intrinsic characteristics of rockmelons having a rough netted rind that may facilitate bacterial attachment in comparison to the smooth waxy cuticle of tomatoes and jalapenos that may impede attachment </w:t>
      </w:r>
      <w:r w:rsidR="00657FDB">
        <w:rPr>
          <w:lang w:val="en-AU" w:eastAsia="en-AU"/>
        </w:rPr>
        <w:t>(Johnston et al. 2005a)</w:t>
      </w:r>
      <w:r w:rsidRPr="004C28E4">
        <w:rPr>
          <w:lang w:eastAsia="en-AU"/>
        </w:rPr>
        <w:t xml:space="preserve">. </w:t>
      </w:r>
    </w:p>
    <w:p w14:paraId="5E137D57" w14:textId="015A6D23" w:rsidR="0055458D" w:rsidRPr="004C28E4" w:rsidRDefault="0055458D" w:rsidP="0055458D">
      <w:pPr>
        <w:rPr>
          <w:lang w:val="en-AU"/>
        </w:rPr>
      </w:pPr>
      <w:r w:rsidRPr="004C28E4">
        <w:rPr>
          <w:lang w:val="en-AU"/>
        </w:rPr>
        <w:t xml:space="preserve">Experimental evidence has shown that if </w:t>
      </w:r>
      <w:r w:rsidRPr="004C28E4">
        <w:rPr>
          <w:i/>
          <w:lang w:val="en-AU"/>
        </w:rPr>
        <w:t xml:space="preserve">L. monocytogenes </w:t>
      </w:r>
      <w:r w:rsidRPr="004C28E4">
        <w:rPr>
          <w:lang w:val="en-AU"/>
        </w:rPr>
        <w:t xml:space="preserve">or </w:t>
      </w:r>
      <w:r w:rsidRPr="004C28E4">
        <w:rPr>
          <w:i/>
          <w:lang w:val="en-AU"/>
        </w:rPr>
        <w:t>Salmonella</w:t>
      </w:r>
      <w:r w:rsidRPr="004C28E4">
        <w:rPr>
          <w:lang w:val="en-AU"/>
        </w:rPr>
        <w:t xml:space="preserve"> </w:t>
      </w:r>
      <w:r>
        <w:rPr>
          <w:lang w:val="en-AU"/>
        </w:rPr>
        <w:t xml:space="preserve">spp. </w:t>
      </w:r>
      <w:r w:rsidRPr="004C28E4">
        <w:rPr>
          <w:lang w:val="en-AU"/>
        </w:rPr>
        <w:t xml:space="preserve">enters the packing environment it is able to persist on </w:t>
      </w:r>
      <w:r>
        <w:rPr>
          <w:lang w:val="en-AU"/>
        </w:rPr>
        <w:t>postharvest</w:t>
      </w:r>
      <w:r w:rsidRPr="004C28E4">
        <w:rPr>
          <w:lang w:val="en-AU"/>
        </w:rPr>
        <w:t xml:space="preserve"> processing materials and persistence is promoted on soiled materials. Commercially available materials including roller conveyors (polyvinyl chloride), conveyor belts (polyvinyl chloride, polyurethane and nitrile rubber), and brush filaments (nylon and polyethylene) support attachment of </w:t>
      </w:r>
      <w:r w:rsidRPr="004C28E4">
        <w:rPr>
          <w:i/>
          <w:lang w:val="en-AU"/>
        </w:rPr>
        <w:t>L. monocytogenes</w:t>
      </w:r>
      <w:r w:rsidRPr="004C28E4">
        <w:rPr>
          <w:lang w:val="en-AU"/>
        </w:rPr>
        <w:t xml:space="preserve">, but higher attachment was observed for </w:t>
      </w:r>
      <w:r>
        <w:rPr>
          <w:lang w:val="en-AU"/>
        </w:rPr>
        <w:t>nylon (3.4</w:t>
      </w:r>
      <w:r w:rsidRPr="004C28E4">
        <w:rPr>
          <w:lang w:val="en-AU"/>
        </w:rPr>
        <w:t>-4.4 Log CFU/cm</w:t>
      </w:r>
      <w:r w:rsidRPr="004C28E4">
        <w:rPr>
          <w:vertAlign w:val="superscript"/>
          <w:lang w:val="en-AU"/>
        </w:rPr>
        <w:t xml:space="preserve">2 </w:t>
      </w:r>
      <w:r w:rsidRPr="004C28E4">
        <w:rPr>
          <w:lang w:val="en-AU"/>
        </w:rPr>
        <w:t>respectively) and polyethylene (4.0 Log CFU/cm</w:t>
      </w:r>
      <w:r w:rsidRPr="004C28E4">
        <w:rPr>
          <w:vertAlign w:val="superscript"/>
          <w:lang w:val="en-AU"/>
        </w:rPr>
        <w:t>2</w:t>
      </w:r>
      <w:r w:rsidRPr="004C28E4">
        <w:rPr>
          <w:lang w:val="en-AU"/>
        </w:rPr>
        <w:t xml:space="preserve">) brushes. All materials soiled with rockmelon flesh/rind extract supported the persistence of </w:t>
      </w:r>
      <w:r w:rsidRPr="004C28E4">
        <w:rPr>
          <w:i/>
          <w:lang w:val="en-AU"/>
        </w:rPr>
        <w:t xml:space="preserve">L. monocytogenes </w:t>
      </w:r>
      <w:r w:rsidRPr="004C28E4">
        <w:rPr>
          <w:lang w:val="en-AU"/>
        </w:rPr>
        <w:t>at relatively constant concentrations throughout the 14 day trial but clean materials decreased from 4.5 Log CFU/mL to below the level of detection by day 10 (polyvinyl chloride and polyure</w:t>
      </w:r>
      <w:r w:rsidR="00A1728B">
        <w:rPr>
          <w:lang w:val="en-AU"/>
        </w:rPr>
        <w:t>thane conveyor belt), and day 5 </w:t>
      </w:r>
      <w:r w:rsidRPr="004C28E4">
        <w:rPr>
          <w:lang w:val="en-AU"/>
        </w:rPr>
        <w:t xml:space="preserve">(rubber nitrile conveyor belt). </w:t>
      </w:r>
      <w:r w:rsidRPr="004C28E4">
        <w:rPr>
          <w:i/>
          <w:lang w:val="en-AU"/>
        </w:rPr>
        <w:t>L. monocytogenes</w:t>
      </w:r>
      <w:r w:rsidRPr="004C28E4">
        <w:rPr>
          <w:lang w:val="en-AU"/>
        </w:rPr>
        <w:t xml:space="preserve"> declined but not to below the level of detection by day 14 on clean nylon brushes and foam padding. The type of contaminated surface also significantly affected the probability that a melon would be contaminated. The percentage of melons contaminated by rolling across conveyor belt material of polyvinyl chloride (52%), polyurethane (43%), and rubber nitrite (49%) was significantly lower than foam pads (78%) inoculated with 2.5 Log CFU/mL </w:t>
      </w:r>
      <w:r w:rsidRPr="004C28E4">
        <w:rPr>
          <w:i/>
          <w:lang w:val="en-AU"/>
        </w:rPr>
        <w:t xml:space="preserve">L. monocytogenes </w:t>
      </w:r>
      <w:r w:rsidR="00657FDB" w:rsidRPr="00657FDB">
        <w:rPr>
          <w:lang w:val="en-AU"/>
        </w:rPr>
        <w:t>(Nyarko et al. 2018)</w:t>
      </w:r>
      <w:r w:rsidRPr="004C28E4">
        <w:rPr>
          <w:lang w:val="en-AU"/>
        </w:rPr>
        <w:t xml:space="preserve">. Similarly, experimental evidence has demonstrated that </w:t>
      </w:r>
      <w:r w:rsidRPr="004C28E4">
        <w:rPr>
          <w:i/>
          <w:lang w:val="en-AU"/>
        </w:rPr>
        <w:t>Salmonella</w:t>
      </w:r>
      <w:r w:rsidRPr="004C28E4">
        <w:rPr>
          <w:lang w:val="en-AU"/>
        </w:rPr>
        <w:t xml:space="preserve"> </w:t>
      </w:r>
      <w:r>
        <w:rPr>
          <w:lang w:val="en-AU"/>
        </w:rPr>
        <w:t xml:space="preserve">spp. </w:t>
      </w:r>
      <w:r w:rsidRPr="004C28E4">
        <w:rPr>
          <w:lang w:val="en-AU"/>
        </w:rPr>
        <w:t>and</w:t>
      </w:r>
      <w:r w:rsidRPr="004C28E4">
        <w:rPr>
          <w:i/>
          <w:lang w:val="en-AU"/>
        </w:rPr>
        <w:t xml:space="preserve"> </w:t>
      </w:r>
      <w:r>
        <w:rPr>
          <w:i/>
          <w:lang w:val="en-AU"/>
        </w:rPr>
        <w:t>L. </w:t>
      </w:r>
      <w:r w:rsidRPr="004C28E4">
        <w:rPr>
          <w:i/>
          <w:lang w:val="en-AU"/>
        </w:rPr>
        <w:t xml:space="preserve">monocytogenes </w:t>
      </w:r>
      <w:r w:rsidRPr="004C28E4">
        <w:rPr>
          <w:lang w:val="en-AU"/>
        </w:rPr>
        <w:t>can persist in the environment and form biofilms on a variety of food contact surfaces relevant to the Australian industry in the presence</w:t>
      </w:r>
      <w:r>
        <w:rPr>
          <w:lang w:val="en-AU"/>
        </w:rPr>
        <w:t xml:space="preserve"> of low concentrations of both rockmelon</w:t>
      </w:r>
      <w:r w:rsidRPr="004C28E4">
        <w:rPr>
          <w:lang w:val="en-AU"/>
        </w:rPr>
        <w:t xml:space="preserve"> peel and flesh extracts </w:t>
      </w:r>
      <w:r w:rsidR="00657FDB">
        <w:rPr>
          <w:lang w:val="en-AU"/>
        </w:rPr>
        <w:t>(Abeysundara et al. 2017; Abeysundara et al. 2018)</w:t>
      </w:r>
      <w:r w:rsidRPr="004C28E4">
        <w:rPr>
          <w:lang w:val="en-AU"/>
        </w:rPr>
        <w:t xml:space="preserve">. </w:t>
      </w:r>
    </w:p>
    <w:p w14:paraId="2CBC5F07" w14:textId="77777777" w:rsidR="0055458D" w:rsidRPr="004C28E4" w:rsidRDefault="0055458D" w:rsidP="0055458D">
      <w:pPr>
        <w:rPr>
          <w:lang w:val="en-AU"/>
        </w:rPr>
      </w:pPr>
    </w:p>
    <w:p w14:paraId="51966303" w14:textId="2C955A77" w:rsidR="0055458D" w:rsidRDefault="0055458D" w:rsidP="0055458D">
      <w:r w:rsidRPr="004C28E4">
        <w:rPr>
          <w:lang w:val="en-AU"/>
        </w:rPr>
        <w:t xml:space="preserve">As reviewed previously by FSANZ, poor sanitary conditions of the </w:t>
      </w:r>
      <w:r>
        <w:rPr>
          <w:lang w:val="en-AU"/>
        </w:rPr>
        <w:t>postharvest</w:t>
      </w:r>
      <w:r w:rsidRPr="004C28E4">
        <w:rPr>
          <w:lang w:val="en-AU"/>
        </w:rPr>
        <w:t xml:space="preserve"> environment were identified during investigation of melon associated outbreaks including the </w:t>
      </w:r>
      <w:r w:rsidRPr="004C28E4">
        <w:t xml:space="preserve">2016 Australian </w:t>
      </w:r>
      <w:r w:rsidRPr="004C28E4">
        <w:rPr>
          <w:i/>
        </w:rPr>
        <w:t xml:space="preserve">Salmonella </w:t>
      </w:r>
      <w:r w:rsidRPr="004C28E4">
        <w:t xml:space="preserve">outbreak </w:t>
      </w:r>
      <w:r w:rsidR="00657FDB">
        <w:t>(NSW Food Authority 2017)</w:t>
      </w:r>
      <w:r w:rsidRPr="004C28E4">
        <w:t xml:space="preserve">, 2012 US </w:t>
      </w:r>
      <w:r w:rsidRPr="004C28E4">
        <w:rPr>
          <w:i/>
        </w:rPr>
        <w:t xml:space="preserve">Salmonella </w:t>
      </w:r>
      <w:r w:rsidRPr="004C28E4">
        <w:t xml:space="preserve">outbreak </w:t>
      </w:r>
      <w:r w:rsidR="00657FDB">
        <w:t>(FDA 2014)</w:t>
      </w:r>
      <w:r w:rsidRPr="004C28E4">
        <w:t xml:space="preserve">, </w:t>
      </w:r>
      <w:r w:rsidRPr="004C28E4">
        <w:rPr>
          <w:lang w:val="en-AU"/>
        </w:rPr>
        <w:t xml:space="preserve">2011 US listeriosis outbreak </w:t>
      </w:r>
      <w:r w:rsidR="00657FDB">
        <w:rPr>
          <w:lang w:val="en-AU"/>
        </w:rPr>
        <w:t>(FDA 2012)</w:t>
      </w:r>
      <w:r w:rsidRPr="004C28E4">
        <w:rPr>
          <w:lang w:val="en-AU"/>
        </w:rPr>
        <w:t xml:space="preserve">, and the 2006 Australian </w:t>
      </w:r>
      <w:r w:rsidRPr="004C28E4">
        <w:rPr>
          <w:i/>
          <w:lang w:val="en-AU"/>
        </w:rPr>
        <w:t>Salmonella</w:t>
      </w:r>
      <w:r w:rsidRPr="004C28E4">
        <w:rPr>
          <w:lang w:val="en-AU"/>
        </w:rPr>
        <w:t xml:space="preserve"> outbreak </w:t>
      </w:r>
      <w:r w:rsidR="00657FDB">
        <w:rPr>
          <w:lang w:val="en-AU"/>
        </w:rPr>
        <w:t>(Munnoch et al. 2009)</w:t>
      </w:r>
      <w:r w:rsidRPr="004C28E4">
        <w:t xml:space="preserve">. </w:t>
      </w:r>
    </w:p>
    <w:p w14:paraId="11615145" w14:textId="77777777" w:rsidR="0055458D" w:rsidRPr="004C28E4" w:rsidRDefault="0055458D" w:rsidP="0055458D">
      <w:pPr>
        <w:rPr>
          <w:lang w:val="en-AU"/>
        </w:rPr>
      </w:pPr>
    </w:p>
    <w:p w14:paraId="5D777C1C" w14:textId="77777777" w:rsidR="0055458D" w:rsidRDefault="0055458D" w:rsidP="0055458D">
      <w:pPr>
        <w:pStyle w:val="Heading2"/>
        <w:numPr>
          <w:ilvl w:val="1"/>
          <w:numId w:val="11"/>
        </w:numPr>
      </w:pPr>
      <w:bookmarkStart w:id="387" w:name="_Toc58327819"/>
      <w:bookmarkStart w:id="388" w:name="_Toc58333999"/>
      <w:bookmarkStart w:id="389" w:name="_Toc64448806"/>
      <w:bookmarkStart w:id="390" w:name="_Toc87860067"/>
      <w:r>
        <w:t>Conclusions, uncertainty, and data gaps</w:t>
      </w:r>
      <w:bookmarkEnd w:id="387"/>
      <w:bookmarkEnd w:id="388"/>
      <w:bookmarkEnd w:id="389"/>
      <w:bookmarkEnd w:id="390"/>
    </w:p>
    <w:p w14:paraId="4BE13947" w14:textId="77777777" w:rsidR="0055458D" w:rsidRPr="00BD2FE2" w:rsidRDefault="0055458D" w:rsidP="0055458D">
      <w:pPr>
        <w:rPr>
          <w:b/>
        </w:rPr>
      </w:pPr>
      <w:r w:rsidRPr="00AA6920">
        <w:rPr>
          <w:i/>
        </w:rPr>
        <w:t xml:space="preserve">Contamination and cross-contamination of produce due to poor worker and equipment hygiene during </w:t>
      </w:r>
      <w:r>
        <w:rPr>
          <w:i/>
        </w:rPr>
        <w:t xml:space="preserve">packing and </w:t>
      </w:r>
      <w:r w:rsidRPr="00AA6920">
        <w:rPr>
          <w:i/>
        </w:rPr>
        <w:t>postharvest are risk factors that apply broadly to all commodities.</w:t>
      </w:r>
      <w:r w:rsidRPr="00AA6920">
        <w:rPr>
          <w:b/>
          <w:i/>
        </w:rPr>
        <w:t xml:space="preserve"> </w:t>
      </w:r>
      <w:r w:rsidRPr="00206B63">
        <w:rPr>
          <w:lang w:eastAsia="en-AU" w:bidi="ar-SA"/>
        </w:rPr>
        <w:t>There</w:t>
      </w:r>
      <w:r w:rsidRPr="00BD2FE2">
        <w:rPr>
          <w:lang w:eastAsia="en-AU" w:bidi="ar-SA"/>
        </w:rPr>
        <w:t xml:space="preserve"> is a low level of uncertainty and high level of confidence in this conclusion based on the general evidence, and the available evidence for leafy vegetables, berries, and melons</w:t>
      </w:r>
      <w:r w:rsidRPr="00206B63">
        <w:t>.</w:t>
      </w:r>
    </w:p>
    <w:p w14:paraId="1A5F4358" w14:textId="77777777" w:rsidR="0055458D" w:rsidRDefault="0055458D" w:rsidP="0055458D">
      <w:pPr>
        <w:rPr>
          <w:b/>
        </w:rPr>
      </w:pPr>
    </w:p>
    <w:p w14:paraId="53A745AF" w14:textId="77777777" w:rsidR="0055458D" w:rsidRPr="0064726A" w:rsidRDefault="0055458D" w:rsidP="0055458D">
      <w:pPr>
        <w:rPr>
          <w:b/>
        </w:rPr>
      </w:pPr>
      <w:r w:rsidRPr="00AA6920">
        <w:rPr>
          <w:i/>
        </w:rPr>
        <w:t>The main postharvest risk factors for all commodities are contamination and cross-contamination of produce due to poor worker and equipment hygiene.</w:t>
      </w:r>
      <w:r w:rsidRPr="0064726A">
        <w:rPr>
          <w:b/>
        </w:rPr>
        <w:t xml:space="preserve"> </w:t>
      </w:r>
      <w:r w:rsidRPr="002356C6">
        <w:rPr>
          <w:lang w:eastAsia="en-AU"/>
        </w:rPr>
        <w:t>There is a low level of uncertainty and high level of confidence in this conclusion based on the general evidence, and the available evidence for leafy vegetables, berries, and melons</w:t>
      </w:r>
      <w:r w:rsidRPr="0064726A">
        <w:rPr>
          <w:b/>
        </w:rPr>
        <w:t xml:space="preserve">. </w:t>
      </w:r>
      <w:r w:rsidRPr="0064726A">
        <w:rPr>
          <w:lang w:val="en-AU"/>
        </w:rPr>
        <w:t xml:space="preserve">Experimental evidence has shown that if pathogens enter the processing environment they are able to persist on postharvest processing materials and in some cases persistence can be promoted on soiled materials. There is experimental evidence supporting this conclusion for all commodity sectors. However, there is some variation in the persistence of certain pathogens on postharvest surfaces, and in the presence of different leafy vegetable juices. </w:t>
      </w:r>
    </w:p>
    <w:p w14:paraId="532925B0" w14:textId="77777777" w:rsidR="0055458D" w:rsidRDefault="0055458D" w:rsidP="0055458D">
      <w:pPr>
        <w:pStyle w:val="ListParagraph"/>
        <w:rPr>
          <w:lang w:val="en-AU"/>
        </w:rPr>
      </w:pPr>
    </w:p>
    <w:p w14:paraId="6C97A5FB" w14:textId="77777777" w:rsidR="0055458D" w:rsidRPr="0064726A" w:rsidRDefault="0055458D" w:rsidP="0055458D">
      <w:pPr>
        <w:rPr>
          <w:lang w:val="en-AU"/>
        </w:rPr>
      </w:pPr>
      <w:r w:rsidRPr="00AA6920">
        <w:rPr>
          <w:i/>
          <w:lang w:val="en-AU"/>
        </w:rPr>
        <w:t>If workers are sick or handle contaminated produce during postharvest operations the likelihood of contamination and cross-contamination is increased for all commodities.</w:t>
      </w:r>
      <w:r w:rsidRPr="0064726A">
        <w:rPr>
          <w:lang w:val="en-AU"/>
        </w:rPr>
        <w:t xml:space="preserve"> Although only limited direct evidence for the potential for workers to contaminate or cross-contaminate produce was identified for the various commodities at postharvest, this potential is well documented at </w:t>
      </w:r>
      <w:r w:rsidRPr="00F404EA">
        <w:rPr>
          <w:lang w:val="en-AU"/>
        </w:rPr>
        <w:t>harvest (see Section 10). As such</w:t>
      </w:r>
      <w:r w:rsidRPr="0064726A">
        <w:rPr>
          <w:lang w:val="en-AU"/>
        </w:rPr>
        <w:t xml:space="preserve">, </w:t>
      </w:r>
      <w:r w:rsidRPr="002356C6">
        <w:t>there is high uncertainty as to the extent that workers influence the likelihood of contaminati</w:t>
      </w:r>
      <w:r>
        <w:t>on of the in-</w:t>
      </w:r>
      <w:r w:rsidRPr="002356C6">
        <w:t>scope commodities, particularly in the Australian context.</w:t>
      </w:r>
    </w:p>
    <w:p w14:paraId="10C76E3F" w14:textId="77777777" w:rsidR="0055458D" w:rsidRPr="002356C6" w:rsidRDefault="0055458D" w:rsidP="0055458D">
      <w:pPr>
        <w:rPr>
          <w:b/>
        </w:rPr>
      </w:pPr>
    </w:p>
    <w:p w14:paraId="4DDD1544" w14:textId="6768E53F" w:rsidR="0055458D" w:rsidRDefault="0055458D" w:rsidP="0055458D">
      <w:pPr>
        <w:rPr>
          <w:b/>
        </w:rPr>
      </w:pPr>
      <w:r w:rsidRPr="00AA6920">
        <w:rPr>
          <w:i/>
        </w:rPr>
        <w:t>The use of vacuum cooling for leafy vegetables that are contaminated or the use of contaminated water during the process are risk factors that have been identified for leafy vegetables.</w:t>
      </w:r>
      <w:r w:rsidRPr="0064726A">
        <w:rPr>
          <w:b/>
        </w:rPr>
        <w:t xml:space="preserve"> </w:t>
      </w:r>
      <w:r w:rsidRPr="002356C6">
        <w:t>There is medium uncertainty and confidence in this conclusion based on the available evidence for lettuce</w:t>
      </w:r>
      <w:r w:rsidRPr="0064726A">
        <w:rPr>
          <w:b/>
        </w:rPr>
        <w:t xml:space="preserve">. </w:t>
      </w:r>
      <w:r w:rsidRPr="002356C6">
        <w:t xml:space="preserve">Experimental evidence has been reported for the combination of </w:t>
      </w:r>
      <w:r w:rsidRPr="0064726A">
        <w:rPr>
          <w:i/>
        </w:rPr>
        <w:t>E. coli</w:t>
      </w:r>
      <w:r w:rsidRPr="002356C6">
        <w:t xml:space="preserve"> and lettuce, </w:t>
      </w:r>
      <w:r>
        <w:t xml:space="preserve">and identified that </w:t>
      </w:r>
      <w:r w:rsidRPr="00006859">
        <w:t xml:space="preserve">the negative pressure applied during vacuum cooling </w:t>
      </w:r>
      <w:r>
        <w:t>can potentially facilitate internalisation due to changes in</w:t>
      </w:r>
      <w:r w:rsidRPr="00006859">
        <w:t xml:space="preserve"> the structure of </w:t>
      </w:r>
      <w:r>
        <w:t xml:space="preserve">the </w:t>
      </w:r>
      <w:r w:rsidRPr="00006859">
        <w:t>lettuce tissue</w:t>
      </w:r>
      <w:r>
        <w:t xml:space="preserve"> that can provide protection for pathogens from subsequent sanitisation. However, no data was available to determine if this risk factor also applies to spinach, parsley, or berries. Melons in Australia are currently cooled by forced air, cold rooms, or hydro-cooling.</w:t>
      </w:r>
      <w:r>
        <w:rPr>
          <w:b/>
        </w:rPr>
        <w:t xml:space="preserve"> </w:t>
      </w:r>
    </w:p>
    <w:p w14:paraId="2BA86D4D" w14:textId="77777777" w:rsidR="0055458D" w:rsidRPr="0051208B" w:rsidRDefault="0055458D" w:rsidP="0055458D">
      <w:pPr>
        <w:rPr>
          <w:b/>
        </w:rPr>
      </w:pPr>
    </w:p>
    <w:p w14:paraId="3585BC41" w14:textId="77777777" w:rsidR="0055458D" w:rsidRDefault="0055458D" w:rsidP="0055458D">
      <w:pPr>
        <w:pStyle w:val="Heading2"/>
        <w:numPr>
          <w:ilvl w:val="1"/>
          <w:numId w:val="11"/>
        </w:numPr>
      </w:pPr>
      <w:bookmarkStart w:id="391" w:name="_Toc58327820"/>
      <w:bookmarkStart w:id="392" w:name="_Toc58334000"/>
      <w:bookmarkStart w:id="393" w:name="_Toc64448807"/>
      <w:bookmarkStart w:id="394" w:name="_Toc87860068"/>
      <w:r>
        <w:t>Mitigation measures</w:t>
      </w:r>
      <w:bookmarkEnd w:id="391"/>
      <w:bookmarkEnd w:id="392"/>
      <w:bookmarkEnd w:id="393"/>
      <w:bookmarkEnd w:id="394"/>
    </w:p>
    <w:p w14:paraId="6693C854" w14:textId="44940EC2" w:rsidR="0055458D" w:rsidRDefault="0055458D" w:rsidP="0055458D">
      <w:r>
        <w:t>Poor sanitary conditions in</w:t>
      </w:r>
      <w:r w:rsidRPr="005A3A55">
        <w:t xml:space="preserve"> the </w:t>
      </w:r>
      <w:r>
        <w:t>postharvest</w:t>
      </w:r>
      <w:r w:rsidRPr="005A3A55">
        <w:t xml:space="preserve"> environment </w:t>
      </w:r>
      <w:r>
        <w:t xml:space="preserve">have been </w:t>
      </w:r>
      <w:r w:rsidRPr="005A3A55">
        <w:t>associated with outbreaks</w:t>
      </w:r>
      <w:r>
        <w:t xml:space="preserve"> of foodborne illness due to consumption of horticultural produce </w:t>
      </w:r>
      <w:r w:rsidR="00657FDB">
        <w:t>(CDC 2012)</w:t>
      </w:r>
      <w:r w:rsidRPr="005A3A55">
        <w:t>.</w:t>
      </w:r>
      <w:r>
        <w:t xml:space="preserve"> P</w:t>
      </w:r>
      <w:r w:rsidRPr="004A2DEB">
        <w:t xml:space="preserve">athogens can contaminate the </w:t>
      </w:r>
      <w:r>
        <w:t>postharvest</w:t>
      </w:r>
      <w:r w:rsidRPr="004A2DEB">
        <w:t xml:space="preserve"> environment</w:t>
      </w:r>
      <w:r>
        <w:t xml:space="preserve">, transferring between </w:t>
      </w:r>
      <w:r w:rsidRPr="004A2DEB">
        <w:t>produce and</w:t>
      </w:r>
      <w:r>
        <w:t xml:space="preserve"> postharvest</w:t>
      </w:r>
      <w:r w:rsidRPr="004A2DEB">
        <w:t xml:space="preserve"> surfaces and equipment.</w:t>
      </w:r>
      <w:r>
        <w:t xml:space="preserve"> P</w:t>
      </w:r>
      <w:r w:rsidRPr="004A2DEB">
        <w:t xml:space="preserve">ersistence of pathogens on </w:t>
      </w:r>
      <w:r>
        <w:t>postharvest</w:t>
      </w:r>
      <w:r w:rsidRPr="004A2DEB">
        <w:t xml:space="preserve"> surfaces and equipment is enhanced on fouled vs clean surfaces</w:t>
      </w:r>
      <w:r>
        <w:t xml:space="preserve">. Workers hands and gloves can also facilitate cross-contamination during sorting and packing activities. </w:t>
      </w:r>
      <w:r w:rsidRPr="004A2DEB">
        <w:t xml:space="preserve">These risk factors apply broadly </w:t>
      </w:r>
      <w:r>
        <w:t>across</w:t>
      </w:r>
      <w:r w:rsidRPr="004A2DEB">
        <w:t xml:space="preserve"> commodity </w:t>
      </w:r>
      <w:r w:rsidRPr="00D250EA">
        <w:t>sectors.</w:t>
      </w:r>
    </w:p>
    <w:p w14:paraId="4E7919A1" w14:textId="77777777" w:rsidR="0055458D" w:rsidRDefault="0055458D" w:rsidP="0055458D"/>
    <w:p w14:paraId="16D90A89" w14:textId="77777777" w:rsidR="0055458D" w:rsidRPr="00201120" w:rsidRDefault="0055458D" w:rsidP="0055458D">
      <w:pPr>
        <w:rPr>
          <w:i/>
        </w:rPr>
      </w:pPr>
      <w:r>
        <w:rPr>
          <w:i/>
        </w:rPr>
        <w:t xml:space="preserve">Mitigation and </w:t>
      </w:r>
      <w:r w:rsidRPr="0084679C">
        <w:rPr>
          <w:i/>
        </w:rPr>
        <w:t>controls</w:t>
      </w:r>
    </w:p>
    <w:p w14:paraId="1F75E377" w14:textId="77777777" w:rsidR="0055458D" w:rsidRDefault="0055458D" w:rsidP="0055458D">
      <w:pPr>
        <w:rPr>
          <w:b/>
          <w:u w:val="single"/>
        </w:rPr>
      </w:pPr>
    </w:p>
    <w:p w14:paraId="08A420D4" w14:textId="011916C3" w:rsidR="0055458D" w:rsidRDefault="0055458D" w:rsidP="004E0C49">
      <w:pPr>
        <w:spacing w:after="120"/>
      </w:pPr>
      <w:r>
        <w:t xml:space="preserve">The mitigation recommendations provided by other agencies, organisations and peak industry bodies are similar across the in-scope commodity sectors </w:t>
      </w:r>
      <w:r w:rsidR="00657FDB">
        <w:t>(EFSA Panel on Biological Hazards 2014a, 2014b, 2014c; FAO/WHO 2008b; FPSC A-NZ 2019; IFPA et al. 2006; NSW DPI 2019)</w:t>
      </w:r>
      <w:r>
        <w:t xml:space="preserve"> and include:</w:t>
      </w:r>
    </w:p>
    <w:p w14:paraId="1B8C1B44" w14:textId="77777777" w:rsidR="0055458D" w:rsidRPr="00145AE9" w:rsidRDefault="0055458D" w:rsidP="0055458D">
      <w:pPr>
        <w:pStyle w:val="ListParagraph"/>
        <w:numPr>
          <w:ilvl w:val="0"/>
          <w:numId w:val="27"/>
        </w:numPr>
      </w:pPr>
      <w:r w:rsidRPr="00145AE9">
        <w:t xml:space="preserve">Risk assessments should be undertaken regularly </w:t>
      </w:r>
      <w:r>
        <w:t xml:space="preserve">and one week prior to harvest </w:t>
      </w:r>
      <w:r w:rsidRPr="00145AE9">
        <w:t xml:space="preserve">to identify risk factors that may influence </w:t>
      </w:r>
      <w:r>
        <w:t>postharvest</w:t>
      </w:r>
      <w:r w:rsidRPr="00145AE9">
        <w:t xml:space="preserve"> practices or contamination</w:t>
      </w:r>
    </w:p>
    <w:p w14:paraId="68FEC6A8" w14:textId="77777777" w:rsidR="0055458D" w:rsidRPr="00211263" w:rsidRDefault="0055458D" w:rsidP="0055458D">
      <w:pPr>
        <w:pStyle w:val="ListParagraph"/>
        <w:numPr>
          <w:ilvl w:val="0"/>
          <w:numId w:val="27"/>
        </w:numPr>
      </w:pPr>
      <w:r w:rsidRPr="00211263">
        <w:t>All personnel at packhouses should receive basic training in food safety risks, personal hygiene, and health reporting requirements</w:t>
      </w:r>
    </w:p>
    <w:p w14:paraId="11181BC3" w14:textId="77777777" w:rsidR="0055458D" w:rsidRPr="00145AE9" w:rsidRDefault="0055458D" w:rsidP="0055458D">
      <w:pPr>
        <w:pStyle w:val="ListParagraph"/>
        <w:numPr>
          <w:ilvl w:val="0"/>
          <w:numId w:val="27"/>
        </w:numPr>
        <w:rPr>
          <w:rFonts w:cstheme="minorHAnsi"/>
        </w:rPr>
      </w:pPr>
      <w:r w:rsidRPr="00211263">
        <w:rPr>
          <w:rFonts w:cstheme="minorHAnsi"/>
        </w:rPr>
        <w:t>Guidance on the appropriate</w:t>
      </w:r>
      <w:r w:rsidRPr="00145AE9">
        <w:rPr>
          <w:rFonts w:cstheme="minorHAnsi"/>
        </w:rPr>
        <w:t xml:space="preserve"> number and location of toilet and handwashing facilities equipped with potable water, paper towels and hand sanitisers should be followed, and hand sanitiser should not replace hand washing</w:t>
      </w:r>
    </w:p>
    <w:p w14:paraId="64EDBD90" w14:textId="77777777" w:rsidR="0055458D" w:rsidRPr="00145AE9" w:rsidRDefault="0055458D" w:rsidP="0055458D">
      <w:pPr>
        <w:pStyle w:val="ListParagraph"/>
        <w:numPr>
          <w:ilvl w:val="0"/>
          <w:numId w:val="27"/>
        </w:numPr>
      </w:pPr>
      <w:r w:rsidRPr="00C84185">
        <w:rPr>
          <w:rFonts w:cstheme="minorHAnsi"/>
        </w:rPr>
        <w:t>Packhouses should be designed to prevent cross-contamination</w:t>
      </w:r>
      <w:r>
        <w:rPr>
          <w:rFonts w:cstheme="minorHAnsi"/>
        </w:rPr>
        <w:t xml:space="preserve">—particularly the movement of </w:t>
      </w:r>
      <w:r w:rsidRPr="00C84185">
        <w:rPr>
          <w:rFonts w:cstheme="minorHAnsi"/>
        </w:rPr>
        <w:t xml:space="preserve">contaminants </w:t>
      </w:r>
      <w:r>
        <w:rPr>
          <w:rFonts w:cstheme="minorHAnsi"/>
        </w:rPr>
        <w:t>from earlier</w:t>
      </w:r>
      <w:r w:rsidRPr="00C84185">
        <w:rPr>
          <w:rFonts w:cstheme="minorHAnsi"/>
        </w:rPr>
        <w:t xml:space="preserve"> to later process steps</w:t>
      </w:r>
      <w:r>
        <w:rPr>
          <w:rFonts w:cstheme="minorHAnsi"/>
        </w:rPr>
        <w:t>—</w:t>
      </w:r>
      <w:r w:rsidRPr="00C84185">
        <w:rPr>
          <w:rFonts w:cstheme="minorHAnsi"/>
        </w:rPr>
        <w:t>and pest infestation, minimise airborne contamination, and facilitate adequate drainage</w:t>
      </w:r>
    </w:p>
    <w:p w14:paraId="0F8E2039" w14:textId="77777777" w:rsidR="0055458D" w:rsidRPr="00145AE9" w:rsidRDefault="0055458D" w:rsidP="0055458D">
      <w:pPr>
        <w:pStyle w:val="ListParagraph"/>
        <w:numPr>
          <w:ilvl w:val="0"/>
          <w:numId w:val="27"/>
        </w:numPr>
      </w:pPr>
      <w:r w:rsidRPr="00145AE9">
        <w:t>Equipment sanitation procedures should be validated and must ensure microbial loads are lowered</w:t>
      </w:r>
    </w:p>
    <w:p w14:paraId="5A76D531" w14:textId="77777777" w:rsidR="0055458D" w:rsidRPr="00145AE9" w:rsidRDefault="0055458D" w:rsidP="0055458D">
      <w:pPr>
        <w:pStyle w:val="ListParagraph"/>
        <w:numPr>
          <w:ilvl w:val="0"/>
          <w:numId w:val="27"/>
        </w:numPr>
      </w:pPr>
      <w:r w:rsidRPr="00145AE9">
        <w:rPr>
          <w:rFonts w:cstheme="minorHAnsi"/>
        </w:rPr>
        <w:t xml:space="preserve">Facility and equipment sanitation practices should be documented and implemented in accordance with standard </w:t>
      </w:r>
      <w:r>
        <w:rPr>
          <w:rFonts w:cstheme="minorHAnsi"/>
        </w:rPr>
        <w:t>GMPs</w:t>
      </w:r>
      <w:r w:rsidRPr="00145AE9">
        <w:rPr>
          <w:rFonts w:cstheme="minorHAnsi"/>
        </w:rPr>
        <w:t xml:space="preserve"> and </w:t>
      </w:r>
      <w:r>
        <w:rPr>
          <w:rFonts w:cstheme="minorHAnsi"/>
        </w:rPr>
        <w:t>GHPs</w:t>
      </w:r>
      <w:r w:rsidRPr="00145AE9">
        <w:rPr>
          <w:rFonts w:cstheme="minorHAnsi"/>
        </w:rPr>
        <w:t xml:space="preserve"> to prevent contam</w:t>
      </w:r>
      <w:r>
        <w:rPr>
          <w:rFonts w:cstheme="minorHAnsi"/>
        </w:rPr>
        <w:t>ination and cross-contamination</w:t>
      </w:r>
    </w:p>
    <w:p w14:paraId="1BDD9245" w14:textId="77777777" w:rsidR="0055458D" w:rsidRPr="00145AE9" w:rsidRDefault="0055458D" w:rsidP="0055458D">
      <w:pPr>
        <w:pStyle w:val="ListParagraph"/>
        <w:numPr>
          <w:ilvl w:val="0"/>
          <w:numId w:val="27"/>
        </w:numPr>
      </w:pPr>
      <w:r w:rsidRPr="00145AE9">
        <w:rPr>
          <w:rFonts w:cstheme="minorHAnsi"/>
        </w:rPr>
        <w:t>Damaged equipment like roller brushes and cracked flaps or matting</w:t>
      </w:r>
      <w:r>
        <w:rPr>
          <w:rFonts w:cstheme="minorHAnsi"/>
        </w:rPr>
        <w:t>, which</w:t>
      </w:r>
      <w:r w:rsidRPr="00145AE9">
        <w:rPr>
          <w:rFonts w:cstheme="minorHAnsi"/>
        </w:rPr>
        <w:t xml:space="preserve"> can act as harbo</w:t>
      </w:r>
      <w:r>
        <w:rPr>
          <w:rFonts w:cstheme="minorHAnsi"/>
        </w:rPr>
        <w:t>urage sites for pathogens and</w:t>
      </w:r>
      <w:r w:rsidRPr="00145AE9">
        <w:rPr>
          <w:rFonts w:cstheme="minorHAnsi"/>
        </w:rPr>
        <w:t xml:space="preserve"> contaminate produce intermittently</w:t>
      </w:r>
      <w:r>
        <w:rPr>
          <w:rFonts w:cstheme="minorHAnsi"/>
        </w:rPr>
        <w:t>,</w:t>
      </w:r>
      <w:r w:rsidRPr="00145AE9">
        <w:rPr>
          <w:rFonts w:cstheme="minorHAnsi"/>
        </w:rPr>
        <w:t xml:space="preserve"> should be replaced and maintained appropriately</w:t>
      </w:r>
    </w:p>
    <w:p w14:paraId="1E410FE6" w14:textId="77777777" w:rsidR="0055458D" w:rsidRPr="00145AE9" w:rsidRDefault="0055458D" w:rsidP="0055458D">
      <w:pPr>
        <w:pStyle w:val="ListParagraph"/>
        <w:numPr>
          <w:ilvl w:val="0"/>
          <w:numId w:val="27"/>
        </w:numPr>
      </w:pPr>
      <w:r w:rsidRPr="00145AE9">
        <w:t>A well-designed environmental monitoring program can reduce the risk of pathogens colonising the processing environment and subsequently contaminating produce</w:t>
      </w:r>
    </w:p>
    <w:p w14:paraId="410BB230" w14:textId="77777777" w:rsidR="0055458D" w:rsidRPr="00145AE9" w:rsidRDefault="0055458D" w:rsidP="0055458D">
      <w:pPr>
        <w:pStyle w:val="ListParagraph"/>
        <w:numPr>
          <w:ilvl w:val="0"/>
          <w:numId w:val="27"/>
        </w:numPr>
      </w:pPr>
      <w:r>
        <w:t>HACCP-</w:t>
      </w:r>
      <w:r w:rsidRPr="00145AE9">
        <w:t>based food safety programs should be implemented</w:t>
      </w:r>
    </w:p>
    <w:p w14:paraId="78BFA7C9" w14:textId="77777777" w:rsidR="0055458D" w:rsidRDefault="0055458D" w:rsidP="0055458D">
      <w:pPr>
        <w:pStyle w:val="ListParagraph"/>
        <w:numPr>
          <w:ilvl w:val="0"/>
          <w:numId w:val="27"/>
        </w:numPr>
      </w:pPr>
      <w:r w:rsidRPr="00145AE9">
        <w:t xml:space="preserve">Drinking quality water should be used for all </w:t>
      </w:r>
      <w:r>
        <w:t>postharvest</w:t>
      </w:r>
      <w:r w:rsidRPr="00145AE9">
        <w:t xml:space="preserve"> operations</w:t>
      </w:r>
    </w:p>
    <w:p w14:paraId="6B94CDBE" w14:textId="77777777" w:rsidR="0055458D" w:rsidRDefault="0055458D" w:rsidP="0055458D">
      <w:pPr>
        <w:pStyle w:val="ListParagraph"/>
        <w:numPr>
          <w:ilvl w:val="0"/>
          <w:numId w:val="26"/>
        </w:numPr>
        <w:rPr>
          <w:rFonts w:cs="Arial"/>
          <w:lang w:eastAsia="en-AU"/>
        </w:rPr>
      </w:pPr>
      <w:r>
        <w:rPr>
          <w:rFonts w:cs="Arial"/>
          <w:lang w:eastAsia="en-AU"/>
        </w:rPr>
        <w:t xml:space="preserve">Staff in the packing house should wear appropriate personal protective equipment, such as gloves. </w:t>
      </w:r>
    </w:p>
    <w:p w14:paraId="46A5D873" w14:textId="77777777" w:rsidR="0055458D" w:rsidRDefault="0055458D" w:rsidP="0055458D">
      <w:pPr>
        <w:rPr>
          <w:lang w:eastAsia="en-AU"/>
        </w:rPr>
      </w:pPr>
    </w:p>
    <w:p w14:paraId="636D994E" w14:textId="77777777" w:rsidR="0055458D" w:rsidRDefault="0055458D" w:rsidP="0055458D">
      <w:pPr>
        <w:pStyle w:val="Heading2"/>
        <w:numPr>
          <w:ilvl w:val="1"/>
          <w:numId w:val="11"/>
        </w:numPr>
      </w:pPr>
      <w:bookmarkStart w:id="395" w:name="_Toc45275380"/>
      <w:bookmarkStart w:id="396" w:name="_Toc56693468"/>
      <w:bookmarkStart w:id="397" w:name="_Toc58327821"/>
      <w:bookmarkStart w:id="398" w:name="_Toc58334001"/>
      <w:bookmarkStart w:id="399" w:name="_Toc64448808"/>
      <w:bookmarkStart w:id="400" w:name="_Toc87860069"/>
      <w:r>
        <w:t>Washing and sanitising produce</w:t>
      </w:r>
      <w:bookmarkEnd w:id="395"/>
      <w:bookmarkEnd w:id="396"/>
      <w:bookmarkEnd w:id="397"/>
      <w:bookmarkEnd w:id="398"/>
      <w:bookmarkEnd w:id="399"/>
      <w:bookmarkEnd w:id="400"/>
    </w:p>
    <w:p w14:paraId="7E9F23E4" w14:textId="7A28E79E" w:rsidR="0055458D" w:rsidRPr="00AB2EB7" w:rsidRDefault="0055458D" w:rsidP="0055458D">
      <w:pPr>
        <w:rPr>
          <w:lang w:eastAsia="en-AU" w:bidi="ar-SA"/>
        </w:rPr>
      </w:pPr>
      <w:r w:rsidRPr="00AB2EB7">
        <w:rPr>
          <w:lang w:eastAsia="en-AU" w:bidi="ar-SA"/>
        </w:rPr>
        <w:t xml:space="preserve">Washing with potable water and the application of sanitisers to remove pathogens from the produce surface has been recognised as an important contributor to the reduction of risk from pathogens on fresh produce. However, if not applied correctly, washing and sanitising can represent a significant risk factor that can lead to extensive contamination of produce </w:t>
      </w:r>
      <w:r w:rsidR="00657FDB">
        <w:rPr>
          <w:lang w:eastAsia="en-AU" w:bidi="ar-SA"/>
        </w:rPr>
        <w:t>(FAO/WHO 2008b)</w:t>
      </w:r>
      <w:r w:rsidRPr="00AB2EB7">
        <w:rPr>
          <w:lang w:eastAsia="en-AU" w:bidi="ar-SA"/>
        </w:rPr>
        <w:t>.</w:t>
      </w:r>
    </w:p>
    <w:p w14:paraId="3A30EADF" w14:textId="77777777" w:rsidR="0055458D" w:rsidRPr="00AB2EB7" w:rsidRDefault="0055458D" w:rsidP="0055458D">
      <w:pPr>
        <w:rPr>
          <w:lang w:eastAsia="en-AU" w:bidi="ar-SA"/>
        </w:rPr>
      </w:pPr>
    </w:p>
    <w:p w14:paraId="01AF4F66" w14:textId="77777777" w:rsidR="0055458D" w:rsidRPr="00AB2EB7" w:rsidRDefault="0055458D" w:rsidP="0055458D">
      <w:pPr>
        <w:rPr>
          <w:lang w:eastAsia="en-AU" w:bidi="ar-SA"/>
        </w:rPr>
      </w:pPr>
      <w:r w:rsidRPr="00AB2EB7">
        <w:rPr>
          <w:lang w:eastAsia="en-AU" w:bidi="ar-SA"/>
        </w:rPr>
        <w:t xml:space="preserve">In this section, the term disinfectant refers to the agents applied </w:t>
      </w:r>
      <w:r w:rsidRPr="00AB2EB7">
        <w:rPr>
          <w:szCs w:val="22"/>
        </w:rPr>
        <w:t>to process wash water to avoid cross-contamination. Sanitisers refers to the agents applied to wash water to reduce the level of microorganisms on the surface of fresh produce.</w:t>
      </w:r>
    </w:p>
    <w:p w14:paraId="3D859C20" w14:textId="77777777" w:rsidR="0055458D" w:rsidRPr="00AB2EB7" w:rsidRDefault="0055458D" w:rsidP="00787E56">
      <w:pPr>
        <w:pStyle w:val="Heading3"/>
        <w:numPr>
          <w:ilvl w:val="2"/>
          <w:numId w:val="11"/>
        </w:numPr>
      </w:pPr>
      <w:bookmarkStart w:id="401" w:name="_Toc45275382"/>
      <w:bookmarkStart w:id="402" w:name="_Toc56693469"/>
      <w:bookmarkStart w:id="403" w:name="_Toc58327822"/>
      <w:bookmarkStart w:id="404" w:name="_Toc58334002"/>
      <w:bookmarkStart w:id="405" w:name="_Toc64448809"/>
      <w:bookmarkStart w:id="406" w:name="_Toc87860070"/>
      <w:r w:rsidRPr="00AB2EB7">
        <w:t>Available data</w:t>
      </w:r>
      <w:bookmarkEnd w:id="401"/>
      <w:bookmarkEnd w:id="402"/>
      <w:bookmarkEnd w:id="403"/>
      <w:bookmarkEnd w:id="404"/>
      <w:bookmarkEnd w:id="405"/>
      <w:bookmarkEnd w:id="406"/>
    </w:p>
    <w:p w14:paraId="49C34793" w14:textId="60F5FEE6" w:rsidR="0055458D" w:rsidRPr="00AB2EB7" w:rsidRDefault="0055458D" w:rsidP="0055458D">
      <w:r w:rsidRPr="00AB2EB7">
        <w:t xml:space="preserve">The washing step of fresh produce has been identified as a potential pathway for the introduction of pathogens and cross-contamination of fresh produce making </w:t>
      </w:r>
      <w:r w:rsidRPr="00AB2EB7">
        <w:rPr>
          <w:lang w:eastAsia="en-AU" w:bidi="ar-SA"/>
        </w:rPr>
        <w:t xml:space="preserve">proper water management a critical point in the </w:t>
      </w:r>
      <w:r>
        <w:rPr>
          <w:lang w:eastAsia="en-AU" w:bidi="ar-SA"/>
        </w:rPr>
        <w:t>postharvest</w:t>
      </w:r>
      <w:r w:rsidRPr="00AB2EB7">
        <w:rPr>
          <w:lang w:eastAsia="en-AU" w:bidi="ar-SA"/>
        </w:rPr>
        <w:t xml:space="preserve"> processing </w:t>
      </w:r>
      <w:r w:rsidR="00657FDB">
        <w:rPr>
          <w:lang w:eastAsia="en-AU" w:bidi="ar-SA"/>
        </w:rPr>
        <w:t>(Holvoet et al. 2012)</w:t>
      </w:r>
      <w:r w:rsidRPr="00AB2EB7">
        <w:rPr>
          <w:lang w:eastAsia="en-AU" w:bidi="ar-SA"/>
        </w:rPr>
        <w:t>.</w:t>
      </w:r>
      <w:r w:rsidRPr="00AB2EB7">
        <w:t xml:space="preserve"> It is generally reported that washing fresh produce with water alone will reduce pathogens on the surface of fresh produce by &lt;1 Log and if disinfectants are not used to maintain the microbiological quality of water the likelihood of cross-contamination is significantly increased </w:t>
      </w:r>
      <w:r w:rsidR="00657FDB">
        <w:t>(FAO/WHO 2008b)</w:t>
      </w:r>
      <w:r>
        <w:t>.</w:t>
      </w:r>
    </w:p>
    <w:p w14:paraId="639DBBF9" w14:textId="77777777" w:rsidR="0055458D" w:rsidRPr="00AB2EB7" w:rsidRDefault="0055458D" w:rsidP="0055458D"/>
    <w:p w14:paraId="35413D0A" w14:textId="1E9EE5A2" w:rsidR="0055458D" w:rsidRPr="00AB2EB7" w:rsidRDefault="0055458D" w:rsidP="0055458D">
      <w:pPr>
        <w:rPr>
          <w:rFonts w:cs="Arial"/>
          <w:szCs w:val="22"/>
          <w:lang w:eastAsia="en-AU"/>
        </w:rPr>
      </w:pPr>
      <w:r w:rsidRPr="00AB2EB7">
        <w:t xml:space="preserve">Water based disinfectants and sanitisers commonly used by the fresh produce industry include </w:t>
      </w:r>
      <w:r w:rsidRPr="00AB2EB7">
        <w:rPr>
          <w:lang w:eastAsia="en-AU"/>
        </w:rPr>
        <w:t xml:space="preserve">aqueous chlorine (hypochlorite), aqueous chlorine dioxide, peroxyacetic (peracetic) acid (PAA), </w:t>
      </w:r>
      <w:r>
        <w:rPr>
          <w:lang w:eastAsia="en-AU"/>
        </w:rPr>
        <w:t>electrolysed water</w:t>
      </w:r>
      <w:r w:rsidRPr="00AB2EB7">
        <w:rPr>
          <w:lang w:eastAsia="en-AU"/>
        </w:rPr>
        <w:t xml:space="preserve">, and aqueous ozone. These different chemicals have advantages and disadvantages from efficacy, practicality, economic, environmental, and exposure perspectives that have been reviewed extensively in other publications </w:t>
      </w:r>
      <w:r w:rsidR="00657FDB">
        <w:rPr>
          <w:lang w:eastAsia="en-AU"/>
        </w:rPr>
        <w:t>(Goodburn and Wallace 2013; Miller et al. 2013; Parish et al. 2003; Ramos et al. 2013; Suslow 1997)</w:t>
      </w:r>
      <w:r w:rsidRPr="00AB2EB7">
        <w:rPr>
          <w:lang w:eastAsia="en-AU"/>
        </w:rPr>
        <w:t xml:space="preserve">. </w:t>
      </w:r>
      <w:r>
        <w:rPr>
          <w:lang w:eastAsia="en-AU"/>
        </w:rPr>
        <w:t xml:space="preserve">In the following discussion, </w:t>
      </w:r>
      <w:r w:rsidRPr="00AB2EB7">
        <w:rPr>
          <w:lang w:eastAsia="en-AU"/>
        </w:rPr>
        <w:t xml:space="preserve">only the efficacy of these interventions is considered. </w:t>
      </w:r>
    </w:p>
    <w:p w14:paraId="22CF6C98" w14:textId="77777777" w:rsidR="0055458D" w:rsidRPr="00AB2EB7" w:rsidRDefault="0055458D" w:rsidP="0055458D">
      <w:pPr>
        <w:rPr>
          <w:rFonts w:cs="Arial"/>
          <w:szCs w:val="22"/>
          <w:lang w:eastAsia="en-AU"/>
        </w:rPr>
      </w:pPr>
    </w:p>
    <w:p w14:paraId="0A85D365" w14:textId="77777777" w:rsidR="0055458D" w:rsidRPr="00AB2EB7" w:rsidRDefault="0055458D" w:rsidP="0055458D">
      <w:pPr>
        <w:rPr>
          <w:rFonts w:cs="Arial"/>
          <w:szCs w:val="22"/>
          <w:lang w:eastAsia="en-AU"/>
        </w:rPr>
      </w:pPr>
      <w:r w:rsidRPr="00AB2EB7">
        <w:t>The use of disinfectants is recommended primarily to maintain water quality during the washing process and to reduce cross-contamination, but more recently disinfectants have also been employed as sanitisers with the aim to reduce pathogens on the surface of produce. The efficacy of disinfectants and sanitisers to achieve these different aims is dependent o</w:t>
      </w:r>
      <w:r>
        <w:t>n a number of factors including:</w:t>
      </w:r>
      <w:r w:rsidRPr="00AB2EB7">
        <w:t xml:space="preserve"> the type of sanitiser; the commodity; the prior processing of the commodity (</w:t>
      </w:r>
      <w:r w:rsidRPr="009D5A9D">
        <w:t>e.g.</w:t>
      </w:r>
      <w:r w:rsidRPr="00AB2EB7">
        <w:t xml:space="preserve"> whole versus cut); the target pathogen; water quality; methods of application; pH; organic loads from dirt or damaged/cut produce; temperature; concentration and contact times. </w:t>
      </w:r>
    </w:p>
    <w:p w14:paraId="4B0B8ACE" w14:textId="77777777" w:rsidR="0055458D" w:rsidRPr="00AB2EB7" w:rsidRDefault="0055458D" w:rsidP="0055458D">
      <w:pPr>
        <w:rPr>
          <w:rFonts w:cs="Arial"/>
          <w:szCs w:val="22"/>
          <w:lang w:eastAsia="en-AU"/>
        </w:rPr>
      </w:pPr>
    </w:p>
    <w:p w14:paraId="14D8D4C2" w14:textId="673B9AAE" w:rsidR="0055458D" w:rsidRPr="00AB2EB7" w:rsidRDefault="0055458D" w:rsidP="0055458D">
      <w:pPr>
        <w:rPr>
          <w:rFonts w:cs="Arial"/>
          <w:szCs w:val="22"/>
        </w:rPr>
      </w:pPr>
      <w:r w:rsidRPr="00AB2EB7">
        <w:rPr>
          <w:rFonts w:cs="Arial"/>
          <w:szCs w:val="22"/>
          <w:lang w:eastAsia="en-AU"/>
        </w:rPr>
        <w:t xml:space="preserve">The efficacy of chlorine is greatly limited by the pH, organic load, and temperature of the wash water. </w:t>
      </w:r>
      <w:r>
        <w:rPr>
          <w:rFonts w:cs="Arial"/>
          <w:szCs w:val="22"/>
          <w:lang w:eastAsia="en-AU"/>
        </w:rPr>
        <w:t>L</w:t>
      </w:r>
      <w:r w:rsidRPr="00AB2EB7">
        <w:rPr>
          <w:rFonts w:cs="Arial"/>
          <w:szCs w:val="22"/>
          <w:lang w:eastAsia="en-AU"/>
        </w:rPr>
        <w:t xml:space="preserve">evels above or below </w:t>
      </w:r>
      <w:r>
        <w:rPr>
          <w:rFonts w:cs="Arial"/>
          <w:szCs w:val="22"/>
          <w:lang w:eastAsia="en-AU"/>
        </w:rPr>
        <w:t>pH 6-</w:t>
      </w:r>
      <w:r w:rsidRPr="00AB2EB7">
        <w:rPr>
          <w:rFonts w:cs="Arial"/>
          <w:szCs w:val="22"/>
          <w:lang w:eastAsia="en-AU"/>
        </w:rPr>
        <w:t>7.5 reduce t</w:t>
      </w:r>
      <w:r w:rsidRPr="00AB2EB7">
        <w:rPr>
          <w:rFonts w:cs="Arial"/>
          <w:szCs w:val="22"/>
        </w:rPr>
        <w:t xml:space="preserve">he amount of hypochlorous acid available and, therefore, its effectiveness to inactivate bacteria </w:t>
      </w:r>
      <w:r w:rsidR="00657FDB">
        <w:rPr>
          <w:rFonts w:cs="Arial"/>
          <w:szCs w:val="22"/>
        </w:rPr>
        <w:t>(Suslow 1997)</w:t>
      </w:r>
      <w:r w:rsidRPr="00AB2EB7">
        <w:rPr>
          <w:rFonts w:cs="Arial"/>
          <w:szCs w:val="22"/>
        </w:rPr>
        <w:t xml:space="preserve">. High organic loads in the wash water from cut produce, dirt, damaged produce, or other sources will reduce the efficacy of chlorine. This is because the organic matter reacts with and uses up the hypochlorous acid, therefore reducing the amount available to inactivate pathogens. Low temperatures also limit the efficacy of chlorine. Automated monitoring of these parameters and auto-dosing of chlorine and </w:t>
      </w:r>
      <w:r>
        <w:rPr>
          <w:rFonts w:cs="Arial"/>
          <w:szCs w:val="22"/>
        </w:rPr>
        <w:t xml:space="preserve">additional </w:t>
      </w:r>
      <w:r w:rsidRPr="00AB2EB7">
        <w:rPr>
          <w:rFonts w:cs="Arial"/>
          <w:szCs w:val="22"/>
        </w:rPr>
        <w:t xml:space="preserve">acids are essential to maintain efficacy in the presence of high organic loads </w:t>
      </w:r>
      <w:r w:rsidR="00657FDB">
        <w:rPr>
          <w:rFonts w:cs="Arial"/>
          <w:szCs w:val="22"/>
        </w:rPr>
        <w:t>(van Haute et al. 2013)</w:t>
      </w:r>
      <w:r w:rsidRPr="00AB2EB7">
        <w:rPr>
          <w:rFonts w:cs="Arial"/>
          <w:szCs w:val="22"/>
        </w:rPr>
        <w:t xml:space="preserve">. </w:t>
      </w:r>
    </w:p>
    <w:p w14:paraId="5D66DABC" w14:textId="77777777" w:rsidR="0055458D" w:rsidRPr="00AB2EB7" w:rsidRDefault="0055458D" w:rsidP="0055458D">
      <w:pPr>
        <w:rPr>
          <w:rFonts w:cs="Arial"/>
          <w:szCs w:val="22"/>
        </w:rPr>
      </w:pPr>
    </w:p>
    <w:p w14:paraId="4DE24A58" w14:textId="027817AB" w:rsidR="0055458D" w:rsidRPr="00AB2EB7" w:rsidRDefault="0055458D" w:rsidP="0055458D">
      <w:pPr>
        <w:rPr>
          <w:rFonts w:cs="Arial"/>
          <w:b/>
          <w:szCs w:val="22"/>
        </w:rPr>
      </w:pPr>
      <w:r w:rsidRPr="00AB2EB7">
        <w:rPr>
          <w:rFonts w:cs="Arial"/>
          <w:szCs w:val="22"/>
        </w:rPr>
        <w:t xml:space="preserve">In general, the reactivity of disinfectants with organic matter has been reported in the order of PAA &lt; chlorine dioxide &lt; free chlorine &lt; ozone </w:t>
      </w:r>
      <w:r w:rsidR="00657FDB">
        <w:rPr>
          <w:rFonts w:cs="Arial"/>
          <w:szCs w:val="22"/>
        </w:rPr>
        <w:t>(van Haute et al. 2015a)</w:t>
      </w:r>
      <w:r w:rsidRPr="00AB2EB7">
        <w:rPr>
          <w:rFonts w:cs="Arial"/>
          <w:szCs w:val="22"/>
        </w:rPr>
        <w:t xml:space="preserve">. PAA and aqueous chlorine dioxide have become more popular as they are less reactive with organic matter, less affected by pH, and retain their efficacy at low temperatures commonly used in the </w:t>
      </w:r>
      <w:r>
        <w:rPr>
          <w:rFonts w:cs="Arial"/>
          <w:szCs w:val="22"/>
        </w:rPr>
        <w:t>postharvest</w:t>
      </w:r>
      <w:r w:rsidRPr="00AB2EB7">
        <w:rPr>
          <w:rFonts w:cs="Arial"/>
          <w:szCs w:val="22"/>
        </w:rPr>
        <w:t xml:space="preserve"> washing of leafy vegetables. Research has demonstrated that PAA combined with lactic acid is an effective disinfectant option if organic loads are high and refresh rates of water are low, and can maintain the microbial quality of wash water by automatic monitoring of the disinfection </w:t>
      </w:r>
      <w:r>
        <w:rPr>
          <w:rFonts w:cs="Arial"/>
          <w:szCs w:val="22"/>
        </w:rPr>
        <w:t>residual of PAA and pH and auto-</w:t>
      </w:r>
      <w:r w:rsidRPr="00AB2EB7">
        <w:rPr>
          <w:rFonts w:cs="Arial"/>
          <w:szCs w:val="22"/>
        </w:rPr>
        <w:t xml:space="preserve">dosing of PAA and acids </w:t>
      </w:r>
      <w:r w:rsidR="00657FDB">
        <w:rPr>
          <w:rFonts w:cs="Arial"/>
          <w:szCs w:val="22"/>
        </w:rPr>
        <w:t>(van Haute et al. 2015a)</w:t>
      </w:r>
      <w:r w:rsidRPr="00AB2EB7">
        <w:rPr>
          <w:rFonts w:cs="Arial"/>
          <w:szCs w:val="22"/>
        </w:rPr>
        <w:t xml:space="preserve">. Recent research has also demonstrated that chlorine dioxide can be an effective wash water disinfectant when organic loads are higher and when applied with continuous monitoring and application </w:t>
      </w:r>
      <w:r w:rsidR="00657FDB">
        <w:rPr>
          <w:rFonts w:cs="Arial"/>
          <w:szCs w:val="22"/>
        </w:rPr>
        <w:t>(Banach et al. 2018; van Haute et al. 2017)</w:t>
      </w:r>
      <w:r w:rsidRPr="00AB2EB7">
        <w:rPr>
          <w:rFonts w:cs="Arial"/>
          <w:szCs w:val="22"/>
        </w:rPr>
        <w:t xml:space="preserve">. However, hydrogen peroxide has slow water disinfection kinetics and is quickly consumed making it ineffective at maintaining the microbiological quality of wash water with an organic load typical of fresh cut vegetables </w:t>
      </w:r>
      <w:r w:rsidR="00657FDB">
        <w:rPr>
          <w:rFonts w:cs="Arial"/>
          <w:szCs w:val="22"/>
        </w:rPr>
        <w:t>(van Haute et al. 2015b)</w:t>
      </w:r>
      <w:r w:rsidRPr="00AB2EB7">
        <w:rPr>
          <w:rFonts w:cs="Arial"/>
          <w:szCs w:val="22"/>
        </w:rPr>
        <w:t>.</w:t>
      </w:r>
    </w:p>
    <w:p w14:paraId="7D4AE8F5" w14:textId="77777777" w:rsidR="0055458D" w:rsidRPr="00AB2EB7" w:rsidRDefault="0055458D" w:rsidP="0055458D">
      <w:pPr>
        <w:rPr>
          <w:rFonts w:cs="Arial"/>
          <w:szCs w:val="22"/>
        </w:rPr>
      </w:pPr>
    </w:p>
    <w:p w14:paraId="43871829" w14:textId="77777777" w:rsidR="008A11B3" w:rsidRDefault="008A11B3">
      <w:pPr>
        <w:widowControl/>
        <w:rPr>
          <w:rFonts w:cs="Arial"/>
          <w:szCs w:val="22"/>
        </w:rPr>
      </w:pPr>
      <w:r>
        <w:rPr>
          <w:rFonts w:cs="Arial"/>
          <w:szCs w:val="22"/>
        </w:rPr>
        <w:br w:type="page"/>
      </w:r>
    </w:p>
    <w:p w14:paraId="3DD7FAC9" w14:textId="27D222A0" w:rsidR="0055458D" w:rsidRPr="00AB2EB7" w:rsidRDefault="0055458D" w:rsidP="0055458D">
      <w:pPr>
        <w:rPr>
          <w:rFonts w:cs="Arial"/>
          <w:szCs w:val="22"/>
        </w:rPr>
      </w:pPr>
      <w:r w:rsidRPr="00AB2EB7">
        <w:rPr>
          <w:rFonts w:cs="Arial"/>
          <w:szCs w:val="22"/>
        </w:rPr>
        <w:t xml:space="preserve">The target pathogen can also influence the efficacy of disinfectants and sanitisers, as different species and strains may be inherently more or less susceptible as chemicals can have different modes of action </w:t>
      </w:r>
      <w:r w:rsidR="00657FDB">
        <w:rPr>
          <w:rFonts w:cs="Arial"/>
          <w:szCs w:val="22"/>
        </w:rPr>
        <w:t>(van Haute et al. 2013)</w:t>
      </w:r>
      <w:r w:rsidRPr="00AB2EB7">
        <w:rPr>
          <w:rFonts w:cs="Arial"/>
          <w:szCs w:val="22"/>
        </w:rPr>
        <w:t xml:space="preserve">. For example, a higher susceptibility to chlorine has been observed for </w:t>
      </w:r>
      <w:r w:rsidRPr="00AB2EB7">
        <w:rPr>
          <w:rFonts w:cs="Arial"/>
          <w:i/>
          <w:szCs w:val="22"/>
        </w:rPr>
        <w:t>E. coli</w:t>
      </w:r>
      <w:r w:rsidRPr="00AB2EB7">
        <w:rPr>
          <w:rFonts w:cs="Arial"/>
          <w:szCs w:val="22"/>
        </w:rPr>
        <w:t xml:space="preserve"> compared to </w:t>
      </w:r>
      <w:r w:rsidRPr="00AB2EB7">
        <w:rPr>
          <w:rFonts w:cs="Arial"/>
          <w:i/>
          <w:szCs w:val="22"/>
        </w:rPr>
        <w:t xml:space="preserve">L. monocytogenes </w:t>
      </w:r>
      <w:r w:rsidR="00657FDB">
        <w:rPr>
          <w:rFonts w:cs="Arial"/>
          <w:szCs w:val="22"/>
        </w:rPr>
        <w:t>(Park et al. 2004; van Haute et al. 2013)</w:t>
      </w:r>
      <w:r w:rsidRPr="00AB2EB7">
        <w:rPr>
          <w:rFonts w:cs="Arial"/>
          <w:i/>
          <w:szCs w:val="22"/>
        </w:rPr>
        <w:t xml:space="preserve">. </w:t>
      </w:r>
      <w:r w:rsidRPr="00AB2EB7">
        <w:rPr>
          <w:rFonts w:cs="Arial"/>
          <w:szCs w:val="22"/>
        </w:rPr>
        <w:t xml:space="preserve">It is also widely hypothesised that the surface characteristics of fresh produce can reduce the efficacy of sanitisers. It has been experimentally demonstrated that produce with rougher surfaces can reduce the efficacy of sanitisers, and this has been attributed to rougher surfaces promoting attachment and providing increased protection from interventions such as sanitisers </w:t>
      </w:r>
      <w:r w:rsidR="00657FDB">
        <w:rPr>
          <w:rFonts w:cs="Arial"/>
          <w:szCs w:val="22"/>
        </w:rPr>
        <w:t>(Fransisca and Feng 2012; Palma-Salgado et al. 2020; Wang et al. 2009)</w:t>
      </w:r>
      <w:r w:rsidRPr="00AB2EB7">
        <w:rPr>
          <w:rFonts w:cs="Arial"/>
          <w:szCs w:val="22"/>
        </w:rPr>
        <w:t xml:space="preserve">. </w:t>
      </w:r>
    </w:p>
    <w:p w14:paraId="21BCCD8F" w14:textId="77777777" w:rsidR="0055458D" w:rsidRPr="00AB2EB7" w:rsidRDefault="0055458D" w:rsidP="0055458D">
      <w:pPr>
        <w:rPr>
          <w:rFonts w:cs="Arial"/>
          <w:szCs w:val="22"/>
        </w:rPr>
      </w:pPr>
    </w:p>
    <w:p w14:paraId="6326A6F0" w14:textId="77777777" w:rsidR="0055458D" w:rsidRPr="00AB2EB7" w:rsidRDefault="0055458D" w:rsidP="0055458D">
      <w:pPr>
        <w:rPr>
          <w:rFonts w:cs="Arial"/>
          <w:szCs w:val="22"/>
        </w:rPr>
      </w:pPr>
      <w:r w:rsidRPr="00AB2EB7">
        <w:rPr>
          <w:rFonts w:cs="Arial"/>
          <w:szCs w:val="22"/>
        </w:rPr>
        <w:t>The efficacy of disinfectants and sanitisers is generally considered to increase with increasing concentrations and contact times. However, fresh produce industries are limited in the concentrations and contact times that can be applied, as increases in these parameters can negatively reduce the quality and shelf life of produce. Furthermore, residual concentrations of disinfectants and sanitising chemicals on fresh produce are required to meet Maximum Residue Limits defined in standards both in Australia and overseas, and this can also limit the selection of concentrations and contact times applied by fresh produce sectors.</w:t>
      </w:r>
      <w:r w:rsidRPr="00AB2EB7">
        <w:rPr>
          <w:rFonts w:cs="Arial"/>
          <w:szCs w:val="22"/>
          <w:highlight w:val="yellow"/>
        </w:rPr>
        <w:t xml:space="preserve"> </w:t>
      </w:r>
    </w:p>
    <w:p w14:paraId="5CDF23AC" w14:textId="77777777" w:rsidR="0055458D" w:rsidRPr="00AB2EB7" w:rsidRDefault="0055458D" w:rsidP="0055458D"/>
    <w:p w14:paraId="77685932" w14:textId="77777777" w:rsidR="0055458D" w:rsidRPr="00AB2EB7" w:rsidRDefault="0055458D" w:rsidP="0055458D">
      <w:pPr>
        <w:rPr>
          <w:lang w:eastAsia="en-AU" w:bidi="ar-SA"/>
        </w:rPr>
      </w:pPr>
      <w:r>
        <w:rPr>
          <w:lang w:eastAsia="en-AU" w:bidi="ar-SA"/>
        </w:rPr>
        <w:t>T</w:t>
      </w:r>
      <w:r w:rsidRPr="00AB2EB7">
        <w:rPr>
          <w:lang w:eastAsia="en-AU" w:bidi="ar-SA"/>
        </w:rPr>
        <w:t>he evidence spec</w:t>
      </w:r>
      <w:r>
        <w:rPr>
          <w:lang w:eastAsia="en-AU" w:bidi="ar-SA"/>
        </w:rPr>
        <w:t>ifically associated with the in-</w:t>
      </w:r>
      <w:r w:rsidRPr="00AB2EB7">
        <w:rPr>
          <w:lang w:eastAsia="en-AU" w:bidi="ar-SA"/>
        </w:rPr>
        <w:t>scope commodities and hazards is summarised</w:t>
      </w:r>
      <w:r>
        <w:rPr>
          <w:lang w:eastAsia="en-AU" w:bidi="ar-SA"/>
        </w:rPr>
        <w:t xml:space="preserve"> below</w:t>
      </w:r>
      <w:r w:rsidRPr="00AB2EB7">
        <w:rPr>
          <w:lang w:eastAsia="en-AU" w:bidi="ar-SA"/>
        </w:rPr>
        <w:t xml:space="preserve">. </w:t>
      </w:r>
    </w:p>
    <w:p w14:paraId="7932B996" w14:textId="77777777" w:rsidR="0055458D" w:rsidRDefault="0055458D" w:rsidP="0055458D">
      <w:pPr>
        <w:pStyle w:val="Heading4"/>
        <w:numPr>
          <w:ilvl w:val="3"/>
          <w:numId w:val="11"/>
        </w:numPr>
        <w:rPr>
          <w:rFonts w:cs="Arial"/>
        </w:rPr>
      </w:pPr>
      <w:r w:rsidRPr="00AB2EB7">
        <w:t>Leafy vegetables</w:t>
      </w:r>
    </w:p>
    <w:p w14:paraId="2A06BB63" w14:textId="2A4FE2E2" w:rsidR="0055458D" w:rsidRPr="00AB2EB7" w:rsidRDefault="00657FDB" w:rsidP="0055458D">
      <w:pPr>
        <w:rPr>
          <w:rFonts w:cs="Arial"/>
          <w:szCs w:val="22"/>
          <w:u w:val="single"/>
        </w:rPr>
      </w:pPr>
      <w:r>
        <w:rPr>
          <w:rFonts w:cs="Arial"/>
          <w:szCs w:val="22"/>
        </w:rPr>
        <w:t>FAO/WHO</w:t>
      </w:r>
      <w:r w:rsidR="0055458D" w:rsidRPr="00AB2EB7">
        <w:rPr>
          <w:rFonts w:cs="Arial"/>
          <w:szCs w:val="22"/>
        </w:rPr>
        <w:t xml:space="preserve"> </w:t>
      </w:r>
      <w:r>
        <w:rPr>
          <w:rFonts w:cs="Arial"/>
          <w:szCs w:val="22"/>
        </w:rPr>
        <w:t>(2008b)</w:t>
      </w:r>
      <w:r w:rsidR="0055458D" w:rsidRPr="00AB2EB7">
        <w:rPr>
          <w:rFonts w:cs="Arial"/>
          <w:szCs w:val="22"/>
        </w:rPr>
        <w:t xml:space="preserve"> stated that there is a possibility of internalisation by pathogens due to the contraction of tissues of warmer fruit and vegetables when exposed to a negative temperature differential, </w:t>
      </w:r>
      <w:r w:rsidR="0055458D" w:rsidRPr="009D5A9D">
        <w:rPr>
          <w:rFonts w:cs="Arial"/>
          <w:szCs w:val="22"/>
        </w:rPr>
        <w:t>i.e.</w:t>
      </w:r>
      <w:r w:rsidR="0055458D" w:rsidRPr="00AB2EB7">
        <w:rPr>
          <w:rFonts w:cs="Arial"/>
          <w:szCs w:val="22"/>
        </w:rPr>
        <w:t xml:space="preserve"> when washed in cooler water. The effect of differentials between wash water and produce temperature for whole-lettuce heads has been reported. Lettuce heads pre-stored at 23°C and washed in water at 4°C resulted in significantly higher water absorption than if the lettuce was pre-stored at 5°C </w:t>
      </w:r>
      <w:r>
        <w:rPr>
          <w:rFonts w:cs="Arial"/>
          <w:szCs w:val="22"/>
        </w:rPr>
        <w:t>(Palma-Salgado et al. 2014)</w:t>
      </w:r>
      <w:r w:rsidR="0055458D" w:rsidRPr="00AB2EB7">
        <w:rPr>
          <w:rFonts w:cs="Arial"/>
          <w:szCs w:val="22"/>
        </w:rPr>
        <w:t xml:space="preserve">. Unfortunately, the potential for the internalisation of pathogens was not investigated in that study, but as reported in previous sections, pathogens can internalise via damaged or cut leafy greens </w:t>
      </w:r>
      <w:r>
        <w:rPr>
          <w:rFonts w:cs="Arial"/>
          <w:szCs w:val="22"/>
        </w:rPr>
        <w:t>(Golberg et al. 2011; Saggers et al. 2008; Takeuchi and Frank 2000)</w:t>
      </w:r>
      <w:r w:rsidR="0055458D">
        <w:rPr>
          <w:rFonts w:cs="Arial"/>
          <w:szCs w:val="22"/>
        </w:rPr>
        <w:t>.</w:t>
      </w:r>
    </w:p>
    <w:p w14:paraId="5F4F7D3C" w14:textId="77777777" w:rsidR="0055458D" w:rsidRPr="00AB2EB7" w:rsidRDefault="0055458D" w:rsidP="0055458D">
      <w:pPr>
        <w:rPr>
          <w:rFonts w:cs="Arial"/>
          <w:szCs w:val="22"/>
        </w:rPr>
      </w:pPr>
    </w:p>
    <w:p w14:paraId="24993468" w14:textId="2C91E39E" w:rsidR="008A11B3" w:rsidRDefault="0055458D" w:rsidP="008A11B3">
      <w:pPr>
        <w:rPr>
          <w:rFonts w:cs="Arial"/>
          <w:szCs w:val="22"/>
        </w:rPr>
      </w:pPr>
      <w:r w:rsidRPr="00AB2EB7">
        <w:rPr>
          <w:rFonts w:cs="Arial"/>
          <w:szCs w:val="22"/>
        </w:rPr>
        <w:t>The ability of pathogens to internalise into whole and cut leafy vegetables during washing has been reported, and the influence of postharvest storage on internalisation has been investigated to some degree</w:t>
      </w:r>
      <w:r>
        <w:rPr>
          <w:rFonts w:cs="Arial"/>
          <w:szCs w:val="22"/>
        </w:rPr>
        <w:t>.</w:t>
      </w:r>
      <w:r w:rsidRPr="00B0075A">
        <w:t xml:space="preserve"> </w:t>
      </w:r>
      <w:r>
        <w:t xml:space="preserve">When whole baby spinach leaves were washed for 2 minutes </w:t>
      </w:r>
      <w:r w:rsidRPr="003F4B82">
        <w:t xml:space="preserve">in wash water containing </w:t>
      </w:r>
      <w:r w:rsidRPr="003F4B82">
        <w:rPr>
          <w:rFonts w:cs="Arial"/>
          <w:szCs w:val="22"/>
        </w:rPr>
        <w:t xml:space="preserve">6.5 Log CFU/mL </w:t>
      </w:r>
      <w:r w:rsidRPr="003F4B82">
        <w:rPr>
          <w:rFonts w:cs="Arial"/>
          <w:i/>
          <w:szCs w:val="22"/>
        </w:rPr>
        <w:t>S.</w:t>
      </w:r>
      <w:r w:rsidRPr="003F4B82">
        <w:rPr>
          <w:rFonts w:cs="Arial"/>
          <w:szCs w:val="22"/>
        </w:rPr>
        <w:t xml:space="preserve"> Typhimurium, approximately 3 log CFU/g internalised into the spinach leaves</w:t>
      </w:r>
      <w:r w:rsidRPr="00AB2EB7">
        <w:rPr>
          <w:rFonts w:cs="Arial"/>
          <w:szCs w:val="22"/>
        </w:rPr>
        <w:t xml:space="preserve"> </w:t>
      </w:r>
      <w:r w:rsidR="00657FDB">
        <w:rPr>
          <w:rFonts w:cs="Arial"/>
          <w:szCs w:val="22"/>
        </w:rPr>
        <w:t>(Gómez-López et al. 2013)</w:t>
      </w:r>
      <w:r w:rsidRPr="00AB2EB7">
        <w:rPr>
          <w:rFonts w:cs="Arial"/>
          <w:szCs w:val="22"/>
        </w:rPr>
        <w:t>. The authors did not observe a significant decrease in the level of internalisation as a result of exposure to illumination or temperature differentials between the produce and the wash water. In contrast, exposing the baby spinach to relative humidity</w:t>
      </w:r>
      <w:r>
        <w:rPr>
          <w:rFonts w:cs="Arial"/>
          <w:szCs w:val="22"/>
        </w:rPr>
        <w:t xml:space="preserve"> of 74% compared to 99% for 44 hours</w:t>
      </w:r>
      <w:r w:rsidRPr="00AB2EB7">
        <w:rPr>
          <w:rFonts w:cs="Arial"/>
          <w:szCs w:val="22"/>
        </w:rPr>
        <w:t xml:space="preserve"> at 12°C before washing produced a significant reduction in the levels of internalisation which the authors attributed to increased stomatal closure at the lower relative humidity. Similarly, internalisation of </w:t>
      </w:r>
      <w:r w:rsidRPr="00AB2EB7">
        <w:rPr>
          <w:rFonts w:cs="Arial"/>
          <w:i/>
          <w:szCs w:val="22"/>
        </w:rPr>
        <w:t xml:space="preserve">Salmonella </w:t>
      </w:r>
      <w:r w:rsidRPr="00AB2EB7">
        <w:rPr>
          <w:rFonts w:cs="Arial"/>
          <w:szCs w:val="22"/>
        </w:rPr>
        <w:t xml:space="preserve">spp. has been reported during the washing of </w:t>
      </w:r>
      <w:r w:rsidRPr="00B0075A">
        <w:rPr>
          <w:rFonts w:cs="Arial"/>
          <w:szCs w:val="22"/>
        </w:rPr>
        <w:t>parsley</w:t>
      </w:r>
      <w:r w:rsidRPr="00AB2EB7">
        <w:rPr>
          <w:rFonts w:cs="Arial"/>
          <w:szCs w:val="22"/>
        </w:rPr>
        <w:t xml:space="preserve"> but temperature differentials did not increase internalisation when parsley stored at 25°C was washed for 3 min</w:t>
      </w:r>
      <w:r>
        <w:rPr>
          <w:rFonts w:cs="Arial"/>
          <w:szCs w:val="22"/>
        </w:rPr>
        <w:t>utes</w:t>
      </w:r>
      <w:r w:rsidRPr="00AB2EB7">
        <w:rPr>
          <w:rFonts w:cs="Arial"/>
          <w:szCs w:val="22"/>
        </w:rPr>
        <w:t xml:space="preserve"> with water at 5, 25, or 35°C with an inoculum level of 6 Log CFU/mL </w:t>
      </w:r>
      <w:r w:rsidR="00657FDB">
        <w:rPr>
          <w:rFonts w:cs="Arial"/>
          <w:szCs w:val="22"/>
        </w:rPr>
        <w:t>(Duffy et al. 2005b)</w:t>
      </w:r>
      <w:r w:rsidRPr="00AB2EB7">
        <w:rPr>
          <w:rFonts w:cs="Arial"/>
          <w:szCs w:val="22"/>
        </w:rPr>
        <w:t xml:space="preserve">. The relevance of these studies to commercial scenarios may be limited as high inoculum levels were used that are unlikely to be encountered in commercial scenarios and no sanitiser/disinfectants was used in the studies. </w:t>
      </w:r>
      <w:r w:rsidRPr="00AB2EB7">
        <w:rPr>
          <w:szCs w:val="22"/>
        </w:rPr>
        <w:t>Regardless, the results indicate that disinfectants used in wash water</w:t>
      </w:r>
      <w:r>
        <w:rPr>
          <w:szCs w:val="22"/>
        </w:rPr>
        <w:t xml:space="preserve"> can </w:t>
      </w:r>
      <w:r w:rsidRPr="00AB2EB7">
        <w:rPr>
          <w:szCs w:val="22"/>
        </w:rPr>
        <w:t xml:space="preserve">limit cross-contamination and the potential for internalisation in leafy vegetables, as water based sanitisers are not effective in eliminating internalised pathogens </w:t>
      </w:r>
      <w:r w:rsidR="00657FDB">
        <w:rPr>
          <w:rFonts w:cs="Arial"/>
          <w:szCs w:val="22"/>
        </w:rPr>
        <w:t>(Niemira 2007; Niemira 2008; Shynkaryk et al. 2015; van der Linden et al. 2016)</w:t>
      </w:r>
      <w:r w:rsidRPr="00AB2EB7">
        <w:rPr>
          <w:rFonts w:cs="Arial"/>
          <w:szCs w:val="22"/>
        </w:rPr>
        <w:t>.</w:t>
      </w:r>
      <w:r w:rsidR="008A11B3">
        <w:rPr>
          <w:rFonts w:cs="Arial"/>
          <w:szCs w:val="22"/>
        </w:rPr>
        <w:t xml:space="preserve"> </w:t>
      </w:r>
      <w:r w:rsidR="008A11B3">
        <w:rPr>
          <w:rFonts w:cs="Arial"/>
          <w:szCs w:val="22"/>
        </w:rPr>
        <w:br w:type="page"/>
      </w:r>
    </w:p>
    <w:p w14:paraId="2D09EAC9" w14:textId="37B51C7F" w:rsidR="0055458D" w:rsidRPr="00AB2EB7" w:rsidRDefault="0055458D" w:rsidP="0055458D">
      <w:pPr>
        <w:rPr>
          <w:rFonts w:cs="Arial"/>
          <w:szCs w:val="22"/>
        </w:rPr>
      </w:pPr>
      <w:r w:rsidRPr="00AB2EB7">
        <w:rPr>
          <w:szCs w:val="22"/>
        </w:rPr>
        <w:t xml:space="preserve">Currently available water based disinfectants are effective in significantly reducing pathogens in wash water. The use of appropriate disinfectants can reduce the likelihood of cross-contamination of leafy vegetables by effective inactivation of pathogens in wash water if applied and monitored under optimised conditions </w:t>
      </w:r>
      <w:r w:rsidR="00657FDB">
        <w:rPr>
          <w:szCs w:val="22"/>
        </w:rPr>
        <w:t>(Banach et al. 2017; Banach et al. 2020; Davidson et al. 2017; Jung et al. 2017; López-Gálvez et al. 2009; van Haute et al. 2015a; van Haute et al. 2015b; van Haute et al. 2017)</w:t>
      </w:r>
      <w:r w:rsidRPr="00AB2EB7">
        <w:rPr>
          <w:szCs w:val="22"/>
        </w:rPr>
        <w:t>.</w:t>
      </w:r>
      <w:r w:rsidRPr="00AB2EB7">
        <w:rPr>
          <w:rFonts w:cs="Arial"/>
          <w:szCs w:val="22"/>
        </w:rPr>
        <w:t xml:space="preserve"> </w:t>
      </w:r>
      <w:r w:rsidRPr="00B0075A">
        <w:rPr>
          <w:rFonts w:cs="Arial"/>
          <w:szCs w:val="22"/>
        </w:rPr>
        <w:t>For example,</w:t>
      </w:r>
      <w:r w:rsidRPr="00AB2EB7">
        <w:rPr>
          <w:rFonts w:cs="Arial"/>
          <w:szCs w:val="22"/>
        </w:rPr>
        <w:t xml:space="preserve"> Lopez-Galvez et al. </w:t>
      </w:r>
      <w:r w:rsidR="00657FDB">
        <w:rPr>
          <w:rFonts w:cs="Arial"/>
          <w:szCs w:val="22"/>
        </w:rPr>
        <w:t>(2010; 2009)</w:t>
      </w:r>
      <w:r w:rsidRPr="00AB2EB7">
        <w:rPr>
          <w:rFonts w:cs="Arial"/>
          <w:szCs w:val="22"/>
        </w:rPr>
        <w:t xml:space="preserve"> evaluated the potential for cross-contamination of </w:t>
      </w:r>
      <w:r w:rsidRPr="00B0075A">
        <w:rPr>
          <w:rFonts w:cs="Arial"/>
          <w:szCs w:val="22"/>
        </w:rPr>
        <w:t>cut lettuce</w:t>
      </w:r>
      <w:r w:rsidRPr="00AB2EB7">
        <w:rPr>
          <w:rFonts w:cs="Arial"/>
          <w:szCs w:val="22"/>
        </w:rPr>
        <w:t xml:space="preserve"> by </w:t>
      </w:r>
      <w:r w:rsidRPr="00AB2EB7">
        <w:rPr>
          <w:rFonts w:cs="Arial"/>
          <w:i/>
          <w:szCs w:val="22"/>
        </w:rPr>
        <w:t>E. coli</w:t>
      </w:r>
      <w:r w:rsidRPr="00AB2EB7">
        <w:rPr>
          <w:rFonts w:cs="Arial"/>
          <w:szCs w:val="22"/>
        </w:rPr>
        <w:t xml:space="preserve"> during processing with a pre-wash without sanitisers followed by washing with sanitisers. </w:t>
      </w:r>
      <w:r w:rsidR="00A1728B">
        <w:rPr>
          <w:rFonts w:cs="Arial"/>
          <w:i/>
          <w:szCs w:val="22"/>
        </w:rPr>
        <w:t>E. </w:t>
      </w:r>
      <w:r w:rsidRPr="00AB2EB7">
        <w:rPr>
          <w:rFonts w:cs="Arial"/>
          <w:i/>
          <w:szCs w:val="22"/>
        </w:rPr>
        <w:t>coli</w:t>
      </w:r>
      <w:r w:rsidR="00A1728B">
        <w:rPr>
          <w:rFonts w:cs="Arial"/>
          <w:szCs w:val="22"/>
        </w:rPr>
        <w:t> </w:t>
      </w:r>
      <w:r w:rsidRPr="00AB2EB7">
        <w:rPr>
          <w:rFonts w:cs="Arial"/>
          <w:szCs w:val="22"/>
        </w:rPr>
        <w:t xml:space="preserve">cells were able to attach in under a minute in the presence of high organic loads, and the </w:t>
      </w:r>
      <w:r>
        <w:rPr>
          <w:rFonts w:cs="Arial"/>
          <w:szCs w:val="22"/>
        </w:rPr>
        <w:t>subsequent sanitising wash for one</w:t>
      </w:r>
      <w:r w:rsidRPr="00AB2EB7">
        <w:rPr>
          <w:rFonts w:cs="Arial"/>
          <w:szCs w:val="22"/>
        </w:rPr>
        <w:t xml:space="preserve"> min</w:t>
      </w:r>
      <w:r>
        <w:rPr>
          <w:rFonts w:cs="Arial"/>
          <w:szCs w:val="22"/>
        </w:rPr>
        <w:t>ute</w:t>
      </w:r>
      <w:r w:rsidRPr="00AB2EB7">
        <w:rPr>
          <w:rFonts w:cs="Arial"/>
          <w:szCs w:val="22"/>
        </w:rPr>
        <w:t xml:space="preserve"> with either 3ppm ClO</w:t>
      </w:r>
      <w:r w:rsidRPr="00AB2EB7">
        <w:rPr>
          <w:rFonts w:cs="Arial"/>
          <w:szCs w:val="22"/>
          <w:vertAlign w:val="subscript"/>
        </w:rPr>
        <w:t>2</w:t>
      </w:r>
      <w:r w:rsidRPr="00AB2EB7">
        <w:rPr>
          <w:rFonts w:cs="Arial"/>
          <w:szCs w:val="22"/>
        </w:rPr>
        <w:t xml:space="preserve"> or 100ppm chlorine did not significantly reduce contamination levels on the s</w:t>
      </w:r>
      <w:r w:rsidR="00A1728B">
        <w:rPr>
          <w:rFonts w:cs="Arial"/>
          <w:szCs w:val="22"/>
        </w:rPr>
        <w:t>urface of the cut lettuce (i.e. </w:t>
      </w:r>
      <w:r>
        <w:rPr>
          <w:rFonts w:cs="Arial"/>
          <w:szCs w:val="22"/>
        </w:rPr>
        <w:t>&lt;</w:t>
      </w:r>
      <w:r w:rsidR="00A1728B">
        <w:rPr>
          <w:rFonts w:cs="Arial"/>
          <w:szCs w:val="22"/>
        </w:rPr>
        <w:t>1.3 Log </w:t>
      </w:r>
      <w:r w:rsidRPr="00AB2EB7">
        <w:rPr>
          <w:rFonts w:cs="Arial"/>
          <w:szCs w:val="22"/>
        </w:rPr>
        <w:t>CF</w:t>
      </w:r>
      <w:r>
        <w:rPr>
          <w:rFonts w:cs="Arial"/>
          <w:szCs w:val="22"/>
        </w:rPr>
        <w:t>U</w:t>
      </w:r>
      <w:r w:rsidRPr="00AB2EB7">
        <w:rPr>
          <w:rFonts w:cs="Arial"/>
          <w:szCs w:val="22"/>
        </w:rPr>
        <w:t xml:space="preserve">/g). However, the sanitisers were able to significantly reduce the levels of </w:t>
      </w:r>
      <w:r w:rsidRPr="00AB2EB7">
        <w:rPr>
          <w:rFonts w:cs="Arial"/>
          <w:i/>
          <w:szCs w:val="22"/>
        </w:rPr>
        <w:t xml:space="preserve">E. coli </w:t>
      </w:r>
      <w:r w:rsidRPr="00AB2EB7">
        <w:rPr>
          <w:rFonts w:cs="Arial"/>
          <w:szCs w:val="22"/>
        </w:rPr>
        <w:t xml:space="preserve">in the wash water to below the level of detection. The authors concluded that any step involving the immersion of produce in water should include a disinfection agent. </w:t>
      </w:r>
    </w:p>
    <w:p w14:paraId="7080F191" w14:textId="77777777" w:rsidR="0055458D" w:rsidRPr="00AB2EB7" w:rsidRDefault="0055458D" w:rsidP="0055458D">
      <w:pPr>
        <w:rPr>
          <w:rFonts w:cs="Arial"/>
          <w:szCs w:val="22"/>
        </w:rPr>
      </w:pPr>
    </w:p>
    <w:p w14:paraId="1DC02BA2" w14:textId="02FD6DE1" w:rsidR="0055458D" w:rsidRPr="00AB2EB7" w:rsidRDefault="0055458D" w:rsidP="0055458D">
      <w:pPr>
        <w:rPr>
          <w:rFonts w:cs="Arial"/>
          <w:szCs w:val="22"/>
        </w:rPr>
      </w:pPr>
      <w:r w:rsidRPr="00AB2EB7">
        <w:rPr>
          <w:rFonts w:cs="Arial"/>
          <w:szCs w:val="22"/>
        </w:rPr>
        <w:t xml:space="preserve">Similarly, </w:t>
      </w:r>
      <w:r w:rsidR="00657FDB">
        <w:rPr>
          <w:rFonts w:cs="Arial"/>
          <w:szCs w:val="22"/>
        </w:rPr>
        <w:t>Davidson et al.</w:t>
      </w:r>
      <w:r w:rsidRPr="00AB2EB7">
        <w:rPr>
          <w:rFonts w:cs="Arial"/>
          <w:szCs w:val="22"/>
        </w:rPr>
        <w:t xml:space="preserve"> </w:t>
      </w:r>
      <w:r w:rsidR="00657FDB">
        <w:rPr>
          <w:rFonts w:cs="Arial"/>
          <w:szCs w:val="22"/>
        </w:rPr>
        <w:t>(2017)</w:t>
      </w:r>
      <w:r w:rsidRPr="00AB2EB7">
        <w:rPr>
          <w:rFonts w:cs="Arial"/>
          <w:szCs w:val="22"/>
        </w:rPr>
        <w:t xml:space="preserve"> used a pilot scale processing line where inoculated (</w:t>
      </w:r>
      <w:r w:rsidR="00A1728B">
        <w:rPr>
          <w:rFonts w:cs="Arial"/>
          <w:i/>
          <w:szCs w:val="22"/>
        </w:rPr>
        <w:t>E. </w:t>
      </w:r>
      <w:r w:rsidRPr="00AB2EB7">
        <w:rPr>
          <w:rFonts w:cs="Arial"/>
          <w:i/>
          <w:szCs w:val="22"/>
        </w:rPr>
        <w:t>coli</w:t>
      </w:r>
      <w:r w:rsidR="00A1728B">
        <w:rPr>
          <w:rFonts w:cs="Arial"/>
          <w:szCs w:val="22"/>
        </w:rPr>
        <w:t> </w:t>
      </w:r>
      <w:r w:rsidRPr="00AB2EB7">
        <w:rPr>
          <w:rFonts w:cs="Arial"/>
          <w:szCs w:val="22"/>
        </w:rPr>
        <w:t>O157:H7 6 Log CFU/g) and un-inoculated lettuce was shredded, washed in a flume tank with and without 50ppm PAA or mixed peracid for 90</w:t>
      </w:r>
      <w:r>
        <w:rPr>
          <w:rFonts w:cs="Arial"/>
          <w:szCs w:val="22"/>
        </w:rPr>
        <w:t xml:space="preserve"> </w:t>
      </w:r>
      <w:r w:rsidRPr="00AB2EB7">
        <w:rPr>
          <w:rFonts w:cs="Arial"/>
          <w:szCs w:val="22"/>
        </w:rPr>
        <w:t>s</w:t>
      </w:r>
      <w:r>
        <w:rPr>
          <w:rFonts w:cs="Arial"/>
          <w:szCs w:val="22"/>
        </w:rPr>
        <w:t>econds</w:t>
      </w:r>
      <w:r w:rsidRPr="00AB2EB7">
        <w:rPr>
          <w:rFonts w:cs="Arial"/>
          <w:szCs w:val="22"/>
        </w:rPr>
        <w:t xml:space="preserve"> with different levels of organic load, and dried using a shaker table and centrifuge. The efficacy of the sanitisers on inoculated lettuce was not affected by organic load and reduced the levels of </w:t>
      </w:r>
      <w:r w:rsidRPr="00AB2EB7">
        <w:rPr>
          <w:rFonts w:cs="Arial"/>
          <w:i/>
          <w:szCs w:val="22"/>
        </w:rPr>
        <w:t xml:space="preserve">E. coli </w:t>
      </w:r>
      <w:r w:rsidRPr="00AB2EB7">
        <w:rPr>
          <w:rFonts w:cs="Arial"/>
          <w:szCs w:val="22"/>
        </w:rPr>
        <w:t>O157:H7</w:t>
      </w:r>
      <w:r w:rsidRPr="00AB2EB7">
        <w:rPr>
          <w:rFonts w:cs="Arial"/>
          <w:i/>
          <w:szCs w:val="22"/>
        </w:rPr>
        <w:t xml:space="preserve"> </w:t>
      </w:r>
      <w:r w:rsidRPr="00AB2EB7">
        <w:rPr>
          <w:rFonts w:cs="Arial"/>
          <w:szCs w:val="22"/>
        </w:rPr>
        <w:t>on the lettuce by 0.</w:t>
      </w:r>
      <w:r>
        <w:rPr>
          <w:rFonts w:cs="Arial"/>
          <w:szCs w:val="22"/>
        </w:rPr>
        <w:t>97-</w:t>
      </w:r>
      <w:r w:rsidRPr="00AB2EB7">
        <w:rPr>
          <w:rFonts w:cs="Arial"/>
          <w:szCs w:val="22"/>
        </w:rPr>
        <w:t xml:space="preserve">1.74 Log CFU/g. However, although higher reductions of </w:t>
      </w:r>
      <w:r w:rsidR="00A1728B">
        <w:rPr>
          <w:rFonts w:cs="Arial"/>
          <w:i/>
          <w:szCs w:val="22"/>
        </w:rPr>
        <w:t>E. </w:t>
      </w:r>
      <w:r w:rsidRPr="00AB2EB7">
        <w:rPr>
          <w:rFonts w:cs="Arial"/>
          <w:i/>
          <w:szCs w:val="22"/>
        </w:rPr>
        <w:t>coli</w:t>
      </w:r>
      <w:r w:rsidR="00A1728B">
        <w:rPr>
          <w:rFonts w:cs="Arial"/>
          <w:szCs w:val="22"/>
        </w:rPr>
        <w:t> </w:t>
      </w:r>
      <w:r w:rsidRPr="00AB2EB7">
        <w:rPr>
          <w:rFonts w:cs="Arial"/>
          <w:szCs w:val="22"/>
        </w:rPr>
        <w:t>O157:H7 were observed in the wash water treated with the same disinfectants</w:t>
      </w:r>
      <w:r>
        <w:rPr>
          <w:rFonts w:cs="Arial"/>
          <w:szCs w:val="22"/>
        </w:rPr>
        <w:t xml:space="preserve"> (&gt;</w:t>
      </w:r>
      <w:r w:rsidR="00A1728B">
        <w:rPr>
          <w:rFonts w:cs="Arial"/>
          <w:szCs w:val="22"/>
        </w:rPr>
        <w:t>5 </w:t>
      </w:r>
      <w:r w:rsidRPr="00AB2EB7">
        <w:rPr>
          <w:rFonts w:cs="Arial"/>
          <w:szCs w:val="22"/>
        </w:rPr>
        <w:t>Log CFU/mL after 22</w:t>
      </w:r>
      <w:r>
        <w:rPr>
          <w:rFonts w:cs="Arial"/>
          <w:szCs w:val="22"/>
        </w:rPr>
        <w:t xml:space="preserve"> </w:t>
      </w:r>
      <w:r w:rsidRPr="00AB2EB7">
        <w:rPr>
          <w:rFonts w:cs="Arial"/>
          <w:szCs w:val="22"/>
        </w:rPr>
        <w:t>min</w:t>
      </w:r>
      <w:r>
        <w:rPr>
          <w:rFonts w:cs="Arial"/>
          <w:szCs w:val="22"/>
        </w:rPr>
        <w:t>utes</w:t>
      </w:r>
      <w:r w:rsidRPr="00AB2EB7">
        <w:rPr>
          <w:rFonts w:cs="Arial"/>
          <w:szCs w:val="22"/>
        </w:rPr>
        <w:t xml:space="preserve"> of processing), </w:t>
      </w:r>
      <w:r w:rsidRPr="00AB2EB7">
        <w:rPr>
          <w:rFonts w:cs="Arial"/>
          <w:i/>
          <w:szCs w:val="22"/>
        </w:rPr>
        <w:t>E. coli</w:t>
      </w:r>
      <w:r w:rsidRPr="00AB2EB7">
        <w:rPr>
          <w:rFonts w:cs="Arial"/>
          <w:szCs w:val="22"/>
        </w:rPr>
        <w:t xml:space="preserve"> O157:H7 was detected i</w:t>
      </w:r>
      <w:r>
        <w:rPr>
          <w:rFonts w:cs="Arial"/>
          <w:szCs w:val="22"/>
        </w:rPr>
        <w:t>n almost all of the samples of three</w:t>
      </w:r>
      <w:r w:rsidRPr="00AB2EB7">
        <w:rPr>
          <w:rFonts w:cs="Arial"/>
          <w:szCs w:val="22"/>
        </w:rPr>
        <w:t xml:space="preserve"> subsequent un-inoculated lettuce batches that were processed.</w:t>
      </w:r>
      <w:r w:rsidRPr="005870A1">
        <w:rPr>
          <w:rFonts w:cs="Arial"/>
          <w:szCs w:val="22"/>
        </w:rPr>
        <w:t xml:space="preserve"> </w:t>
      </w:r>
      <w:r w:rsidRPr="00AB2EB7">
        <w:rPr>
          <w:rFonts w:cs="Arial"/>
          <w:szCs w:val="22"/>
        </w:rPr>
        <w:t>Also, recent studies at semi-commercial and industrial scales have determined th</w:t>
      </w:r>
      <w:r>
        <w:rPr>
          <w:rFonts w:cs="Arial"/>
          <w:szCs w:val="22"/>
        </w:rPr>
        <w:t>at target concentrations of 3-</w:t>
      </w:r>
      <w:r w:rsidRPr="00AB2EB7">
        <w:rPr>
          <w:rFonts w:cs="Arial"/>
          <w:szCs w:val="22"/>
        </w:rPr>
        <w:t>5ppm ClO</w:t>
      </w:r>
      <w:r w:rsidRPr="00AB2EB7">
        <w:rPr>
          <w:rFonts w:cs="Arial"/>
          <w:szCs w:val="22"/>
          <w:vertAlign w:val="subscript"/>
        </w:rPr>
        <w:t>2</w:t>
      </w:r>
      <w:r w:rsidRPr="00AB2EB7">
        <w:rPr>
          <w:rFonts w:cs="Arial"/>
          <w:szCs w:val="22"/>
        </w:rPr>
        <w:t xml:space="preserve"> </w:t>
      </w:r>
      <w:r w:rsidR="00657FDB">
        <w:rPr>
          <w:rFonts w:cs="Arial"/>
          <w:szCs w:val="22"/>
        </w:rPr>
        <w:t>(Banach et al. 2018)</w:t>
      </w:r>
      <w:r w:rsidRPr="00AB2EB7">
        <w:rPr>
          <w:rFonts w:cs="Arial"/>
          <w:szCs w:val="22"/>
        </w:rPr>
        <w:t xml:space="preserve">, and 75ppm PAA </w:t>
      </w:r>
      <w:r w:rsidR="00657FDB">
        <w:rPr>
          <w:rFonts w:cs="Arial"/>
          <w:szCs w:val="22"/>
        </w:rPr>
        <w:t>(Banach et al. 2020)</w:t>
      </w:r>
      <w:r w:rsidRPr="00AB2EB7">
        <w:rPr>
          <w:rFonts w:cs="Arial"/>
          <w:szCs w:val="22"/>
        </w:rPr>
        <w:t xml:space="preserve"> in wash water cannot prevent the attachment and cross-contamination of shredded lettuce by </w:t>
      </w:r>
      <w:r w:rsidRPr="00AB2EB7">
        <w:rPr>
          <w:rFonts w:cs="Arial"/>
          <w:i/>
          <w:szCs w:val="22"/>
        </w:rPr>
        <w:t>E. coli</w:t>
      </w:r>
      <w:r w:rsidRPr="00AB2EB7">
        <w:rPr>
          <w:rFonts w:cs="Arial"/>
          <w:szCs w:val="22"/>
        </w:rPr>
        <w:t xml:space="preserve"> added directly to the wash water (6 Log CFU/mL). However, these sanitisers did reduce the probability that cross-contamination would occur compared to if no sanitiser was used. </w:t>
      </w:r>
      <w:r>
        <w:rPr>
          <w:rFonts w:cs="Arial"/>
          <w:szCs w:val="22"/>
        </w:rPr>
        <w:t>Cross-</w:t>
      </w:r>
      <w:r w:rsidRPr="00AB2EB7">
        <w:rPr>
          <w:rFonts w:cs="Arial"/>
          <w:szCs w:val="22"/>
        </w:rPr>
        <w:t>contamination can still occur even with the addition of chemical disinfectants to the wash water, and indicates the importance of minimising contamination at the field level.</w:t>
      </w:r>
    </w:p>
    <w:p w14:paraId="7056A550" w14:textId="77777777" w:rsidR="0055458D" w:rsidRPr="00AB2EB7" w:rsidRDefault="0055458D" w:rsidP="0055458D">
      <w:pPr>
        <w:rPr>
          <w:rFonts w:cs="Arial"/>
          <w:szCs w:val="22"/>
        </w:rPr>
      </w:pPr>
    </w:p>
    <w:p w14:paraId="4710E87F" w14:textId="227E665F" w:rsidR="0055458D" w:rsidRPr="00AB2EB7" w:rsidRDefault="0055458D" w:rsidP="0055458D">
      <w:pPr>
        <w:rPr>
          <w:szCs w:val="22"/>
          <w:lang w:eastAsia="en-AU" w:bidi="ar-SA"/>
        </w:rPr>
      </w:pPr>
      <w:r w:rsidRPr="00AB2EB7">
        <w:rPr>
          <w:szCs w:val="22"/>
          <w:lang w:eastAsia="en-AU" w:bidi="ar-SA"/>
        </w:rPr>
        <w:t>The studies evaluating the efficacy of sanitisers to remove pathogens from the surface of fresh produce use considerably diverse methods, and, therefore, only limited conclusions can be drawn from results between studies. The results from studies that have assessed the efficacy of san</w:t>
      </w:r>
      <w:r>
        <w:rPr>
          <w:szCs w:val="22"/>
          <w:lang w:eastAsia="en-AU" w:bidi="ar-SA"/>
        </w:rPr>
        <w:t>itisers between the specific in-</w:t>
      </w:r>
      <w:r w:rsidRPr="00AB2EB7">
        <w:rPr>
          <w:szCs w:val="22"/>
          <w:lang w:eastAsia="en-AU" w:bidi="ar-SA"/>
        </w:rPr>
        <w:t>scope commodities of the leafy vegetable sector are inc</w:t>
      </w:r>
      <w:r>
        <w:rPr>
          <w:szCs w:val="22"/>
          <w:lang w:eastAsia="en-AU" w:bidi="ar-SA"/>
        </w:rPr>
        <w:t>onsistent. Aqueous ozone (0.5-</w:t>
      </w:r>
      <w:r w:rsidRPr="00AB2EB7">
        <w:rPr>
          <w:szCs w:val="22"/>
          <w:lang w:eastAsia="en-AU" w:bidi="ar-SA"/>
        </w:rPr>
        <w:t>1.5ppm applied for 3</w:t>
      </w:r>
      <w:r>
        <w:rPr>
          <w:szCs w:val="22"/>
          <w:lang w:eastAsia="en-AU" w:bidi="ar-SA"/>
        </w:rPr>
        <w:t xml:space="preserve"> </w:t>
      </w:r>
      <w:r w:rsidRPr="00AB2EB7">
        <w:rPr>
          <w:szCs w:val="22"/>
          <w:lang w:eastAsia="en-AU" w:bidi="ar-SA"/>
        </w:rPr>
        <w:t>min</w:t>
      </w:r>
      <w:r>
        <w:rPr>
          <w:szCs w:val="22"/>
          <w:lang w:eastAsia="en-AU" w:bidi="ar-SA"/>
        </w:rPr>
        <w:t>utes</w:t>
      </w:r>
      <w:r w:rsidRPr="00AB2EB7">
        <w:rPr>
          <w:szCs w:val="22"/>
          <w:lang w:eastAsia="en-AU" w:bidi="ar-SA"/>
        </w:rPr>
        <w:t xml:space="preserve">) was demonstrated to be significantly more effective for removing </w:t>
      </w:r>
      <w:r w:rsidRPr="00AB2EB7">
        <w:rPr>
          <w:i/>
          <w:szCs w:val="22"/>
          <w:lang w:eastAsia="en-AU" w:bidi="ar-SA"/>
        </w:rPr>
        <w:t>S</w:t>
      </w:r>
      <w:r w:rsidRPr="00AB2EB7">
        <w:rPr>
          <w:szCs w:val="22"/>
          <w:lang w:eastAsia="en-AU" w:bidi="ar-SA"/>
        </w:rPr>
        <w:t>. Typhimurium on whole leaf lettuce (</w:t>
      </w:r>
      <w:r>
        <w:rPr>
          <w:rFonts w:cs="Arial"/>
          <w:szCs w:val="22"/>
        </w:rPr>
        <w:t>1.2-</w:t>
      </w:r>
      <w:r w:rsidRPr="00AB2EB7">
        <w:rPr>
          <w:rFonts w:cs="Arial"/>
          <w:szCs w:val="22"/>
        </w:rPr>
        <w:t>3</w:t>
      </w:r>
      <w:r w:rsidR="00A1728B">
        <w:rPr>
          <w:rFonts w:cs="Arial"/>
          <w:szCs w:val="22"/>
        </w:rPr>
        <w:t>.1 </w:t>
      </w:r>
      <w:r>
        <w:rPr>
          <w:rFonts w:cs="Arial"/>
          <w:szCs w:val="22"/>
        </w:rPr>
        <w:t>L</w:t>
      </w:r>
      <w:r w:rsidR="00A1728B">
        <w:rPr>
          <w:rFonts w:cs="Arial"/>
          <w:szCs w:val="22"/>
        </w:rPr>
        <w:t>og </w:t>
      </w:r>
      <w:r w:rsidRPr="00AB2EB7">
        <w:rPr>
          <w:rFonts w:cs="Arial"/>
          <w:szCs w:val="22"/>
        </w:rPr>
        <w:t>reduction</w:t>
      </w:r>
      <w:r>
        <w:rPr>
          <w:szCs w:val="22"/>
          <w:lang w:eastAsia="en-AU" w:bidi="ar-SA"/>
        </w:rPr>
        <w:t>) than parsley (0.3-2.6 L</w:t>
      </w:r>
      <w:r w:rsidRPr="00AB2EB7">
        <w:rPr>
          <w:szCs w:val="22"/>
          <w:lang w:eastAsia="en-AU" w:bidi="ar-SA"/>
        </w:rPr>
        <w:t xml:space="preserve">og reduction), and the authors suggested this is because lettuce leaves are smoother and more uniform than parsley leaves that may provide more attachment sites and </w:t>
      </w:r>
      <w:r w:rsidRPr="00DB711B">
        <w:rPr>
          <w:szCs w:val="22"/>
          <w:lang w:eastAsia="en-AU" w:bidi="ar-SA"/>
        </w:rPr>
        <w:t xml:space="preserve">protection for bacterial cells </w:t>
      </w:r>
      <w:r w:rsidR="00657FDB">
        <w:rPr>
          <w:szCs w:val="22"/>
          <w:lang w:eastAsia="en-AU" w:bidi="ar-SA"/>
        </w:rPr>
        <w:t>(Sengun 2013)</w:t>
      </w:r>
      <w:r w:rsidRPr="00DB711B">
        <w:rPr>
          <w:szCs w:val="22"/>
          <w:lang w:eastAsia="en-AU" w:bidi="ar-SA"/>
        </w:rPr>
        <w:t xml:space="preserve">. In contrast, larger Log reductions were generally reported for the reduction of </w:t>
      </w:r>
      <w:r w:rsidRPr="00DB711B">
        <w:rPr>
          <w:i/>
          <w:szCs w:val="22"/>
          <w:lang w:eastAsia="en-AU" w:bidi="ar-SA"/>
        </w:rPr>
        <w:t>E. coli</w:t>
      </w:r>
      <w:r w:rsidRPr="00DB711B">
        <w:rPr>
          <w:szCs w:val="22"/>
          <w:lang w:eastAsia="en-AU" w:bidi="ar-SA"/>
        </w:rPr>
        <w:t xml:space="preserve"> O157:H7, </w:t>
      </w:r>
      <w:r w:rsidRPr="00DB711B">
        <w:rPr>
          <w:i/>
          <w:szCs w:val="22"/>
          <w:lang w:eastAsia="en-AU" w:bidi="ar-SA"/>
        </w:rPr>
        <w:t>Salmonella</w:t>
      </w:r>
      <w:r w:rsidRPr="00DB711B">
        <w:rPr>
          <w:szCs w:val="22"/>
          <w:lang w:eastAsia="en-AU" w:bidi="ar-SA"/>
        </w:rPr>
        <w:t xml:space="preserve"> spp. and </w:t>
      </w:r>
      <w:r w:rsidRPr="00DB711B">
        <w:rPr>
          <w:i/>
          <w:szCs w:val="22"/>
          <w:lang w:eastAsia="en-AU" w:bidi="ar-SA"/>
        </w:rPr>
        <w:t>L. monocytogenes</w:t>
      </w:r>
      <w:r w:rsidRPr="00DB711B">
        <w:rPr>
          <w:szCs w:val="22"/>
          <w:lang w:eastAsia="en-AU" w:bidi="ar-SA"/>
        </w:rPr>
        <w:t xml:space="preserve"> on the surface of parsley (1.6-4.0 </w:t>
      </w:r>
      <w:r>
        <w:rPr>
          <w:szCs w:val="22"/>
          <w:lang w:eastAsia="en-AU" w:bidi="ar-SA"/>
        </w:rPr>
        <w:t xml:space="preserve">Log </w:t>
      </w:r>
      <w:r w:rsidRPr="00DB711B">
        <w:rPr>
          <w:szCs w:val="22"/>
          <w:lang w:eastAsia="en-AU" w:bidi="ar-SA"/>
        </w:rPr>
        <w:t>reductions) than cut lettuce (1.2-1.9</w:t>
      </w:r>
      <w:r w:rsidRPr="00573C28">
        <w:rPr>
          <w:szCs w:val="22"/>
          <w:lang w:eastAsia="en-AU" w:bidi="ar-SA"/>
        </w:rPr>
        <w:t xml:space="preserve"> </w:t>
      </w:r>
      <w:r>
        <w:rPr>
          <w:szCs w:val="22"/>
          <w:lang w:eastAsia="en-AU" w:bidi="ar-SA"/>
        </w:rPr>
        <w:t xml:space="preserve">Log </w:t>
      </w:r>
      <w:r w:rsidRPr="00DB711B">
        <w:rPr>
          <w:szCs w:val="22"/>
          <w:lang w:eastAsia="en-AU" w:bidi="ar-SA"/>
        </w:rPr>
        <w:t>reductions) treated with 200ppm chlorine for 5 minutes, though statistical comparisons between the commodities were not undertaken</w:t>
      </w:r>
      <w:r>
        <w:rPr>
          <w:szCs w:val="22"/>
          <w:lang w:eastAsia="en-AU" w:bidi="ar-SA"/>
        </w:rPr>
        <w:t xml:space="preserve"> </w:t>
      </w:r>
      <w:r w:rsidR="00657FDB">
        <w:rPr>
          <w:szCs w:val="22"/>
          <w:lang w:eastAsia="en-AU" w:bidi="ar-SA"/>
        </w:rPr>
        <w:t>(Lang et al. 2004)</w:t>
      </w:r>
      <w:r w:rsidRPr="00DB711B">
        <w:rPr>
          <w:szCs w:val="22"/>
          <w:lang w:eastAsia="en-AU" w:bidi="ar-SA"/>
        </w:rPr>
        <w:t xml:space="preserve">. In another study, similar Log reductions of </w:t>
      </w:r>
      <w:r w:rsidRPr="00DB711B">
        <w:rPr>
          <w:i/>
          <w:szCs w:val="22"/>
          <w:lang w:eastAsia="en-AU" w:bidi="ar-SA"/>
        </w:rPr>
        <w:t xml:space="preserve">E. coli </w:t>
      </w:r>
      <w:r w:rsidRPr="00DB711B">
        <w:rPr>
          <w:szCs w:val="22"/>
          <w:lang w:eastAsia="en-AU" w:bidi="ar-SA"/>
        </w:rPr>
        <w:t xml:space="preserve">and </w:t>
      </w:r>
      <w:r w:rsidRPr="00DB711B">
        <w:rPr>
          <w:i/>
          <w:szCs w:val="22"/>
          <w:lang w:eastAsia="en-AU" w:bidi="ar-SA"/>
        </w:rPr>
        <w:t xml:space="preserve">L. innocua </w:t>
      </w:r>
      <w:r w:rsidRPr="00DB711B">
        <w:rPr>
          <w:szCs w:val="22"/>
          <w:lang w:eastAsia="en-AU" w:bidi="ar-SA"/>
        </w:rPr>
        <w:t>were reported for cut lettuce</w:t>
      </w:r>
      <w:r w:rsidR="00A1728B">
        <w:rPr>
          <w:szCs w:val="22"/>
          <w:lang w:eastAsia="en-AU" w:bidi="ar-SA"/>
        </w:rPr>
        <w:t xml:space="preserve"> (2.1-2.9 </w:t>
      </w:r>
      <w:r>
        <w:rPr>
          <w:szCs w:val="22"/>
          <w:lang w:eastAsia="en-AU" w:bidi="ar-SA"/>
        </w:rPr>
        <w:t>Log reduction), spinach (1.7-2.7 L</w:t>
      </w:r>
      <w:r w:rsidRPr="00AB2EB7">
        <w:rPr>
          <w:szCs w:val="22"/>
          <w:lang w:eastAsia="en-AU" w:bidi="ar-SA"/>
        </w:rPr>
        <w:t>og re</w:t>
      </w:r>
      <w:r>
        <w:rPr>
          <w:szCs w:val="22"/>
          <w:lang w:eastAsia="en-AU" w:bidi="ar-SA"/>
        </w:rPr>
        <w:t>duction), and parsley (2.2-3.0 L</w:t>
      </w:r>
      <w:r w:rsidRPr="00AB2EB7">
        <w:rPr>
          <w:szCs w:val="22"/>
          <w:lang w:eastAsia="en-AU" w:bidi="ar-SA"/>
        </w:rPr>
        <w:t>og reduction) treated with either aqueous ozone (12ppm) or chlorine (100ppm) for 15</w:t>
      </w:r>
      <w:r>
        <w:rPr>
          <w:szCs w:val="22"/>
          <w:lang w:eastAsia="en-AU" w:bidi="ar-SA"/>
        </w:rPr>
        <w:t xml:space="preserve"> </w:t>
      </w:r>
      <w:r w:rsidRPr="00AB2EB7">
        <w:rPr>
          <w:szCs w:val="22"/>
          <w:lang w:eastAsia="en-AU" w:bidi="ar-SA"/>
        </w:rPr>
        <w:t>min</w:t>
      </w:r>
      <w:r>
        <w:rPr>
          <w:szCs w:val="22"/>
          <w:lang w:eastAsia="en-AU" w:bidi="ar-SA"/>
        </w:rPr>
        <w:t>utes</w:t>
      </w:r>
      <w:r w:rsidRPr="00AB2EB7">
        <w:rPr>
          <w:szCs w:val="22"/>
          <w:lang w:eastAsia="en-AU" w:bidi="ar-SA"/>
        </w:rPr>
        <w:t xml:space="preserve"> </w:t>
      </w:r>
      <w:r w:rsidR="00657FDB">
        <w:rPr>
          <w:szCs w:val="22"/>
          <w:lang w:eastAsia="en-AU" w:bidi="ar-SA"/>
        </w:rPr>
        <w:t>(Karaca and Velioglu 2014)</w:t>
      </w:r>
      <w:r w:rsidRPr="00AB2EB7">
        <w:rPr>
          <w:szCs w:val="22"/>
          <w:lang w:eastAsia="en-AU" w:bidi="ar-SA"/>
        </w:rPr>
        <w:t xml:space="preserve">. </w:t>
      </w:r>
      <w:r w:rsidRPr="00B0075A">
        <w:rPr>
          <w:szCs w:val="22"/>
          <w:lang w:eastAsia="en-AU" w:bidi="ar-SA"/>
        </w:rPr>
        <w:t>As such, there is insufficient evidence to determine if the efficacy of currently used sanitisers differ significantly as to influence the level of risk between lettuce, spinach and parsley.</w:t>
      </w:r>
      <w:r w:rsidRPr="00AB2EB7">
        <w:rPr>
          <w:szCs w:val="22"/>
          <w:lang w:eastAsia="en-AU" w:bidi="ar-SA"/>
        </w:rPr>
        <w:t xml:space="preserve"> As mentioned previously, efficacy will be dependent on multiple factors such as the commodity, the prior processing of the commodity (</w:t>
      </w:r>
      <w:r w:rsidRPr="009D5A9D">
        <w:rPr>
          <w:szCs w:val="22"/>
          <w:lang w:eastAsia="en-AU" w:bidi="ar-SA"/>
        </w:rPr>
        <w:t>e.g.</w:t>
      </w:r>
      <w:r w:rsidRPr="00AB2EB7">
        <w:rPr>
          <w:szCs w:val="22"/>
          <w:lang w:eastAsia="en-AU" w:bidi="ar-SA"/>
        </w:rPr>
        <w:t xml:space="preserve"> cut or whole), the pathogen, the sanitiser, and the conditions and method of sanitiser application. </w:t>
      </w:r>
    </w:p>
    <w:p w14:paraId="6EB4227B" w14:textId="77777777" w:rsidR="0055458D" w:rsidRPr="00AB2EB7" w:rsidRDefault="0055458D" w:rsidP="0055458D">
      <w:pPr>
        <w:rPr>
          <w:rFonts w:cs="Arial"/>
          <w:szCs w:val="22"/>
          <w:u w:val="single"/>
        </w:rPr>
      </w:pPr>
    </w:p>
    <w:p w14:paraId="333C4AC7" w14:textId="77777777" w:rsidR="008A11B3" w:rsidRDefault="008A11B3">
      <w:pPr>
        <w:widowControl/>
        <w:rPr>
          <w:szCs w:val="22"/>
        </w:rPr>
      </w:pPr>
      <w:r>
        <w:rPr>
          <w:szCs w:val="22"/>
        </w:rPr>
        <w:br w:type="page"/>
      </w:r>
    </w:p>
    <w:p w14:paraId="0F9BBA6E" w14:textId="48F3276D" w:rsidR="0055458D" w:rsidRPr="00AB2EB7" w:rsidRDefault="0055458D" w:rsidP="0055458D">
      <w:pPr>
        <w:rPr>
          <w:rFonts w:cs="Arial"/>
          <w:szCs w:val="22"/>
          <w:lang w:val="en-AU" w:eastAsia="en-GB"/>
        </w:rPr>
      </w:pPr>
      <w:r w:rsidRPr="00AB2EB7">
        <w:rPr>
          <w:szCs w:val="22"/>
        </w:rPr>
        <w:t xml:space="preserve">Water based sanitisers used at industry-relevant concentrations and contact times (that do not adversely affect sensory properties of produce) are </w:t>
      </w:r>
      <w:r w:rsidRPr="00AB2EB7">
        <w:rPr>
          <w:rFonts w:cs="Arial"/>
          <w:szCs w:val="22"/>
          <w:lang w:val="en-AU" w:eastAsia="en-GB"/>
        </w:rPr>
        <w:t>limited in efficacy for removing pathogens from the surface of leafy vegetables and, in general, achieve reductions of &lt;3 </w:t>
      </w:r>
      <w:r>
        <w:rPr>
          <w:rFonts w:cs="Arial"/>
          <w:szCs w:val="22"/>
          <w:lang w:val="en-AU" w:eastAsia="en-GB"/>
        </w:rPr>
        <w:t>L</w:t>
      </w:r>
      <w:r w:rsidR="00A1728B">
        <w:rPr>
          <w:rFonts w:cs="Arial"/>
          <w:szCs w:val="22"/>
          <w:lang w:val="en-AU" w:eastAsia="en-GB"/>
        </w:rPr>
        <w:t>og </w:t>
      </w:r>
      <w:r w:rsidRPr="00AB2EB7">
        <w:rPr>
          <w:rFonts w:cs="Arial"/>
          <w:szCs w:val="22"/>
          <w:lang w:val="en-AU" w:eastAsia="en-GB"/>
        </w:rPr>
        <w:t xml:space="preserve">CFU </w:t>
      </w:r>
      <w:r w:rsidR="00657FDB">
        <w:rPr>
          <w:rFonts w:cs="Arial"/>
          <w:szCs w:val="22"/>
          <w:lang w:val="en-AU" w:eastAsia="en-GB"/>
        </w:rPr>
        <w:t>(Karaca and Velioglu 2014; Lapidot et al. 2006; Niemira and Cooke 2010; Omac et al. 2017; Rahman et al. 2010; Rahman et al. 2016; Thi-Van et al. 2019; van der Linden et al. 2016)</w:t>
      </w:r>
      <w:r w:rsidRPr="00AB2EB7">
        <w:rPr>
          <w:rFonts w:cs="Arial"/>
          <w:szCs w:val="22"/>
          <w:lang w:val="en-AU" w:eastAsia="en-GB"/>
        </w:rPr>
        <w:t xml:space="preserve">. Studies reporting the efficacy of sanitisers to remove </w:t>
      </w:r>
      <w:r w:rsidRPr="00AB2EB7">
        <w:rPr>
          <w:rFonts w:cs="Arial"/>
          <w:i/>
          <w:szCs w:val="22"/>
          <w:lang w:val="en-AU" w:eastAsia="en-GB"/>
        </w:rPr>
        <w:t>L. monocytogenes</w:t>
      </w:r>
      <w:r w:rsidRPr="00AB2EB7">
        <w:rPr>
          <w:rFonts w:cs="Arial"/>
          <w:szCs w:val="22"/>
          <w:lang w:val="en-AU" w:eastAsia="en-GB"/>
        </w:rPr>
        <w:t xml:space="preserve">, </w:t>
      </w:r>
      <w:r w:rsidRPr="00AB2EB7">
        <w:rPr>
          <w:rFonts w:cs="Arial"/>
          <w:i/>
          <w:szCs w:val="22"/>
          <w:lang w:val="en-AU" w:eastAsia="en-GB"/>
        </w:rPr>
        <w:t>Salmonella</w:t>
      </w:r>
      <w:r>
        <w:rPr>
          <w:rFonts w:cs="Arial"/>
          <w:szCs w:val="22"/>
          <w:lang w:val="en-AU" w:eastAsia="en-GB"/>
        </w:rPr>
        <w:t> </w:t>
      </w:r>
      <w:r w:rsidRPr="00AB2EB7">
        <w:rPr>
          <w:rFonts w:cs="Arial"/>
          <w:szCs w:val="22"/>
          <w:lang w:val="en-AU" w:eastAsia="en-GB"/>
        </w:rPr>
        <w:t xml:space="preserve">spp. and </w:t>
      </w:r>
      <w:r w:rsidRPr="00AB2EB7">
        <w:rPr>
          <w:rFonts w:cs="Arial"/>
          <w:i/>
          <w:szCs w:val="22"/>
          <w:lang w:val="en-AU" w:eastAsia="en-GB"/>
        </w:rPr>
        <w:t>E. coli</w:t>
      </w:r>
      <w:r w:rsidRPr="00AB2EB7">
        <w:rPr>
          <w:rFonts w:cs="Arial"/>
          <w:szCs w:val="22"/>
          <w:lang w:val="en-AU" w:eastAsia="en-GB"/>
        </w:rPr>
        <w:t xml:space="preserve"> from the surface of the in-scope leafy vegetables are summarised in </w:t>
      </w:r>
      <w:r w:rsidRPr="00F404EA">
        <w:rPr>
          <w:rFonts w:cs="Arial"/>
          <w:szCs w:val="22"/>
          <w:lang w:val="en-AU" w:eastAsia="en-GB"/>
        </w:rPr>
        <w:t>Appendix 11.</w:t>
      </w:r>
      <w:r w:rsidRPr="00AB2EB7">
        <w:rPr>
          <w:rFonts w:cs="Arial"/>
          <w:szCs w:val="22"/>
          <w:lang w:val="en-AU" w:eastAsia="en-GB"/>
        </w:rPr>
        <w:t xml:space="preserve"> </w:t>
      </w:r>
    </w:p>
    <w:p w14:paraId="644BB73F" w14:textId="77777777" w:rsidR="0055458D" w:rsidRPr="00AB2EB7" w:rsidRDefault="0055458D" w:rsidP="0055458D">
      <w:pPr>
        <w:rPr>
          <w:rFonts w:cs="Arial"/>
          <w:szCs w:val="22"/>
          <w:lang w:val="en-AU" w:eastAsia="en-GB"/>
        </w:rPr>
      </w:pPr>
    </w:p>
    <w:p w14:paraId="47C1C8F3" w14:textId="77777777" w:rsidR="0055458D" w:rsidRPr="00AB2EB7" w:rsidRDefault="0055458D" w:rsidP="0055458D">
      <w:pPr>
        <w:rPr>
          <w:rFonts w:cs="Arial"/>
          <w:szCs w:val="22"/>
          <w:lang w:val="en-AU" w:eastAsia="en-GB"/>
        </w:rPr>
      </w:pPr>
      <w:r w:rsidRPr="00AB2EB7">
        <w:rPr>
          <w:rFonts w:cs="Arial"/>
          <w:szCs w:val="22"/>
          <w:lang w:val="en-AU" w:eastAsia="en-GB"/>
        </w:rPr>
        <w:t>The use of disinfectants are mainly applied to decrease the likelihood of cross-contamination via the wash water but, when used as sanitisers, have limited efficacy against pathogens that are already on the surface of leafy vegetables entering the wash water. Therefore, disinfectants or sanitisers alone cannot be relied upon to ensure end product safety which will require a consistent through-chain approach to risk management.</w:t>
      </w:r>
    </w:p>
    <w:p w14:paraId="7046DCAE" w14:textId="77777777" w:rsidR="0055458D" w:rsidRPr="00AB2EB7" w:rsidRDefault="0055458D" w:rsidP="0055458D">
      <w:pPr>
        <w:pStyle w:val="Heading4"/>
        <w:numPr>
          <w:ilvl w:val="3"/>
          <w:numId w:val="11"/>
        </w:numPr>
      </w:pPr>
      <w:r w:rsidRPr="00AB2EB7">
        <w:t>Berries</w:t>
      </w:r>
    </w:p>
    <w:p w14:paraId="698CE736" w14:textId="0B71E046" w:rsidR="0055458D" w:rsidRPr="00AB2EB7" w:rsidRDefault="0055458D" w:rsidP="0055458D">
      <w:pPr>
        <w:rPr>
          <w:lang w:bidi="ar-SA"/>
        </w:rPr>
      </w:pPr>
      <w:r w:rsidRPr="00AB2EB7">
        <w:rPr>
          <w:lang w:bidi="ar-SA"/>
        </w:rPr>
        <w:t>Berries for consumption as raw produce are generally packed directly in the field and do not normally undergo washing or sanitising steps. This is because berries are</w:t>
      </w:r>
      <w:r w:rsidRPr="00AB2EB7">
        <w:t xml:space="preserve"> highly susceptibility to fungal deterioration, which is promoted by the presence of water, and will shorten the shelf life of these products </w:t>
      </w:r>
      <w:r w:rsidR="00657FDB">
        <w:t>(Gazula et al. 2019; Yu et al. 2001)</w:t>
      </w:r>
      <w:r w:rsidRPr="00AB2EB7">
        <w:t>.</w:t>
      </w:r>
      <w:r w:rsidRPr="00AB2EB7">
        <w:rPr>
          <w:lang w:bidi="ar-SA"/>
        </w:rPr>
        <w:t xml:space="preserve"> However, berries destined for freezing or further processing are generally subjected to washing and/or sanitising.</w:t>
      </w:r>
    </w:p>
    <w:p w14:paraId="5D8EE0F3" w14:textId="77777777" w:rsidR="0055458D" w:rsidRPr="00AB2EB7" w:rsidRDefault="0055458D" w:rsidP="0055458D"/>
    <w:p w14:paraId="4D58BE6A" w14:textId="77777777" w:rsidR="0055458D" w:rsidRPr="00AB2EB7" w:rsidRDefault="0055458D" w:rsidP="0055458D">
      <w:r w:rsidRPr="00AB2EB7">
        <w:t xml:space="preserve">The potential for internalisation of viral or bacterial pathogens during washing of berries is poorly documented in the literature. The limited efficacy of commonly used water-based sanitisers to remove or inactivate NoV and HAV on the surface of berries has been demonstrated and studies are summarised </w:t>
      </w:r>
      <w:r w:rsidRPr="00F404EA">
        <w:t>in Appendix 11.</w:t>
      </w:r>
      <w:r w:rsidRPr="00AB2EB7">
        <w:t xml:space="preserve"> </w:t>
      </w:r>
    </w:p>
    <w:p w14:paraId="608DD72D" w14:textId="77777777" w:rsidR="0055458D" w:rsidRPr="00AB2EB7" w:rsidRDefault="0055458D" w:rsidP="0055458D"/>
    <w:p w14:paraId="3C84BE0D" w14:textId="1DCEDE9F" w:rsidR="0055458D" w:rsidRPr="00AB2EB7" w:rsidRDefault="0055458D" w:rsidP="0055458D">
      <w:r w:rsidRPr="00AB2EB7">
        <w:t xml:space="preserve">It is likely that the same limitations of disinfectants and sanitisers applied to leafy vegetables and melons will apply to berries. As such, the use of these interventions alone cannot ensure end product safety. </w:t>
      </w:r>
    </w:p>
    <w:p w14:paraId="4B7BD75B" w14:textId="77777777" w:rsidR="0055458D" w:rsidRPr="00AB2EB7" w:rsidRDefault="0055458D" w:rsidP="0055458D">
      <w:pPr>
        <w:pStyle w:val="Heading4"/>
        <w:numPr>
          <w:ilvl w:val="3"/>
          <w:numId w:val="11"/>
        </w:numPr>
      </w:pPr>
      <w:r w:rsidRPr="00AB2EB7">
        <w:t>Melons</w:t>
      </w:r>
    </w:p>
    <w:p w14:paraId="6901A7B5" w14:textId="77777777" w:rsidR="0055458D" w:rsidRPr="00AB2EB7" w:rsidRDefault="0055458D" w:rsidP="0055458D">
      <w:pPr>
        <w:rPr>
          <w:lang w:eastAsia="en-AU"/>
        </w:rPr>
      </w:pPr>
      <w:r w:rsidRPr="00AB2EB7">
        <w:rPr>
          <w:lang w:eastAsia="en-AU"/>
        </w:rPr>
        <w:t>The Australian rockmelon industry uses a variety of methods to clean and sanitise the outside of whole melons during postharvest processing. Melons can be pre-cooled before either dry dumping or wet dumping. Melons are sometimes sprayed with or dipped in fungicide to prevent fruit rot. Following these treatments, the fruit is air-dried sometimes with the assistance of fans and cooled.</w:t>
      </w:r>
    </w:p>
    <w:p w14:paraId="7F8BA8EF" w14:textId="77777777" w:rsidR="0055458D" w:rsidRPr="00AB2EB7" w:rsidRDefault="0055458D" w:rsidP="0055458D">
      <w:pPr>
        <w:rPr>
          <w:lang w:eastAsia="en-AU"/>
        </w:rPr>
      </w:pPr>
    </w:p>
    <w:p w14:paraId="2BDCE564" w14:textId="0D6C9896" w:rsidR="0055458D" w:rsidRPr="00AB2EB7" w:rsidRDefault="0055458D" w:rsidP="0055458D">
      <w:pPr>
        <w:rPr>
          <w:rFonts w:cs="Arial"/>
          <w:lang w:eastAsia="en-AU"/>
        </w:rPr>
      </w:pPr>
      <w:r w:rsidRPr="00AB2EB7">
        <w:rPr>
          <w:lang w:eastAsia="en-AU"/>
        </w:rPr>
        <w:t>Rockmelon temperatures in the field before harvest are reported to reach 43.2</w:t>
      </w:r>
      <w:r w:rsidRPr="00AB2EB7">
        <w:rPr>
          <w:rFonts w:cs="Arial"/>
          <w:lang w:eastAsia="en-AU"/>
        </w:rPr>
        <w:t>°</w:t>
      </w:r>
      <w:r w:rsidRPr="00AB2EB7">
        <w:rPr>
          <w:lang w:eastAsia="en-AU"/>
        </w:rPr>
        <w:t>C internally and 49</w:t>
      </w:r>
      <w:r w:rsidRPr="00AB2EB7">
        <w:rPr>
          <w:rFonts w:cs="Arial"/>
          <w:lang w:eastAsia="en-AU"/>
        </w:rPr>
        <w:t xml:space="preserve">°C externally </w:t>
      </w:r>
      <w:r w:rsidR="00657FDB">
        <w:rPr>
          <w:rFonts w:cs="Arial"/>
          <w:lang w:eastAsia="en-AU"/>
        </w:rPr>
        <w:t>(Macarisin et al. 2017)</w:t>
      </w:r>
      <w:r w:rsidRPr="00AB2EB7">
        <w:rPr>
          <w:rFonts w:cs="Arial"/>
          <w:lang w:eastAsia="en-AU"/>
        </w:rPr>
        <w:t xml:space="preserve">, and the temperature differential between warm fruit and cool dump tank water has been suggested as a cause of microbial internalisation </w:t>
      </w:r>
      <w:r w:rsidR="00657FDB">
        <w:rPr>
          <w:rFonts w:cs="Arial"/>
          <w:lang w:eastAsia="en-AU"/>
        </w:rPr>
        <w:t>(FDA 2017)</w:t>
      </w:r>
      <w:r w:rsidRPr="00AB2EB7">
        <w:rPr>
          <w:rFonts w:cs="Arial"/>
          <w:lang w:eastAsia="en-AU"/>
        </w:rPr>
        <w:t xml:space="preserve">. Furthermore, temperature differentials between warm fruit and cool dump tank water was suggested as a potential route of contamination by </w:t>
      </w:r>
      <w:r w:rsidRPr="00AB2EB7">
        <w:rPr>
          <w:rFonts w:cs="Arial"/>
          <w:i/>
          <w:lang w:eastAsia="en-AU"/>
        </w:rPr>
        <w:t>Salmonella</w:t>
      </w:r>
      <w:r w:rsidRPr="00AB2EB7">
        <w:rPr>
          <w:rFonts w:cs="Arial"/>
          <w:lang w:eastAsia="en-AU"/>
        </w:rPr>
        <w:t xml:space="preserve"> spp. into rockmelons following an FDA outbreak investigation </w:t>
      </w:r>
      <w:r w:rsidR="00657FDB">
        <w:rPr>
          <w:rFonts w:cs="Arial"/>
          <w:lang w:eastAsia="en-AU"/>
        </w:rPr>
        <w:t>(FDA 2013)</w:t>
      </w:r>
      <w:r w:rsidRPr="00AB2EB7">
        <w:rPr>
          <w:rFonts w:cs="Arial"/>
          <w:lang w:eastAsia="en-AU"/>
        </w:rPr>
        <w:t xml:space="preserve">. A variety of bacterial pathogens have also been detected in the internal fruit of melons at wholesale </w:t>
      </w:r>
      <w:r w:rsidRPr="00AB2EB7">
        <w:rPr>
          <w:rFonts w:cs="Arial"/>
          <w:szCs w:val="18"/>
          <w:lang w:eastAsia="en-GB"/>
        </w:rPr>
        <w:t>(Esteban</w:t>
      </w:r>
      <w:r w:rsidRPr="00AB2EB7">
        <w:rPr>
          <w:rFonts w:ascii="Cambria Math" w:hAnsi="Cambria Math" w:cs="Cambria Math"/>
          <w:szCs w:val="18"/>
          <w:lang w:eastAsia="en-GB"/>
        </w:rPr>
        <w:t>‐</w:t>
      </w:r>
      <w:r w:rsidRPr="00AB2EB7">
        <w:rPr>
          <w:rFonts w:cs="Arial"/>
          <w:szCs w:val="18"/>
          <w:lang w:eastAsia="en-GB"/>
        </w:rPr>
        <w:t xml:space="preserve">Cuesta et al. 2018), but only limited studies have investigated the potential for internalisation of pathogens during the washing of melons </w:t>
      </w:r>
      <w:r>
        <w:rPr>
          <w:rFonts w:cs="Arial"/>
          <w:szCs w:val="18"/>
          <w:lang w:eastAsia="en-GB"/>
        </w:rPr>
        <w:t>postharvest</w:t>
      </w:r>
      <w:r w:rsidRPr="00AB2EB7">
        <w:rPr>
          <w:rFonts w:cs="Arial"/>
          <w:szCs w:val="18"/>
          <w:lang w:eastAsia="en-GB"/>
        </w:rPr>
        <w:t xml:space="preserve">. </w:t>
      </w:r>
      <w:r w:rsidR="00657FDB">
        <w:rPr>
          <w:rFonts w:cs="Arial"/>
          <w:szCs w:val="18"/>
          <w:lang w:eastAsia="en-GB"/>
        </w:rPr>
        <w:t>Webb et al.</w:t>
      </w:r>
      <w:r w:rsidRPr="00AB2EB7">
        <w:rPr>
          <w:rFonts w:cs="Arial"/>
          <w:szCs w:val="18"/>
          <w:lang w:eastAsia="en-GB"/>
        </w:rPr>
        <w:t xml:space="preserve"> </w:t>
      </w:r>
      <w:r w:rsidR="00657FDB">
        <w:rPr>
          <w:rFonts w:cs="Arial"/>
          <w:szCs w:val="18"/>
          <w:lang w:eastAsia="en-GB"/>
        </w:rPr>
        <w:t>(2015)</w:t>
      </w:r>
      <w:r w:rsidRPr="00AB2EB7">
        <w:rPr>
          <w:rFonts w:cs="Arial"/>
          <w:lang w:eastAsia="en-AU"/>
        </w:rPr>
        <w:t xml:space="preserve"> </w:t>
      </w:r>
      <w:r w:rsidRPr="00AB2EB7">
        <w:rPr>
          <w:rFonts w:cs="Arial"/>
          <w:szCs w:val="18"/>
          <w:lang w:val="en-AU" w:eastAsia="en-GB"/>
        </w:rPr>
        <w:t xml:space="preserve">surface inoculated whole rockmelons with five strains of </w:t>
      </w:r>
      <w:r w:rsidRPr="00AB2EB7">
        <w:rPr>
          <w:rFonts w:cs="Arial"/>
          <w:i/>
          <w:szCs w:val="18"/>
          <w:lang w:val="en-AU" w:eastAsia="en-GB"/>
        </w:rPr>
        <w:t>L. monocytogenes</w:t>
      </w:r>
      <w:r w:rsidRPr="00AB2EB7">
        <w:rPr>
          <w:rFonts w:cs="Arial"/>
          <w:szCs w:val="18"/>
          <w:lang w:val="en-AU" w:eastAsia="en-GB"/>
        </w:rPr>
        <w:t xml:space="preserve"> on the rind </w:t>
      </w:r>
      <w:r w:rsidR="00A1728B">
        <w:rPr>
          <w:rFonts w:cs="Arial"/>
          <w:szCs w:val="18"/>
          <w:lang w:val="en-AU" w:eastAsia="en-GB"/>
        </w:rPr>
        <w:t>(8 Log </w:t>
      </w:r>
      <w:r w:rsidRPr="00AB2EB7">
        <w:rPr>
          <w:rFonts w:cs="Arial"/>
          <w:szCs w:val="18"/>
          <w:lang w:val="en-AU" w:eastAsia="en-GB"/>
        </w:rPr>
        <w:t xml:space="preserve">CFU/mL) and stem scar (7 Log CFU/mL) and then the rockmelons were treated by </w:t>
      </w:r>
      <w:r>
        <w:rPr>
          <w:rFonts w:cs="Arial"/>
          <w:szCs w:val="18"/>
          <w:lang w:val="en-AU" w:eastAsia="en-GB"/>
        </w:rPr>
        <w:t>sanitising in a dump tank (20-</w:t>
      </w:r>
      <w:r w:rsidRPr="00AB2EB7">
        <w:rPr>
          <w:rFonts w:cs="Arial"/>
          <w:szCs w:val="18"/>
          <w:lang w:val="en-AU" w:eastAsia="en-GB"/>
        </w:rPr>
        <w:t>22°C) simulation for 8 min</w:t>
      </w:r>
      <w:r>
        <w:rPr>
          <w:rFonts w:cs="Arial"/>
          <w:szCs w:val="18"/>
          <w:lang w:val="en-AU" w:eastAsia="en-GB"/>
        </w:rPr>
        <w:t>utes</w:t>
      </w:r>
      <w:r w:rsidRPr="00AB2EB7">
        <w:rPr>
          <w:rFonts w:cs="Arial"/>
          <w:szCs w:val="18"/>
          <w:lang w:val="en-AU" w:eastAsia="en-GB"/>
        </w:rPr>
        <w:t xml:space="preserve">. However, both inoculated melons that were dump tanked and not dump tanked were positive for internalised </w:t>
      </w:r>
      <w:r w:rsidR="00A1728B">
        <w:rPr>
          <w:rFonts w:cs="Arial"/>
          <w:i/>
          <w:szCs w:val="18"/>
          <w:lang w:val="en-AU" w:eastAsia="en-GB"/>
        </w:rPr>
        <w:t>L. </w:t>
      </w:r>
      <w:r w:rsidRPr="00AB2EB7">
        <w:rPr>
          <w:rFonts w:cs="Arial"/>
          <w:i/>
          <w:szCs w:val="18"/>
          <w:lang w:val="en-AU" w:eastAsia="en-GB"/>
        </w:rPr>
        <w:t>monocytogenes</w:t>
      </w:r>
      <w:r w:rsidRPr="00AB2EB7">
        <w:rPr>
          <w:rFonts w:cs="Arial"/>
          <w:szCs w:val="18"/>
          <w:lang w:val="en-AU" w:eastAsia="en-GB"/>
        </w:rPr>
        <w:t xml:space="preserve"> following validated steam sanitising of the outside of the melons before analysis. The authors suggested that passive diffusion of the liquid inoculum and not the process of dump tanking was responsible for internalisation. </w:t>
      </w:r>
      <w:r w:rsidRPr="00AB2EB7">
        <w:rPr>
          <w:rFonts w:cs="Arial"/>
          <w:szCs w:val="18"/>
          <w:lang w:eastAsia="en-GB"/>
        </w:rPr>
        <w:t xml:space="preserve">In another study, </w:t>
      </w:r>
      <w:r w:rsidR="00657FDB">
        <w:rPr>
          <w:rFonts w:cs="Arial"/>
          <w:szCs w:val="18"/>
          <w:lang w:eastAsia="en-GB"/>
        </w:rPr>
        <w:t>Macarisin et al.</w:t>
      </w:r>
      <w:r w:rsidRPr="00AB2EB7">
        <w:rPr>
          <w:rFonts w:cs="Arial"/>
          <w:szCs w:val="18"/>
          <w:lang w:eastAsia="en-GB"/>
        </w:rPr>
        <w:t xml:space="preserve"> </w:t>
      </w:r>
      <w:r w:rsidR="00657FDB">
        <w:rPr>
          <w:rFonts w:cs="Arial"/>
          <w:szCs w:val="18"/>
          <w:lang w:eastAsia="en-GB"/>
        </w:rPr>
        <w:t>(2017)</w:t>
      </w:r>
      <w:r w:rsidRPr="00AB2EB7">
        <w:rPr>
          <w:rFonts w:cs="Arial"/>
          <w:szCs w:val="18"/>
          <w:lang w:eastAsia="en-GB"/>
        </w:rPr>
        <w:t xml:space="preserve"> pre-warmed rockmelons (two cultivars either clipped or full slip) to 42</w:t>
      </w:r>
      <w:r w:rsidRPr="00AB2EB7">
        <w:rPr>
          <w:rFonts w:cs="Arial"/>
          <w:szCs w:val="18"/>
          <w:lang w:val="en-AU" w:eastAsia="en-GB"/>
        </w:rPr>
        <w:t>°C</w:t>
      </w:r>
      <w:r w:rsidRPr="00AB2EB7">
        <w:rPr>
          <w:rFonts w:cs="Arial"/>
          <w:szCs w:val="18"/>
          <w:lang w:eastAsia="en-GB"/>
        </w:rPr>
        <w:t xml:space="preserve"> or 18</w:t>
      </w:r>
      <w:r w:rsidRPr="00AB2EB7">
        <w:rPr>
          <w:rFonts w:cs="Arial"/>
          <w:szCs w:val="18"/>
          <w:lang w:val="en-AU" w:eastAsia="en-GB"/>
        </w:rPr>
        <w:t xml:space="preserve">°C then immersed them in water at 6 or </w:t>
      </w:r>
      <w:r w:rsidRPr="00AB2EB7">
        <w:rPr>
          <w:rFonts w:cs="Arial"/>
          <w:szCs w:val="18"/>
          <w:lang w:eastAsia="en-GB"/>
        </w:rPr>
        <w:t>18</w:t>
      </w:r>
      <w:r w:rsidRPr="00AB2EB7">
        <w:rPr>
          <w:rFonts w:cs="Arial"/>
          <w:szCs w:val="18"/>
          <w:lang w:val="en-AU" w:eastAsia="en-GB"/>
        </w:rPr>
        <w:t xml:space="preserve">°C containing 4 or 6 Log CFU/mL </w:t>
      </w:r>
      <w:r>
        <w:rPr>
          <w:rFonts w:cs="Arial"/>
          <w:szCs w:val="18"/>
          <w:lang w:val="en-AU" w:eastAsia="en-GB"/>
        </w:rPr>
        <w:t xml:space="preserve">with a </w:t>
      </w:r>
      <w:r w:rsidRPr="00AB2EB7">
        <w:rPr>
          <w:rFonts w:cs="Arial"/>
          <w:szCs w:val="18"/>
          <w:lang w:eastAsia="en-GB"/>
        </w:rPr>
        <w:t>three strain cocktail of</w:t>
      </w:r>
      <w:r>
        <w:rPr>
          <w:rFonts w:cs="Arial"/>
          <w:i/>
          <w:szCs w:val="18"/>
          <w:lang w:eastAsia="en-GB"/>
        </w:rPr>
        <w:t xml:space="preserve"> L. </w:t>
      </w:r>
      <w:r w:rsidRPr="00AB2EB7">
        <w:rPr>
          <w:rFonts w:cs="Arial"/>
          <w:i/>
          <w:szCs w:val="18"/>
          <w:lang w:eastAsia="en-GB"/>
        </w:rPr>
        <w:t xml:space="preserve">monocytogenes </w:t>
      </w:r>
      <w:r w:rsidRPr="00AB2EB7">
        <w:rPr>
          <w:rFonts w:cs="Arial"/>
          <w:szCs w:val="18"/>
          <w:lang w:eastAsia="en-GB"/>
        </w:rPr>
        <w:t>for 30</w:t>
      </w:r>
      <w:r>
        <w:rPr>
          <w:rFonts w:cs="Arial"/>
          <w:szCs w:val="18"/>
          <w:lang w:eastAsia="en-GB"/>
        </w:rPr>
        <w:t xml:space="preserve"> </w:t>
      </w:r>
      <w:r w:rsidRPr="00AB2EB7">
        <w:rPr>
          <w:rFonts w:cs="Arial"/>
          <w:szCs w:val="18"/>
          <w:lang w:eastAsia="en-GB"/>
        </w:rPr>
        <w:t>min</w:t>
      </w:r>
      <w:r>
        <w:rPr>
          <w:rFonts w:cs="Arial"/>
          <w:szCs w:val="18"/>
          <w:lang w:eastAsia="en-GB"/>
        </w:rPr>
        <w:t>utes</w:t>
      </w:r>
      <w:r w:rsidRPr="00AB2EB7">
        <w:rPr>
          <w:rFonts w:cs="Arial"/>
          <w:szCs w:val="18"/>
          <w:lang w:eastAsia="en-GB"/>
        </w:rPr>
        <w:t xml:space="preserve">. A dye was used to visualise water internalisation that entered mainly via the stem scar and could reach the calyx of the fruit. </w:t>
      </w:r>
      <w:r w:rsidR="00A1728B">
        <w:rPr>
          <w:rFonts w:cs="Arial"/>
          <w:i/>
          <w:szCs w:val="18"/>
          <w:lang w:eastAsia="en-GB"/>
        </w:rPr>
        <w:t>L. </w:t>
      </w:r>
      <w:r w:rsidRPr="00AB2EB7">
        <w:rPr>
          <w:rFonts w:cs="Arial"/>
          <w:i/>
          <w:szCs w:val="18"/>
          <w:lang w:eastAsia="en-GB"/>
        </w:rPr>
        <w:t>monocytogenes</w:t>
      </w:r>
      <w:r w:rsidRPr="00AB2EB7">
        <w:rPr>
          <w:rFonts w:cs="Arial"/>
          <w:szCs w:val="18"/>
          <w:lang w:eastAsia="en-GB"/>
        </w:rPr>
        <w:t xml:space="preserve"> was able to internalise into flesh with and without a temperature differential, but warmer fruit entering cooler water did </w:t>
      </w:r>
      <w:r>
        <w:rPr>
          <w:rFonts w:cs="Arial"/>
          <w:szCs w:val="18"/>
          <w:lang w:eastAsia="en-GB"/>
        </w:rPr>
        <w:t xml:space="preserve">show </w:t>
      </w:r>
      <w:r w:rsidRPr="00AB2EB7">
        <w:rPr>
          <w:rFonts w:cs="Arial"/>
          <w:szCs w:val="18"/>
          <w:lang w:eastAsia="en-GB"/>
        </w:rPr>
        <w:t>increase</w:t>
      </w:r>
      <w:r>
        <w:rPr>
          <w:rFonts w:cs="Arial"/>
          <w:szCs w:val="18"/>
          <w:lang w:eastAsia="en-GB"/>
        </w:rPr>
        <w:t>d</w:t>
      </w:r>
      <w:r w:rsidRPr="00AB2EB7">
        <w:rPr>
          <w:rFonts w:cs="Arial"/>
          <w:szCs w:val="18"/>
          <w:lang w:eastAsia="en-GB"/>
        </w:rPr>
        <w:t xml:space="preserve"> internalisation. </w:t>
      </w:r>
    </w:p>
    <w:p w14:paraId="5458FDE0" w14:textId="77777777" w:rsidR="0055458D" w:rsidRPr="00AB2EB7" w:rsidRDefault="0055458D" w:rsidP="0055458D">
      <w:pPr>
        <w:rPr>
          <w:rFonts w:cs="Arial"/>
          <w:szCs w:val="18"/>
          <w:lang w:val="en-AU" w:eastAsia="en-GB"/>
        </w:rPr>
      </w:pPr>
    </w:p>
    <w:p w14:paraId="75105E54" w14:textId="593B69CA" w:rsidR="0055458D" w:rsidRPr="00AB2EB7" w:rsidRDefault="0055458D" w:rsidP="0055458D">
      <w:pPr>
        <w:rPr>
          <w:rFonts w:cs="Arial"/>
          <w:szCs w:val="18"/>
          <w:lang w:val="en-AU" w:eastAsia="en-GB"/>
        </w:rPr>
      </w:pPr>
      <w:r w:rsidRPr="00AB2EB7">
        <w:rPr>
          <w:rFonts w:cs="Arial"/>
          <w:szCs w:val="18"/>
          <w:lang w:val="en-AU" w:eastAsia="en-GB"/>
        </w:rPr>
        <w:t>Experimental evidence suggests that the efficacy of sanitisers currently applied at industry relevant contact times (</w:t>
      </w:r>
      <w:r>
        <w:rPr>
          <w:rFonts w:cs="Arial"/>
          <w:szCs w:val="18"/>
          <w:lang w:val="en-AU" w:eastAsia="en-GB"/>
        </w:rPr>
        <w:t>i.e. &lt;</w:t>
      </w:r>
      <w:r w:rsidRPr="00AB2EB7">
        <w:rPr>
          <w:rFonts w:cs="Arial"/>
          <w:szCs w:val="18"/>
          <w:lang w:val="en-AU" w:eastAsia="en-GB"/>
        </w:rPr>
        <w:t>2 min</w:t>
      </w:r>
      <w:r>
        <w:rPr>
          <w:rFonts w:cs="Arial"/>
          <w:szCs w:val="18"/>
          <w:lang w:val="en-AU" w:eastAsia="en-GB"/>
        </w:rPr>
        <w:t>utes</w:t>
      </w:r>
      <w:r w:rsidRPr="00AB2EB7">
        <w:rPr>
          <w:rFonts w:cs="Arial"/>
          <w:szCs w:val="18"/>
          <w:lang w:val="en-AU" w:eastAsia="en-GB"/>
        </w:rPr>
        <w:t xml:space="preserve">) </w:t>
      </w:r>
      <w:r>
        <w:rPr>
          <w:rFonts w:cs="Arial"/>
          <w:szCs w:val="18"/>
          <w:lang w:val="en-AU" w:eastAsia="en-GB"/>
        </w:rPr>
        <w:t>may be limited to &lt;</w:t>
      </w:r>
      <w:r w:rsidRPr="00AB2EB7">
        <w:rPr>
          <w:rFonts w:cs="Arial"/>
          <w:szCs w:val="18"/>
          <w:lang w:val="en-AU" w:eastAsia="en-GB"/>
        </w:rPr>
        <w:t xml:space="preserve">3 Log CFU for removing </w:t>
      </w:r>
      <w:r w:rsidRPr="00AB2EB7">
        <w:rPr>
          <w:rFonts w:cs="Arial"/>
          <w:i/>
          <w:szCs w:val="18"/>
          <w:lang w:val="en-AU" w:eastAsia="en-GB"/>
        </w:rPr>
        <w:t>L.</w:t>
      </w:r>
      <w:r>
        <w:rPr>
          <w:rFonts w:cs="Arial"/>
          <w:i/>
          <w:szCs w:val="18"/>
          <w:lang w:val="en-AU" w:eastAsia="en-GB"/>
        </w:rPr>
        <w:t> </w:t>
      </w:r>
      <w:r w:rsidRPr="0096291B">
        <w:rPr>
          <w:rFonts w:cs="Arial"/>
          <w:i/>
          <w:szCs w:val="18"/>
          <w:lang w:val="en-AU" w:eastAsia="en-GB"/>
        </w:rPr>
        <w:t xml:space="preserve">monocytogenes </w:t>
      </w:r>
      <w:r w:rsidRPr="0096291B">
        <w:rPr>
          <w:rFonts w:cs="Arial"/>
          <w:szCs w:val="18"/>
          <w:lang w:val="en-AU" w:eastAsia="en-GB"/>
        </w:rPr>
        <w:t xml:space="preserve">or </w:t>
      </w:r>
      <w:r w:rsidRPr="0096291B">
        <w:rPr>
          <w:rFonts w:cs="Arial"/>
          <w:i/>
          <w:szCs w:val="18"/>
          <w:lang w:val="en-AU" w:eastAsia="en-GB"/>
        </w:rPr>
        <w:t>Salmonella</w:t>
      </w:r>
      <w:r w:rsidRPr="0096291B">
        <w:rPr>
          <w:rFonts w:cs="Arial"/>
          <w:szCs w:val="18"/>
          <w:lang w:val="en-AU" w:eastAsia="en-GB"/>
        </w:rPr>
        <w:t xml:space="preserve"> spp. from the surface of whole rockmelons</w:t>
      </w:r>
      <w:r>
        <w:rPr>
          <w:rFonts w:cs="Arial"/>
          <w:szCs w:val="18"/>
          <w:lang w:val="en-AU" w:eastAsia="en-GB"/>
        </w:rPr>
        <w:t xml:space="preserve"> </w:t>
      </w:r>
      <w:r w:rsidR="00657FDB">
        <w:rPr>
          <w:rFonts w:cs="Arial"/>
          <w:szCs w:val="18"/>
          <w:lang w:val="en-AU" w:eastAsia="en-GB"/>
        </w:rPr>
        <w:t>(Bartlett et al. 2020)</w:t>
      </w:r>
      <w:r w:rsidRPr="0096291B">
        <w:rPr>
          <w:rFonts w:cs="Arial"/>
          <w:szCs w:val="18"/>
          <w:lang w:val="en-AU" w:eastAsia="en-GB"/>
        </w:rPr>
        <w:t>. These studies are summarised in Appendix 11. It should</w:t>
      </w:r>
      <w:r w:rsidRPr="00AB2EB7">
        <w:rPr>
          <w:rFonts w:cs="Arial"/>
          <w:szCs w:val="18"/>
          <w:lang w:val="en-AU" w:eastAsia="en-GB"/>
        </w:rPr>
        <w:t xml:space="preserve"> be noted, however, that these studies were conducted under laboratory conditions, mostly without the simulation of commercial brushing or the addition of organic matter in the form of soiling or damaged fruit that may influence the efficacy of some sanitisers. Therefore, although brushing</w:t>
      </w:r>
      <w:r>
        <w:rPr>
          <w:rFonts w:cs="Arial"/>
          <w:szCs w:val="18"/>
          <w:lang w:val="en-AU" w:eastAsia="en-GB"/>
        </w:rPr>
        <w:t xml:space="preserve"> of melons</w:t>
      </w:r>
      <w:r w:rsidRPr="00AB2EB7">
        <w:rPr>
          <w:rFonts w:cs="Arial"/>
          <w:szCs w:val="18"/>
          <w:lang w:val="en-AU" w:eastAsia="en-GB"/>
        </w:rPr>
        <w:t xml:space="preserve"> may increase efficacy</w:t>
      </w:r>
      <w:r>
        <w:rPr>
          <w:rFonts w:cs="Arial"/>
          <w:szCs w:val="18"/>
          <w:lang w:val="en-AU" w:eastAsia="en-GB"/>
        </w:rPr>
        <w:t xml:space="preserve"> of sanitisers</w:t>
      </w:r>
      <w:r w:rsidRPr="00AB2EB7">
        <w:rPr>
          <w:rFonts w:cs="Arial"/>
          <w:szCs w:val="18"/>
          <w:lang w:val="en-AU" w:eastAsia="en-GB"/>
        </w:rPr>
        <w:t xml:space="preserve">, in </w:t>
      </w:r>
      <w:r>
        <w:rPr>
          <w:rFonts w:cs="Arial"/>
          <w:szCs w:val="18"/>
          <w:lang w:val="en-AU" w:eastAsia="en-GB"/>
        </w:rPr>
        <w:t>actual</w:t>
      </w:r>
      <w:r w:rsidRPr="00AB2EB7">
        <w:rPr>
          <w:rFonts w:cs="Arial"/>
          <w:szCs w:val="18"/>
          <w:lang w:val="en-AU" w:eastAsia="en-GB"/>
        </w:rPr>
        <w:t xml:space="preserve"> scenarios</w:t>
      </w:r>
      <w:r>
        <w:rPr>
          <w:rFonts w:cs="Arial"/>
          <w:szCs w:val="18"/>
          <w:lang w:val="en-AU" w:eastAsia="en-GB"/>
        </w:rPr>
        <w:t>,</w:t>
      </w:r>
      <w:r w:rsidRPr="00AB2EB7">
        <w:rPr>
          <w:rFonts w:cs="Arial"/>
          <w:szCs w:val="18"/>
          <w:lang w:val="en-AU" w:eastAsia="en-GB"/>
        </w:rPr>
        <w:t xml:space="preserve"> increased levels of organic matter and other microorganisms entering the system may</w:t>
      </w:r>
      <w:r>
        <w:rPr>
          <w:rFonts w:cs="Arial"/>
          <w:szCs w:val="18"/>
          <w:lang w:val="en-AU" w:eastAsia="en-GB"/>
        </w:rPr>
        <w:t xml:space="preserve"> in some cases</w:t>
      </w:r>
      <w:r w:rsidRPr="00AB2EB7">
        <w:rPr>
          <w:rFonts w:cs="Arial"/>
          <w:szCs w:val="18"/>
          <w:lang w:val="en-AU" w:eastAsia="en-GB"/>
        </w:rPr>
        <w:t xml:space="preserve"> limit the efficacy. </w:t>
      </w:r>
    </w:p>
    <w:p w14:paraId="0FFFA232" w14:textId="77777777" w:rsidR="0055458D" w:rsidRPr="00AB2EB7" w:rsidRDefault="0055458D" w:rsidP="0055458D">
      <w:pPr>
        <w:rPr>
          <w:rFonts w:cs="Arial"/>
          <w:szCs w:val="18"/>
          <w:lang w:val="en-AU" w:eastAsia="en-GB"/>
        </w:rPr>
      </w:pPr>
    </w:p>
    <w:p w14:paraId="5CFE1E5F" w14:textId="191BAA20" w:rsidR="0055458D" w:rsidRPr="00AB2EB7" w:rsidRDefault="0055458D" w:rsidP="0055458D">
      <w:pPr>
        <w:rPr>
          <w:rFonts w:cs="Arial"/>
          <w:lang w:val="en-AU"/>
        </w:rPr>
      </w:pPr>
      <w:r w:rsidRPr="00AB2EB7">
        <w:rPr>
          <w:lang w:val="en-AU"/>
        </w:rPr>
        <w:t xml:space="preserve">Laboratory and pilot commercial scale experiments have indicated that hot water has a high relative efficacy for removing </w:t>
      </w:r>
      <w:r w:rsidRPr="00AB2EB7">
        <w:rPr>
          <w:i/>
          <w:lang w:val="en-AU"/>
        </w:rPr>
        <w:t>Salmonella</w:t>
      </w:r>
      <w:r w:rsidRPr="00AB2EB7">
        <w:rPr>
          <w:lang w:val="en-AU"/>
        </w:rPr>
        <w:t xml:space="preserve"> </w:t>
      </w:r>
      <w:r>
        <w:rPr>
          <w:lang w:val="en-AU"/>
        </w:rPr>
        <w:t xml:space="preserve">spp. </w:t>
      </w:r>
      <w:r w:rsidRPr="00AB2EB7">
        <w:rPr>
          <w:lang w:val="en-AU"/>
        </w:rPr>
        <w:t xml:space="preserve">on the rind of whole rockmelons with reductions up to 6 Log CFU being </w:t>
      </w:r>
      <w:r w:rsidRPr="0096291B">
        <w:rPr>
          <w:lang w:val="en-AU"/>
        </w:rPr>
        <w:t>reported (Appendix 12). However</w:t>
      </w:r>
      <w:r w:rsidRPr="00AB2EB7">
        <w:rPr>
          <w:lang w:val="en-AU"/>
        </w:rPr>
        <w:t>, an increased risk of re</w:t>
      </w:r>
      <w:r>
        <w:rPr>
          <w:lang w:val="en-AU"/>
        </w:rPr>
        <w:t>-</w:t>
      </w:r>
      <w:r w:rsidRPr="00AB2EB7">
        <w:rPr>
          <w:lang w:val="en-AU"/>
        </w:rPr>
        <w:t>contamination has been demonstrated and is most likely due to thermal damage to the exterior of the produce</w:t>
      </w:r>
      <w:r w:rsidRPr="00AB2EB7">
        <w:rPr>
          <w:rFonts w:cs="Arial"/>
          <w:lang w:val="en-AU"/>
        </w:rPr>
        <w:t xml:space="preserve"> </w:t>
      </w:r>
      <w:r w:rsidR="00657FDB">
        <w:rPr>
          <w:rFonts w:cs="Arial"/>
          <w:lang w:val="en-AU"/>
        </w:rPr>
        <w:t>(Solomon et al. 2006; Ukuku 2006)</w:t>
      </w:r>
      <w:r w:rsidRPr="00AB2EB7">
        <w:rPr>
          <w:lang w:val="en-AU"/>
        </w:rPr>
        <w:t>. Similarly, experimental results for</w:t>
      </w:r>
      <w:r w:rsidRPr="00AB2EB7">
        <w:rPr>
          <w:i/>
          <w:lang w:val="en-AU"/>
        </w:rPr>
        <w:t xml:space="preserve"> L</w:t>
      </w:r>
      <w:r w:rsidRPr="0096291B">
        <w:rPr>
          <w:i/>
          <w:lang w:val="en-AU"/>
        </w:rPr>
        <w:t>. monocytogenes</w:t>
      </w:r>
      <w:r w:rsidRPr="0096291B">
        <w:rPr>
          <w:lang w:val="en-AU"/>
        </w:rPr>
        <w:t xml:space="preserve"> have reported reductions of &gt;3 Log CFU for water applied at 80°C for 5 min</w:t>
      </w:r>
      <w:r>
        <w:rPr>
          <w:lang w:val="en-AU"/>
        </w:rPr>
        <w:t>utes</w:t>
      </w:r>
      <w:r w:rsidRPr="0096291B">
        <w:rPr>
          <w:lang w:val="en-AU"/>
        </w:rPr>
        <w:t xml:space="preserve"> (Appendix 12). </w:t>
      </w:r>
      <w:r w:rsidR="00657FDB">
        <w:rPr>
          <w:lang w:val="en-AU"/>
        </w:rPr>
        <w:t>Annous et al.</w:t>
      </w:r>
      <w:r w:rsidRPr="0096291B">
        <w:rPr>
          <w:lang w:val="en-AU"/>
        </w:rPr>
        <w:t xml:space="preserve"> </w:t>
      </w:r>
      <w:r w:rsidR="00657FDB">
        <w:rPr>
          <w:lang w:val="en-AU"/>
        </w:rPr>
        <w:t>(2013)</w:t>
      </w:r>
      <w:r w:rsidRPr="0096291B">
        <w:rPr>
          <w:lang w:val="en-AU"/>
        </w:rPr>
        <w:t xml:space="preserve"> </w:t>
      </w:r>
      <w:r w:rsidRPr="0096291B">
        <w:rPr>
          <w:rFonts w:cs="Arial"/>
          <w:lang w:val="en-AU"/>
        </w:rPr>
        <w:t xml:space="preserve">also determined that while the reductions in </w:t>
      </w:r>
      <w:r w:rsidRPr="0096291B">
        <w:rPr>
          <w:rFonts w:cs="Arial"/>
          <w:i/>
          <w:lang w:val="en-AU"/>
        </w:rPr>
        <w:t>Salmonella</w:t>
      </w:r>
      <w:r w:rsidRPr="0096291B">
        <w:rPr>
          <w:rFonts w:cs="Arial"/>
          <w:lang w:val="en-AU"/>
        </w:rPr>
        <w:t xml:space="preserve"> spp. following</w:t>
      </w:r>
      <w:r w:rsidRPr="00AB2EB7">
        <w:rPr>
          <w:rFonts w:cs="Arial"/>
          <w:lang w:val="en-AU"/>
        </w:rPr>
        <w:t xml:space="preserve"> hot</w:t>
      </w:r>
      <w:r>
        <w:rPr>
          <w:rFonts w:cs="Arial"/>
          <w:lang w:val="en-AU"/>
        </w:rPr>
        <w:t xml:space="preserve"> </w:t>
      </w:r>
      <w:r w:rsidRPr="00AB2EB7">
        <w:rPr>
          <w:rFonts w:cs="Arial"/>
          <w:lang w:val="en-AU"/>
        </w:rPr>
        <w:t xml:space="preserve">water immersion were high, the treatment was still not able to completely remove </w:t>
      </w:r>
      <w:r w:rsidRPr="00AB2EB7">
        <w:rPr>
          <w:rFonts w:cs="Arial"/>
          <w:i/>
          <w:lang w:val="en-AU"/>
        </w:rPr>
        <w:t>S</w:t>
      </w:r>
      <w:r>
        <w:rPr>
          <w:rFonts w:cs="Arial"/>
          <w:i/>
          <w:lang w:val="en-AU"/>
        </w:rPr>
        <w:t>.</w:t>
      </w:r>
      <w:r w:rsidRPr="00AB2EB7">
        <w:rPr>
          <w:rFonts w:cs="Arial"/>
          <w:i/>
          <w:lang w:val="en-AU"/>
        </w:rPr>
        <w:t xml:space="preserve"> </w:t>
      </w:r>
      <w:r w:rsidRPr="00AB2EB7">
        <w:rPr>
          <w:rFonts w:cs="Arial"/>
          <w:lang w:val="en-AU"/>
        </w:rPr>
        <w:t xml:space="preserve">Poona from the surface of all melons, and, in another study, </w:t>
      </w:r>
      <w:r w:rsidRPr="00AB2EB7">
        <w:rPr>
          <w:rFonts w:cs="Arial"/>
          <w:szCs w:val="18"/>
          <w:lang w:val="en-AU" w:eastAsia="en-GB"/>
        </w:rPr>
        <w:t>lower temperatures of 65°C or 75°C did not produce reducti</w:t>
      </w:r>
      <w:r w:rsidR="00EF60B9">
        <w:rPr>
          <w:rFonts w:cs="Arial"/>
          <w:szCs w:val="18"/>
          <w:lang w:val="en-AU" w:eastAsia="en-GB"/>
        </w:rPr>
        <w:t>ons greater than 1.2 or 3.3 Log </w:t>
      </w:r>
      <w:r w:rsidRPr="00AB2EB7">
        <w:rPr>
          <w:rFonts w:cs="Arial"/>
          <w:szCs w:val="18"/>
          <w:lang w:val="en-AU" w:eastAsia="en-GB"/>
        </w:rPr>
        <w:t>C</w:t>
      </w:r>
      <w:r>
        <w:rPr>
          <w:rFonts w:cs="Arial"/>
          <w:szCs w:val="18"/>
          <w:lang w:val="en-AU" w:eastAsia="en-GB"/>
        </w:rPr>
        <w:t>F</w:t>
      </w:r>
      <w:r w:rsidRPr="00AB2EB7">
        <w:rPr>
          <w:rFonts w:cs="Arial"/>
          <w:szCs w:val="18"/>
          <w:lang w:val="en-AU" w:eastAsia="en-GB"/>
        </w:rPr>
        <w:t>U/cm</w:t>
      </w:r>
      <w:r w:rsidRPr="00AB2EB7">
        <w:rPr>
          <w:rFonts w:cs="Arial"/>
          <w:szCs w:val="18"/>
          <w:vertAlign w:val="superscript"/>
          <w:lang w:val="en-AU" w:eastAsia="en-GB"/>
        </w:rPr>
        <w:t xml:space="preserve">2 </w:t>
      </w:r>
      <w:r w:rsidRPr="00AB2EB7">
        <w:rPr>
          <w:rFonts w:cs="Arial"/>
          <w:szCs w:val="18"/>
          <w:lang w:val="en-AU" w:eastAsia="en-GB"/>
        </w:rPr>
        <w:t xml:space="preserve">respectively </w:t>
      </w:r>
      <w:r w:rsidR="00657FDB">
        <w:rPr>
          <w:rFonts w:cs="Arial"/>
          <w:lang w:val="en-AU"/>
        </w:rPr>
        <w:t>(Solomon et al. 2006)</w:t>
      </w:r>
      <w:r w:rsidRPr="00AB2EB7">
        <w:rPr>
          <w:rFonts w:cs="Arial"/>
          <w:szCs w:val="18"/>
          <w:lang w:val="en-AU" w:eastAsia="en-GB"/>
        </w:rPr>
        <w:t xml:space="preserve">. </w:t>
      </w:r>
      <w:r w:rsidR="00657FDB">
        <w:rPr>
          <w:rFonts w:cs="Arial"/>
          <w:szCs w:val="18"/>
          <w:lang w:val="en-AU" w:eastAsia="en-GB"/>
        </w:rPr>
        <w:t>Ukuku</w:t>
      </w:r>
      <w:r w:rsidRPr="00AB2EB7">
        <w:rPr>
          <w:rFonts w:cs="Arial"/>
          <w:szCs w:val="18"/>
          <w:lang w:val="en-AU" w:eastAsia="en-GB"/>
        </w:rPr>
        <w:t xml:space="preserve"> </w:t>
      </w:r>
      <w:r w:rsidR="00657FDB">
        <w:rPr>
          <w:rFonts w:cs="Arial"/>
          <w:szCs w:val="18"/>
          <w:lang w:val="en-AU" w:eastAsia="en-GB"/>
        </w:rPr>
        <w:t>(2006)</w:t>
      </w:r>
      <w:r w:rsidRPr="00AB2EB7">
        <w:rPr>
          <w:rFonts w:cs="Arial"/>
          <w:lang w:val="en-AU"/>
        </w:rPr>
        <w:t xml:space="preserve"> concluded that while hot water had a higher efficacy than chlorine, the potential risk for recontamination for melons treated with hot water is higher than that for 200ppm chlorine for 2</w:t>
      </w:r>
      <w:r>
        <w:rPr>
          <w:rFonts w:cs="Arial"/>
          <w:lang w:val="en-AU"/>
        </w:rPr>
        <w:t xml:space="preserve"> </w:t>
      </w:r>
      <w:r w:rsidRPr="00AB2EB7">
        <w:rPr>
          <w:rFonts w:cs="Arial"/>
          <w:lang w:val="en-AU"/>
        </w:rPr>
        <w:t>min</w:t>
      </w:r>
      <w:r>
        <w:rPr>
          <w:rFonts w:cs="Arial"/>
          <w:lang w:val="en-AU"/>
        </w:rPr>
        <w:t>utes</w:t>
      </w:r>
      <w:r w:rsidRPr="00AB2EB7">
        <w:rPr>
          <w:rFonts w:cs="Arial"/>
          <w:lang w:val="en-AU"/>
        </w:rPr>
        <w:t>, and 96°C water should therefore only be used for fruit destined to be processed into fresh cut melon immediately.</w:t>
      </w:r>
    </w:p>
    <w:p w14:paraId="1BE003EC" w14:textId="77777777" w:rsidR="0055458D" w:rsidRPr="00AB2EB7" w:rsidRDefault="0055458D" w:rsidP="0055458D">
      <w:pPr>
        <w:rPr>
          <w:rFonts w:cs="Arial"/>
          <w:lang w:val="en-AU"/>
        </w:rPr>
      </w:pPr>
    </w:p>
    <w:p w14:paraId="7C032D4D" w14:textId="3B293F22" w:rsidR="0055458D" w:rsidRPr="00AB2EB7" w:rsidRDefault="0055458D" w:rsidP="0055458D">
      <w:r w:rsidRPr="00AB2EB7">
        <w:rPr>
          <w:rFonts w:cs="Arial"/>
          <w:szCs w:val="18"/>
          <w:lang w:val="en-AU" w:eastAsia="en-GB"/>
        </w:rPr>
        <w:t xml:space="preserve">The ability of </w:t>
      </w:r>
      <w:r w:rsidRPr="00AB2EB7">
        <w:rPr>
          <w:rFonts w:cs="Arial"/>
          <w:i/>
          <w:szCs w:val="18"/>
          <w:lang w:val="en-AU" w:eastAsia="en-GB"/>
        </w:rPr>
        <w:t xml:space="preserve">L. monocytogenes </w:t>
      </w:r>
      <w:r w:rsidRPr="00AB2EB7">
        <w:rPr>
          <w:rFonts w:cs="Arial"/>
          <w:szCs w:val="18"/>
          <w:lang w:val="en-AU" w:eastAsia="en-GB"/>
        </w:rPr>
        <w:t xml:space="preserve">and </w:t>
      </w:r>
      <w:r w:rsidRPr="00AB2EB7">
        <w:rPr>
          <w:rFonts w:cs="Arial"/>
          <w:i/>
          <w:szCs w:val="18"/>
          <w:lang w:val="en-AU" w:eastAsia="en-GB"/>
        </w:rPr>
        <w:t>Salmonella</w:t>
      </w:r>
      <w:r w:rsidRPr="00AB2EB7">
        <w:rPr>
          <w:rFonts w:cs="Arial"/>
          <w:szCs w:val="18"/>
          <w:lang w:val="en-AU" w:eastAsia="en-GB"/>
        </w:rPr>
        <w:t xml:space="preserve"> </w:t>
      </w:r>
      <w:r>
        <w:rPr>
          <w:rFonts w:cs="Arial"/>
          <w:szCs w:val="18"/>
          <w:lang w:val="en-AU" w:eastAsia="en-GB"/>
        </w:rPr>
        <w:t xml:space="preserve">spp. </w:t>
      </w:r>
      <w:r w:rsidRPr="00AB2EB7">
        <w:rPr>
          <w:rFonts w:cs="Arial"/>
          <w:szCs w:val="18"/>
          <w:lang w:val="en-AU" w:eastAsia="en-GB"/>
        </w:rPr>
        <w:t xml:space="preserve">on the rind </w:t>
      </w:r>
      <w:r>
        <w:rPr>
          <w:rFonts w:cs="Arial"/>
          <w:szCs w:val="18"/>
          <w:lang w:val="en-AU" w:eastAsia="en-GB"/>
        </w:rPr>
        <w:t xml:space="preserve">of </w:t>
      </w:r>
      <w:r w:rsidRPr="00AB2EB7">
        <w:rPr>
          <w:rFonts w:cs="Arial"/>
          <w:szCs w:val="18"/>
          <w:lang w:val="en-AU" w:eastAsia="en-GB"/>
        </w:rPr>
        <w:t xml:space="preserve">rockmelons to transfer to the flesh during cutting is well documented </w:t>
      </w:r>
      <w:r w:rsidR="00657FDB">
        <w:rPr>
          <w:rFonts w:cs="Arial"/>
          <w:szCs w:val="18"/>
          <w:lang w:val="en-AU" w:eastAsia="en-GB"/>
        </w:rPr>
        <w:t>(Ukuku et al. 2004; Ukuku and Fett 2002; Ukuku and Sapers 2001)</w:t>
      </w:r>
      <w:r w:rsidRPr="00AB2EB7">
        <w:rPr>
          <w:rFonts w:cs="Arial"/>
          <w:szCs w:val="18"/>
          <w:lang w:val="en-AU" w:eastAsia="en-GB"/>
        </w:rPr>
        <w:t xml:space="preserve">, and experimental evidence has shown that the use of sanitisers on inoculated rockmelons can reduce </w:t>
      </w:r>
      <w:r w:rsidRPr="00AB2EB7">
        <w:rPr>
          <w:lang w:val="en-AU"/>
        </w:rPr>
        <w:t xml:space="preserve">the incidence of </w:t>
      </w:r>
      <w:r w:rsidRPr="00AB2EB7">
        <w:rPr>
          <w:i/>
          <w:lang w:val="en-AU"/>
        </w:rPr>
        <w:t>Salmonella</w:t>
      </w:r>
      <w:r w:rsidRPr="00AB2EB7">
        <w:rPr>
          <w:lang w:val="en-AU"/>
        </w:rPr>
        <w:t xml:space="preserve"> </w:t>
      </w:r>
      <w:r>
        <w:rPr>
          <w:lang w:val="en-AU"/>
        </w:rPr>
        <w:t xml:space="preserve">spp. </w:t>
      </w:r>
      <w:r w:rsidRPr="00AB2EB7">
        <w:rPr>
          <w:lang w:val="en-AU"/>
        </w:rPr>
        <w:t xml:space="preserve">and </w:t>
      </w:r>
      <w:r w:rsidRPr="00AB2EB7">
        <w:rPr>
          <w:i/>
          <w:lang w:val="en-AU"/>
        </w:rPr>
        <w:t>L. monocytogenes</w:t>
      </w:r>
      <w:r w:rsidRPr="00AB2EB7">
        <w:rPr>
          <w:lang w:val="en-AU"/>
        </w:rPr>
        <w:t xml:space="preserve"> in subsequently prepared fresh cut pieces.</w:t>
      </w:r>
      <w:r w:rsidRPr="00AB2EB7">
        <w:rPr>
          <w:rFonts w:cs="Arial"/>
          <w:szCs w:val="18"/>
          <w:lang w:val="en-AU" w:eastAsia="en-GB"/>
        </w:rPr>
        <w:t xml:space="preserve"> Greater reductions in the transfer of </w:t>
      </w:r>
      <w:r>
        <w:rPr>
          <w:rFonts w:cs="Arial"/>
          <w:i/>
          <w:szCs w:val="18"/>
          <w:lang w:val="en-AU" w:eastAsia="en-GB"/>
        </w:rPr>
        <w:t>Salmonella </w:t>
      </w:r>
      <w:r>
        <w:rPr>
          <w:rFonts w:cs="Arial"/>
          <w:szCs w:val="18"/>
          <w:lang w:val="en-AU" w:eastAsia="en-GB"/>
        </w:rPr>
        <w:t xml:space="preserve">spp. </w:t>
      </w:r>
      <w:r w:rsidRPr="00AB2EB7">
        <w:rPr>
          <w:rFonts w:cs="Arial"/>
          <w:szCs w:val="18"/>
          <w:lang w:val="en-AU" w:eastAsia="en-GB"/>
        </w:rPr>
        <w:t>from inoculated rockmelon rind to flesh in treated v</w:t>
      </w:r>
      <w:r>
        <w:rPr>
          <w:rFonts w:cs="Arial"/>
          <w:szCs w:val="18"/>
          <w:lang w:val="en-AU" w:eastAsia="en-GB"/>
        </w:rPr>
        <w:t>ersu</w:t>
      </w:r>
      <w:r w:rsidRPr="00AB2EB7">
        <w:rPr>
          <w:rFonts w:cs="Arial"/>
          <w:szCs w:val="18"/>
          <w:lang w:val="en-AU" w:eastAsia="en-GB"/>
        </w:rPr>
        <w:t>s non</w:t>
      </w:r>
      <w:r>
        <w:rPr>
          <w:rFonts w:cs="Arial"/>
          <w:szCs w:val="18"/>
          <w:lang w:val="en-AU" w:eastAsia="en-GB"/>
        </w:rPr>
        <w:t>-</w:t>
      </w:r>
      <w:r w:rsidRPr="00AB2EB7">
        <w:rPr>
          <w:rFonts w:cs="Arial"/>
          <w:szCs w:val="18"/>
          <w:lang w:val="en-AU" w:eastAsia="en-GB"/>
        </w:rPr>
        <w:t xml:space="preserve">treated melons has been reported for 1000ppm chlorine and 5% hydrogen chloride </w:t>
      </w:r>
      <w:r>
        <w:rPr>
          <w:rFonts w:cs="Arial"/>
          <w:szCs w:val="18"/>
          <w:lang w:val="en-AU" w:eastAsia="en-GB"/>
        </w:rPr>
        <w:t xml:space="preserve">applied for </w:t>
      </w:r>
      <w:r w:rsidRPr="00AB2EB7">
        <w:rPr>
          <w:rFonts w:cs="Arial"/>
          <w:szCs w:val="18"/>
          <w:lang w:val="en-AU" w:eastAsia="en-GB"/>
        </w:rPr>
        <w:t>5 min</w:t>
      </w:r>
      <w:r>
        <w:rPr>
          <w:rFonts w:cs="Arial"/>
          <w:szCs w:val="18"/>
          <w:lang w:val="en-AU" w:eastAsia="en-GB"/>
        </w:rPr>
        <w:t>utes</w:t>
      </w:r>
      <w:r w:rsidRPr="00AB2EB7">
        <w:rPr>
          <w:rFonts w:cs="Arial"/>
          <w:szCs w:val="18"/>
          <w:lang w:val="en-AU" w:eastAsia="en-GB"/>
        </w:rPr>
        <w:t xml:space="preserve"> </w:t>
      </w:r>
      <w:r w:rsidR="00657FDB">
        <w:rPr>
          <w:rFonts w:cs="Arial"/>
          <w:szCs w:val="18"/>
          <w:lang w:val="en-AU" w:eastAsia="en-GB"/>
        </w:rPr>
        <w:t>(Ukuku and Sapers 2001)</w:t>
      </w:r>
      <w:r w:rsidRPr="00AB2EB7">
        <w:rPr>
          <w:rFonts w:cs="Arial"/>
          <w:szCs w:val="18"/>
          <w:lang w:val="en-AU" w:eastAsia="en-GB"/>
        </w:rPr>
        <w:t>; 2.5% and 5% hydrogen peroxide for 5 min</w:t>
      </w:r>
      <w:r>
        <w:rPr>
          <w:rFonts w:cs="Arial"/>
          <w:szCs w:val="18"/>
          <w:lang w:val="en-AU" w:eastAsia="en-GB"/>
        </w:rPr>
        <w:t>utes</w:t>
      </w:r>
      <w:r w:rsidRPr="00AB2EB7">
        <w:rPr>
          <w:rFonts w:cs="Arial"/>
          <w:szCs w:val="18"/>
          <w:lang w:val="en-AU" w:eastAsia="en-GB"/>
        </w:rPr>
        <w:t xml:space="preserve"> </w:t>
      </w:r>
      <w:r w:rsidR="00657FDB">
        <w:rPr>
          <w:rFonts w:cs="Arial"/>
          <w:szCs w:val="18"/>
          <w:lang w:val="en-AU" w:eastAsia="en-GB"/>
        </w:rPr>
        <w:t>(Ukuku 2004)</w:t>
      </w:r>
      <w:r w:rsidRPr="00AB2EB7">
        <w:rPr>
          <w:rFonts w:cs="Arial"/>
          <w:szCs w:val="18"/>
          <w:lang w:val="en-AU" w:eastAsia="en-GB"/>
        </w:rPr>
        <w:t>; and hot water (70 or 97°C) or 5% hydrogen peroxide (70°C) for 1 min</w:t>
      </w:r>
      <w:r>
        <w:rPr>
          <w:rFonts w:cs="Arial"/>
          <w:szCs w:val="18"/>
          <w:lang w:val="en-AU" w:eastAsia="en-GB"/>
        </w:rPr>
        <w:t>ute</w:t>
      </w:r>
      <w:r w:rsidRPr="00AB2EB7">
        <w:rPr>
          <w:rFonts w:cs="Arial"/>
          <w:szCs w:val="18"/>
          <w:lang w:val="en-AU" w:eastAsia="en-GB"/>
        </w:rPr>
        <w:t xml:space="preserve"> </w:t>
      </w:r>
      <w:r w:rsidR="00657FDB">
        <w:rPr>
          <w:rFonts w:cs="Arial"/>
          <w:szCs w:val="18"/>
          <w:lang w:val="en-AU" w:eastAsia="en-GB"/>
        </w:rPr>
        <w:t>(Ukuku et al. 2004)</w:t>
      </w:r>
      <w:r w:rsidRPr="00AB2EB7">
        <w:rPr>
          <w:rFonts w:cs="Arial"/>
          <w:szCs w:val="18"/>
          <w:lang w:val="en-AU" w:eastAsia="en-GB"/>
        </w:rPr>
        <w:t xml:space="preserve">. Similar results for the reduction in transfer of </w:t>
      </w:r>
      <w:r w:rsidRPr="00AB2EB7">
        <w:rPr>
          <w:rFonts w:cs="Arial"/>
          <w:i/>
          <w:szCs w:val="18"/>
          <w:lang w:val="en-AU" w:eastAsia="en-GB"/>
        </w:rPr>
        <w:t xml:space="preserve">L. monocytogenes </w:t>
      </w:r>
      <w:r w:rsidRPr="00AB2EB7">
        <w:rPr>
          <w:rFonts w:cs="Arial"/>
          <w:szCs w:val="18"/>
          <w:lang w:val="en-AU" w:eastAsia="en-GB"/>
        </w:rPr>
        <w:t xml:space="preserve">has been reported for a number of sanitisers </w:t>
      </w:r>
      <w:r w:rsidR="00657FDB">
        <w:rPr>
          <w:lang w:val="en-AU"/>
        </w:rPr>
        <w:t>(Ukuku et al. 2005; Ukuku et al. 2012; Ukuku et al. 2016; Ukuku and Fett 2002)</w:t>
      </w:r>
      <w:r w:rsidRPr="00AB2EB7">
        <w:rPr>
          <w:lang w:val="en-AU"/>
        </w:rPr>
        <w:t>. Notably, for both pathogens, the contact time for application of these sanitisers was for longer than generally used by the Australian industry on whole rockmelons (</w:t>
      </w:r>
      <w:r>
        <w:rPr>
          <w:lang w:val="en-AU"/>
        </w:rPr>
        <w:t>i.e. &lt;2 </w:t>
      </w:r>
      <w:r w:rsidRPr="00AB2EB7">
        <w:rPr>
          <w:lang w:val="en-AU"/>
        </w:rPr>
        <w:t>min</w:t>
      </w:r>
      <w:r>
        <w:rPr>
          <w:lang w:val="en-AU"/>
        </w:rPr>
        <w:t>utes</w:t>
      </w:r>
      <w:r w:rsidRPr="00AB2EB7">
        <w:rPr>
          <w:lang w:val="en-AU"/>
        </w:rPr>
        <w:t xml:space="preserve">). </w:t>
      </w:r>
    </w:p>
    <w:p w14:paraId="20EDE87F" w14:textId="77777777" w:rsidR="0055458D" w:rsidRPr="00AB2EB7" w:rsidRDefault="0055458D" w:rsidP="0055458D">
      <w:pPr>
        <w:rPr>
          <w:lang w:val="en-AU"/>
        </w:rPr>
      </w:pPr>
    </w:p>
    <w:p w14:paraId="61FD1DFC" w14:textId="05729669" w:rsidR="0055458D" w:rsidRPr="00AB2EB7" w:rsidRDefault="0055458D" w:rsidP="0055458D">
      <w:pPr>
        <w:rPr>
          <w:lang w:val="en-AU"/>
        </w:rPr>
      </w:pPr>
      <w:r w:rsidRPr="00AB2EB7">
        <w:rPr>
          <w:lang w:val="en-AU"/>
        </w:rPr>
        <w:t xml:space="preserve">The efficacy of some sanitisers has been reported to be reduced on rockmelons compared to other fresh produce due to their rougher surface. </w:t>
      </w:r>
      <w:r w:rsidR="00657FDB">
        <w:rPr>
          <w:lang w:val="en-AU"/>
        </w:rPr>
        <w:t>Rodgers et al.</w:t>
      </w:r>
      <w:r w:rsidRPr="00AB2EB7">
        <w:rPr>
          <w:lang w:val="en-AU"/>
        </w:rPr>
        <w:t xml:space="preserve"> </w:t>
      </w:r>
      <w:r w:rsidR="00657FDB">
        <w:rPr>
          <w:lang w:val="en-AU"/>
        </w:rPr>
        <w:t>(2004)</w:t>
      </w:r>
      <w:r w:rsidRPr="00AB2EB7">
        <w:rPr>
          <w:lang w:val="en-AU"/>
        </w:rPr>
        <w:t xml:space="preserve"> reported that shredded lettuce and sliced apples inoculated with </w:t>
      </w:r>
      <w:r w:rsidRPr="00AB2EB7">
        <w:rPr>
          <w:i/>
          <w:lang w:val="en-AU"/>
        </w:rPr>
        <w:t>L. monocytogenes</w:t>
      </w:r>
      <w:r>
        <w:rPr>
          <w:lang w:val="en-AU"/>
        </w:rPr>
        <w:t xml:space="preserve"> had the longest L</w:t>
      </w:r>
      <w:r w:rsidR="00EF60B9">
        <w:rPr>
          <w:lang w:val="en-AU"/>
        </w:rPr>
        <w:t>og </w:t>
      </w:r>
      <w:r w:rsidRPr="00AB2EB7">
        <w:rPr>
          <w:lang w:val="en-AU"/>
        </w:rPr>
        <w:t>reduction times compared to whole rockmelons, apples, and let</w:t>
      </w:r>
      <w:r>
        <w:rPr>
          <w:lang w:val="en-AU"/>
        </w:rPr>
        <w:t>tuce when treated with ozone (3ppm), chlorine dioxide (3ppm and 5</w:t>
      </w:r>
      <w:r w:rsidRPr="00AB2EB7">
        <w:rPr>
          <w:lang w:val="en-AU"/>
        </w:rPr>
        <w:t>ppm), chlor</w:t>
      </w:r>
      <w:r>
        <w:rPr>
          <w:lang w:val="en-AU"/>
        </w:rPr>
        <w:t>inated trisodium phosphate (100ppm and 200</w:t>
      </w:r>
      <w:r w:rsidRPr="00AB2EB7">
        <w:rPr>
          <w:lang w:val="en-AU"/>
        </w:rPr>
        <w:t>ppm chlo</w:t>
      </w:r>
      <w:r>
        <w:rPr>
          <w:lang w:val="en-AU"/>
        </w:rPr>
        <w:t>rine), or peroxyacetic acid (80</w:t>
      </w:r>
      <w:r w:rsidRPr="00AB2EB7">
        <w:rPr>
          <w:lang w:val="en-AU"/>
        </w:rPr>
        <w:t>ppm) applied for up to 5 min</w:t>
      </w:r>
      <w:r>
        <w:rPr>
          <w:lang w:val="en-AU"/>
        </w:rPr>
        <w:t>utes</w:t>
      </w:r>
      <w:r w:rsidRPr="00AB2EB7">
        <w:rPr>
          <w:lang w:val="en-AU"/>
        </w:rPr>
        <w:t>. Of the whole fruit tested, rock</w:t>
      </w:r>
      <w:r>
        <w:rPr>
          <w:lang w:val="en-AU"/>
        </w:rPr>
        <w:t>melons consistently had longer L</w:t>
      </w:r>
      <w:r w:rsidRPr="00AB2EB7">
        <w:rPr>
          <w:lang w:val="en-AU"/>
        </w:rPr>
        <w:t xml:space="preserve">og reduction times for </w:t>
      </w:r>
      <w:r w:rsidR="00EF60B9">
        <w:rPr>
          <w:i/>
          <w:lang w:val="en-AU"/>
        </w:rPr>
        <w:t>L. </w:t>
      </w:r>
      <w:r w:rsidRPr="00AB2EB7">
        <w:rPr>
          <w:i/>
          <w:lang w:val="en-AU"/>
        </w:rPr>
        <w:t>monocytogenes</w:t>
      </w:r>
      <w:r w:rsidRPr="00AB2EB7">
        <w:rPr>
          <w:lang w:val="en-AU"/>
        </w:rPr>
        <w:t xml:space="preserve"> for all six sanitisers when compared to whole lettuce and whole strawberries. Similarly, </w:t>
      </w:r>
      <w:r w:rsidR="00657FDB">
        <w:rPr>
          <w:lang w:val="en-AU"/>
        </w:rPr>
        <w:t>Singh et al.</w:t>
      </w:r>
      <w:r w:rsidRPr="00AB2EB7">
        <w:rPr>
          <w:lang w:val="en-AU"/>
        </w:rPr>
        <w:t xml:space="preserve"> </w:t>
      </w:r>
      <w:r w:rsidR="00657FDB">
        <w:rPr>
          <w:lang w:val="en-AU"/>
        </w:rPr>
        <w:t>(2018)</w:t>
      </w:r>
      <w:r w:rsidRPr="00AB2EB7">
        <w:rPr>
          <w:lang w:val="en-AU"/>
        </w:rPr>
        <w:t xml:space="preserve"> reported that reductions in </w:t>
      </w:r>
      <w:r w:rsidRPr="00AB2EB7">
        <w:rPr>
          <w:i/>
          <w:lang w:val="en-AU"/>
        </w:rPr>
        <w:t>S</w:t>
      </w:r>
      <w:r>
        <w:rPr>
          <w:i/>
          <w:lang w:val="en-AU"/>
        </w:rPr>
        <w:t>.</w:t>
      </w:r>
      <w:r w:rsidRPr="00AB2EB7">
        <w:rPr>
          <w:i/>
          <w:lang w:val="en-AU"/>
        </w:rPr>
        <w:t xml:space="preserve"> </w:t>
      </w:r>
      <w:r w:rsidRPr="00AB2EB7">
        <w:rPr>
          <w:lang w:val="en-AU"/>
        </w:rPr>
        <w:t xml:space="preserve">Typhimurium inoculated onto </w:t>
      </w:r>
      <w:r>
        <w:rPr>
          <w:lang w:val="en-AU"/>
        </w:rPr>
        <w:t xml:space="preserve">the surface of </w:t>
      </w:r>
      <w:r w:rsidRPr="00AB2EB7">
        <w:rPr>
          <w:lang w:val="en-AU"/>
        </w:rPr>
        <w:t>whole rockmelons were consistently lower than those for whole blueberries washed with either acidic or near neu</w:t>
      </w:r>
      <w:r w:rsidR="00EF60B9">
        <w:rPr>
          <w:lang w:val="en-AU"/>
        </w:rPr>
        <w:t>tral electrolysed water, 100ppm </w:t>
      </w:r>
      <w:r w:rsidRPr="00AB2EB7">
        <w:rPr>
          <w:lang w:val="en-AU"/>
        </w:rPr>
        <w:t>chlorine, 2% lactic acid, or PAA (45, 85, and 100ppm) for 5 min</w:t>
      </w:r>
      <w:r>
        <w:rPr>
          <w:lang w:val="en-AU"/>
        </w:rPr>
        <w:t>utes</w:t>
      </w:r>
      <w:r w:rsidRPr="00AB2EB7">
        <w:rPr>
          <w:lang w:val="en-AU"/>
        </w:rPr>
        <w:t xml:space="preserve"> at 5°C. </w:t>
      </w:r>
    </w:p>
    <w:p w14:paraId="4674422F" w14:textId="77777777" w:rsidR="0055458D" w:rsidRPr="00AB2EB7" w:rsidRDefault="0055458D" w:rsidP="0055458D">
      <w:pPr>
        <w:rPr>
          <w:lang w:val="en-AU"/>
        </w:rPr>
      </w:pPr>
    </w:p>
    <w:p w14:paraId="751BE5A7" w14:textId="5FB9EB77" w:rsidR="0055458D" w:rsidRPr="00AB2EB7" w:rsidRDefault="0055458D" w:rsidP="0055458D">
      <w:pPr>
        <w:rPr>
          <w:lang w:val="en-AU"/>
        </w:rPr>
      </w:pPr>
      <w:r w:rsidRPr="00AB2EB7">
        <w:rPr>
          <w:lang w:val="en-AU"/>
        </w:rPr>
        <w:t>The limited available evidence suggests that differences in surface texture between watermelons and rockmelons may influence the efficacy of sanitisers. Comparative studies of the efficacy of currently used sanitisers on rockmelons and watermelons are lacking. One study that reported no differences in the efficacy of commonly used sanitisers for removing pathogens from the surface of rockmelons and watermelons unfortunately did not use appropriate statistical analyses because</w:t>
      </w:r>
      <w:r w:rsidRPr="00AB2EB7">
        <w:rPr>
          <w:rFonts w:cstheme="minorHAnsi"/>
        </w:rPr>
        <w:t xml:space="preserve"> the decision to pool data for the two commodities were not justified and distort</w:t>
      </w:r>
      <w:r>
        <w:rPr>
          <w:rFonts w:cstheme="minorHAnsi"/>
        </w:rPr>
        <w:t>ed</w:t>
      </w:r>
      <w:r w:rsidRPr="00AB2EB7">
        <w:rPr>
          <w:rFonts w:cstheme="minorHAnsi"/>
        </w:rPr>
        <w:t xml:space="preserve"> the findings presented</w:t>
      </w:r>
      <w:r>
        <w:rPr>
          <w:rFonts w:cstheme="minorHAnsi"/>
        </w:rPr>
        <w:t>,</w:t>
      </w:r>
      <w:r w:rsidRPr="00AB2EB7">
        <w:rPr>
          <w:rFonts w:cstheme="minorHAnsi"/>
        </w:rPr>
        <w:t xml:space="preserve"> reducing the reliability of their interpretation </w:t>
      </w:r>
      <w:r w:rsidR="00657FDB">
        <w:rPr>
          <w:rFonts w:cstheme="minorHAnsi"/>
        </w:rPr>
        <w:t>(Svoboda et al. 2016)</w:t>
      </w:r>
      <w:r w:rsidRPr="00AB2EB7">
        <w:rPr>
          <w:rFonts w:cstheme="minorHAnsi"/>
        </w:rPr>
        <w:t>.</w:t>
      </w:r>
      <w:r w:rsidRPr="00AB2EB7">
        <w:rPr>
          <w:lang w:val="en-AU"/>
        </w:rPr>
        <w:t xml:space="preserve"> However, </w:t>
      </w:r>
      <w:r w:rsidR="00657FDB">
        <w:rPr>
          <w:lang w:val="en-AU"/>
        </w:rPr>
        <w:t>Kwon et al.</w:t>
      </w:r>
      <w:r w:rsidRPr="00AB2EB7">
        <w:rPr>
          <w:lang w:val="en-AU"/>
        </w:rPr>
        <w:t xml:space="preserve"> </w:t>
      </w:r>
      <w:r w:rsidR="00657FDB">
        <w:rPr>
          <w:lang w:val="en-AU"/>
        </w:rPr>
        <w:t>(2018)</w:t>
      </w:r>
      <w:r w:rsidRPr="00AB2EB7">
        <w:rPr>
          <w:lang w:val="en-AU"/>
        </w:rPr>
        <w:t xml:space="preserve"> attributed the significantly reduced efficacy of</w:t>
      </w:r>
      <w:r>
        <w:rPr>
          <w:lang w:val="en-AU"/>
        </w:rPr>
        <w:t xml:space="preserve"> novel steam treatments to inactivate </w:t>
      </w:r>
      <w:r w:rsidRPr="00AB2EB7">
        <w:rPr>
          <w:i/>
          <w:lang w:val="en-AU"/>
        </w:rPr>
        <w:t>E. coli</w:t>
      </w:r>
      <w:r>
        <w:rPr>
          <w:lang w:val="en-AU"/>
        </w:rPr>
        <w:t xml:space="preserve"> O157:H7, </w:t>
      </w:r>
      <w:r w:rsidRPr="00AB2EB7">
        <w:rPr>
          <w:i/>
          <w:lang w:val="en-AU"/>
        </w:rPr>
        <w:t>S</w:t>
      </w:r>
      <w:r>
        <w:rPr>
          <w:lang w:val="en-AU"/>
        </w:rPr>
        <w:t xml:space="preserve">. Typhimurium and </w:t>
      </w:r>
      <w:r w:rsidRPr="00AB2EB7">
        <w:rPr>
          <w:i/>
          <w:lang w:val="en-AU"/>
        </w:rPr>
        <w:t xml:space="preserve">L. monocytogenes </w:t>
      </w:r>
      <w:r>
        <w:rPr>
          <w:lang w:val="en-AU"/>
        </w:rPr>
        <w:t>on</w:t>
      </w:r>
      <w:r w:rsidRPr="00AB2EB7">
        <w:rPr>
          <w:lang w:val="en-AU"/>
        </w:rPr>
        <w:t xml:space="preserve"> rockmelons compared to watermelons to surface roughness which was demonstrated to be significantly higher for rockmelons using a 3D surface profiler. Similarly, the negative correlation between surface roughness and sanitiser efficacy has been reported in other studies </w:t>
      </w:r>
      <w:r w:rsidR="00657FDB">
        <w:rPr>
          <w:lang w:val="en-AU"/>
        </w:rPr>
        <w:t>(Fransisca and Feng 2012; Ringus and Moraru 2013; Wang et al. 2009)</w:t>
      </w:r>
      <w:r w:rsidRPr="00AB2EB7">
        <w:rPr>
          <w:b/>
          <w:lang w:val="en-AU"/>
        </w:rPr>
        <w:t>.</w:t>
      </w:r>
      <w:r w:rsidRPr="00AB2EB7">
        <w:rPr>
          <w:lang w:val="en-AU"/>
        </w:rPr>
        <w:t xml:space="preserve"> It is generally expected that fruits with rougher surfaces, such as rockmelons present a greater risk due to the increased potential for attachment of pathogens on the rougher rind surface that provides greater protection from sanitisers. </w:t>
      </w:r>
    </w:p>
    <w:p w14:paraId="4A463D0A" w14:textId="77777777" w:rsidR="0055458D" w:rsidRPr="00AB2EB7" w:rsidRDefault="0055458D" w:rsidP="0055458D">
      <w:pPr>
        <w:rPr>
          <w:lang w:val="en-AU"/>
        </w:rPr>
      </w:pPr>
    </w:p>
    <w:p w14:paraId="03A08EC4" w14:textId="77777777" w:rsidR="0055458D" w:rsidRPr="00AB2EB7" w:rsidRDefault="0055458D" w:rsidP="0055458D">
      <w:pPr>
        <w:rPr>
          <w:szCs w:val="18"/>
          <w:lang w:val="en-AU"/>
        </w:rPr>
      </w:pPr>
      <w:r w:rsidRPr="00AB2EB7">
        <w:rPr>
          <w:lang w:val="en-AU"/>
        </w:rPr>
        <w:t>A number of studies have investigated the efficacy of novel sanitisers on rockmelons. However, as many of these are unlikely to be used by the industry in the immediate future (due to cost, requirements for approvals and the requirement for further development to commercial scale) they are not considered in scope for this assessment.</w:t>
      </w:r>
    </w:p>
    <w:p w14:paraId="4191986B" w14:textId="77777777" w:rsidR="0055458D" w:rsidRPr="00AB2EB7" w:rsidRDefault="0055458D" w:rsidP="0055458D">
      <w:pPr>
        <w:rPr>
          <w:lang w:val="en-AU"/>
        </w:rPr>
      </w:pPr>
    </w:p>
    <w:p w14:paraId="099128F3" w14:textId="393AC617" w:rsidR="0055458D" w:rsidRPr="00AB2EB7" w:rsidRDefault="0055458D" w:rsidP="0055458D">
      <w:pPr>
        <w:rPr>
          <w:lang w:val="en-AU"/>
        </w:rPr>
      </w:pPr>
      <w:r w:rsidRPr="00AB2EB7">
        <w:rPr>
          <w:lang w:val="en-AU"/>
        </w:rPr>
        <w:t xml:space="preserve">Poor or potentially inadequate sanitation of </w:t>
      </w:r>
      <w:r>
        <w:rPr>
          <w:lang w:val="en-AU"/>
        </w:rPr>
        <w:t>postharvest</w:t>
      </w:r>
      <w:r w:rsidRPr="00AB2EB7">
        <w:rPr>
          <w:lang w:val="en-AU"/>
        </w:rPr>
        <w:t xml:space="preserve"> melons was identified during investigation</w:t>
      </w:r>
      <w:r>
        <w:rPr>
          <w:lang w:val="en-AU"/>
        </w:rPr>
        <w:t>s</w:t>
      </w:r>
      <w:r w:rsidRPr="00AB2EB7">
        <w:rPr>
          <w:lang w:val="en-AU"/>
        </w:rPr>
        <w:t xml:space="preserve"> of melon associated outbreaks including the 2018 Australian </w:t>
      </w:r>
      <w:r>
        <w:rPr>
          <w:i/>
          <w:lang w:val="en-AU"/>
        </w:rPr>
        <w:t>L. </w:t>
      </w:r>
      <w:r w:rsidRPr="00AB2EB7">
        <w:rPr>
          <w:i/>
          <w:lang w:val="en-AU"/>
        </w:rPr>
        <w:t xml:space="preserve">monocytogenes </w:t>
      </w:r>
      <w:r w:rsidRPr="00AB2EB7">
        <w:rPr>
          <w:lang w:val="en-AU"/>
        </w:rPr>
        <w:t xml:space="preserve">outbreak </w:t>
      </w:r>
      <w:r w:rsidR="00657FDB">
        <w:rPr>
          <w:lang w:val="en-AU"/>
        </w:rPr>
        <w:t>(NSW DPI 2018)</w:t>
      </w:r>
      <w:r w:rsidRPr="00AB2EB7">
        <w:rPr>
          <w:lang w:val="en-AU"/>
        </w:rPr>
        <w:t xml:space="preserve">, 2016 Australian </w:t>
      </w:r>
      <w:r w:rsidRPr="00AB2EB7">
        <w:rPr>
          <w:i/>
          <w:lang w:val="en-AU"/>
        </w:rPr>
        <w:t>Salmonella</w:t>
      </w:r>
      <w:r w:rsidRPr="00AB2EB7">
        <w:rPr>
          <w:lang w:val="en-AU"/>
        </w:rPr>
        <w:t xml:space="preserve"> outbreak </w:t>
      </w:r>
      <w:r w:rsidR="00657FDB">
        <w:rPr>
          <w:lang w:val="en-AU"/>
        </w:rPr>
        <w:t>(NSW Food Authority 2017)</w:t>
      </w:r>
      <w:r w:rsidRPr="00AB2EB7">
        <w:rPr>
          <w:lang w:val="en-AU"/>
        </w:rPr>
        <w:t xml:space="preserve">, 2012 US Salmonella outbreak </w:t>
      </w:r>
      <w:r w:rsidR="00657FDB">
        <w:rPr>
          <w:lang w:val="en-AU"/>
        </w:rPr>
        <w:t>(FDA 2014)</w:t>
      </w:r>
      <w:r w:rsidRPr="00AB2EB7">
        <w:rPr>
          <w:lang w:val="en-AU"/>
        </w:rPr>
        <w:t xml:space="preserve">, 2011 US </w:t>
      </w:r>
      <w:r>
        <w:rPr>
          <w:i/>
          <w:lang w:val="en-AU"/>
        </w:rPr>
        <w:t>L. </w:t>
      </w:r>
      <w:r w:rsidRPr="00AB2EB7">
        <w:rPr>
          <w:i/>
          <w:lang w:val="en-AU"/>
        </w:rPr>
        <w:t xml:space="preserve">monocytogenes </w:t>
      </w:r>
      <w:r w:rsidRPr="00AB2EB7">
        <w:rPr>
          <w:lang w:val="en-AU"/>
        </w:rPr>
        <w:t xml:space="preserve">outbreak </w:t>
      </w:r>
      <w:r w:rsidR="00657FDB">
        <w:rPr>
          <w:lang w:val="en-AU"/>
        </w:rPr>
        <w:t>(US Department of Justice 2013)</w:t>
      </w:r>
      <w:r w:rsidRPr="00AB2EB7">
        <w:rPr>
          <w:lang w:val="en-AU"/>
        </w:rPr>
        <w:t xml:space="preserve">, and the 2006 Australian </w:t>
      </w:r>
      <w:r w:rsidRPr="00AB2EB7">
        <w:rPr>
          <w:i/>
          <w:lang w:val="en-AU"/>
        </w:rPr>
        <w:t>Salmonella</w:t>
      </w:r>
      <w:r w:rsidRPr="00AB2EB7">
        <w:rPr>
          <w:lang w:val="en-AU"/>
        </w:rPr>
        <w:t xml:space="preserve"> outbreak </w:t>
      </w:r>
      <w:r w:rsidR="00657FDB">
        <w:rPr>
          <w:lang w:val="en-AU"/>
        </w:rPr>
        <w:t>(Munnoch et al. 2009)</w:t>
      </w:r>
      <w:r w:rsidRPr="00AB2EB7">
        <w:rPr>
          <w:lang w:val="en-AU"/>
        </w:rPr>
        <w:t>.</w:t>
      </w:r>
    </w:p>
    <w:p w14:paraId="20DCB138" w14:textId="77777777" w:rsidR="0055458D" w:rsidRDefault="0055458D" w:rsidP="00787E56">
      <w:pPr>
        <w:pStyle w:val="Heading3"/>
        <w:numPr>
          <w:ilvl w:val="2"/>
          <w:numId w:val="11"/>
        </w:numPr>
      </w:pPr>
      <w:bookmarkStart w:id="407" w:name="_Toc56693470"/>
      <w:bookmarkStart w:id="408" w:name="_Toc58327823"/>
      <w:bookmarkStart w:id="409" w:name="_Toc58334003"/>
      <w:bookmarkStart w:id="410" w:name="_Toc64448810"/>
      <w:bookmarkStart w:id="411" w:name="_Toc87860071"/>
      <w:r>
        <w:t>Conclusions, uncertainty and data gaps</w:t>
      </w:r>
      <w:bookmarkEnd w:id="407"/>
      <w:bookmarkEnd w:id="408"/>
      <w:bookmarkEnd w:id="409"/>
      <w:bookmarkEnd w:id="410"/>
      <w:bookmarkEnd w:id="411"/>
      <w:r>
        <w:t xml:space="preserve"> </w:t>
      </w:r>
    </w:p>
    <w:p w14:paraId="4D877AFF" w14:textId="77777777" w:rsidR="0055458D" w:rsidRPr="000A0330" w:rsidRDefault="0055458D" w:rsidP="0055458D">
      <w:r w:rsidRPr="00B64559">
        <w:rPr>
          <w:i/>
        </w:rPr>
        <w:t xml:space="preserve">The risk factors associated with inadequate washing and sanitiser application will apply </w:t>
      </w:r>
      <w:r w:rsidRPr="00B64559">
        <w:rPr>
          <w:i/>
          <w:lang w:eastAsia="en-AU" w:bidi="ar-SA"/>
        </w:rPr>
        <w:t>broadly to all commodities that undergo these processes</w:t>
      </w:r>
      <w:r w:rsidRPr="00FD4596">
        <w:rPr>
          <w:lang w:eastAsia="en-AU" w:bidi="ar-SA"/>
        </w:rPr>
        <w:t>.</w:t>
      </w:r>
      <w:r>
        <w:rPr>
          <w:lang w:eastAsia="en-AU" w:bidi="ar-SA"/>
        </w:rPr>
        <w:t xml:space="preserve"> </w:t>
      </w:r>
      <w:r w:rsidRPr="00763714">
        <w:rPr>
          <w:lang w:eastAsia="en-AU" w:bidi="ar-SA"/>
        </w:rPr>
        <w:t>There is a low level of uncertainty and high level of confidence in this conclusion based on the general evidence, and the available evidence for leafy vegetables, berries, and melons</w:t>
      </w:r>
      <w:r w:rsidRPr="000A0330">
        <w:t xml:space="preserve">. </w:t>
      </w:r>
      <w:r>
        <w:t>For viral pathogens, the u</w:t>
      </w:r>
      <w:r w:rsidRPr="007B438E">
        <w:t xml:space="preserve">se of sewage-contaminated water for </w:t>
      </w:r>
      <w:r>
        <w:t>postharvest</w:t>
      </w:r>
      <w:r w:rsidRPr="007B438E">
        <w:t xml:space="preserve"> washing and sanitising</w:t>
      </w:r>
      <w:r>
        <w:t xml:space="preserve"> are risk factors that apply to all commodities. </w:t>
      </w:r>
    </w:p>
    <w:p w14:paraId="618677AE" w14:textId="77777777" w:rsidR="0055458D" w:rsidRDefault="0055458D" w:rsidP="0055458D">
      <w:pPr>
        <w:rPr>
          <w:color w:val="000000" w:themeColor="text1"/>
        </w:rPr>
      </w:pPr>
    </w:p>
    <w:p w14:paraId="7EAA2F64" w14:textId="77777777" w:rsidR="0055458D" w:rsidRPr="0064726A" w:rsidRDefault="0055458D" w:rsidP="0055458D">
      <w:pPr>
        <w:rPr>
          <w:color w:val="000000" w:themeColor="text1"/>
        </w:rPr>
      </w:pPr>
      <w:r w:rsidRPr="00B64559">
        <w:rPr>
          <w:i/>
          <w:color w:val="000000" w:themeColor="text1"/>
        </w:rPr>
        <w:t xml:space="preserve">The likelihood for cross-contamination is increased during processes using water that is untreated or does </w:t>
      </w:r>
      <w:r w:rsidRPr="00B64559">
        <w:rPr>
          <w:i/>
        </w:rPr>
        <w:t>not contain a disinfectant to maintain microbial quality throughout the process.</w:t>
      </w:r>
      <w:r w:rsidRPr="00FD4596">
        <w:t xml:space="preserve"> </w:t>
      </w:r>
      <w:r w:rsidRPr="00763714">
        <w:rPr>
          <w:lang w:eastAsia="en-AU"/>
        </w:rPr>
        <w:t>There is a low level of uncertainty and high level of confidence in this conclusion based on the general evidence, and the available evidence for leafy vegetables and melons</w:t>
      </w:r>
      <w:r w:rsidRPr="000A0330">
        <w:t xml:space="preserve">. </w:t>
      </w:r>
      <w:r w:rsidRPr="00763714">
        <w:t xml:space="preserve">The evidence above for lettuce and rockmelons indicate that currently available water based disinfectants can be highly effective in significantly reducing pathogens in wash water. However, although the likelihood of cross-contamination can be reduced if disinfectants are applied and monitored under optimised conditions, pathogens </w:t>
      </w:r>
      <w:r w:rsidRPr="0064726A">
        <w:rPr>
          <w:color w:val="000000" w:themeColor="text1"/>
        </w:rPr>
        <w:t>are not eliminated. However, due to the limited evidence available for spinach and parsley, and the great variety of differences in the study methods for the available data, there is uncertainty as to how the likelihood of cross-contamination may differ between commodities. Moreover, reducing the likelihood of cross-contamination is dependent upon the optimisation of washing process that vary greatly between and within commodity sectors.</w:t>
      </w:r>
    </w:p>
    <w:p w14:paraId="61E8FFB8" w14:textId="77777777" w:rsidR="0055458D" w:rsidRDefault="0055458D" w:rsidP="0055458D">
      <w:pPr>
        <w:rPr>
          <w:color w:val="000000" w:themeColor="text1"/>
        </w:rPr>
      </w:pPr>
    </w:p>
    <w:p w14:paraId="42A7215E" w14:textId="77777777" w:rsidR="0055458D" w:rsidRPr="0064726A" w:rsidRDefault="0055458D" w:rsidP="0055458D">
      <w:pPr>
        <w:rPr>
          <w:rFonts w:cs="Arial"/>
          <w:b/>
          <w:color w:val="000000" w:themeColor="text1"/>
          <w:lang w:val="en-AU" w:eastAsia="en-GB"/>
        </w:rPr>
      </w:pPr>
      <w:r w:rsidRPr="00B64559">
        <w:rPr>
          <w:i/>
          <w:color w:val="000000" w:themeColor="text1"/>
        </w:rPr>
        <w:t xml:space="preserve">Water based sanitisers used at industry-relevant concentrations and contact times (that do not adversely affect sensory </w:t>
      </w:r>
      <w:r w:rsidRPr="00B64559">
        <w:rPr>
          <w:i/>
        </w:rPr>
        <w:t xml:space="preserve">properties of produce) are generally </w:t>
      </w:r>
      <w:r w:rsidRPr="00B64559">
        <w:rPr>
          <w:rFonts w:cs="Arial"/>
          <w:i/>
          <w:lang w:val="en-AU" w:eastAsia="en-GB"/>
        </w:rPr>
        <w:t>limited in efficacy for removing pathogens from the surface of produce and, in g</w:t>
      </w:r>
      <w:r>
        <w:rPr>
          <w:rFonts w:cs="Arial"/>
          <w:i/>
          <w:lang w:val="en-AU" w:eastAsia="en-GB"/>
        </w:rPr>
        <w:t>eneral, achieve reductions of &lt;3 L</w:t>
      </w:r>
      <w:r w:rsidRPr="00B64559">
        <w:rPr>
          <w:rFonts w:cs="Arial"/>
          <w:i/>
          <w:lang w:val="en-AU" w:eastAsia="en-GB"/>
        </w:rPr>
        <w:t>og CFU.</w:t>
      </w:r>
      <w:r w:rsidRPr="0064726A">
        <w:rPr>
          <w:rFonts w:cs="Arial"/>
          <w:b/>
          <w:lang w:val="en-AU" w:eastAsia="en-GB"/>
        </w:rPr>
        <w:t xml:space="preserve"> </w:t>
      </w:r>
      <w:r w:rsidRPr="00763714">
        <w:rPr>
          <w:lang w:eastAsia="en-AU"/>
        </w:rPr>
        <w:t>There is a low level of uncertainty and high level of confidence in this conclusion based on the general evidence, and the available evidence for leafy vegetables and melons</w:t>
      </w:r>
      <w:r w:rsidRPr="000A0330">
        <w:t xml:space="preserve">. </w:t>
      </w:r>
      <w:r w:rsidRPr="0064726A">
        <w:rPr>
          <w:rFonts w:cs="Arial"/>
          <w:lang w:val="en-AU" w:eastAsia="en-GB"/>
        </w:rPr>
        <w:t xml:space="preserve">There is experimental evidence available for all commodity sectors. However, there is a large variation in the methods employed in available studies and the majority of studies for melons are undertaken in laboratory conditions, where there are more studies that assess </w:t>
      </w:r>
      <w:r w:rsidRPr="0064726A">
        <w:rPr>
          <w:rFonts w:cs="Arial"/>
          <w:color w:val="000000" w:themeColor="text1"/>
          <w:lang w:val="en-AU" w:eastAsia="en-GB"/>
        </w:rPr>
        <w:t>pilot or industry scale systems for leafy vegetables. There are many differences in the methods of inoculating produce, the type of sanitisers applied, concentrations, contact times, method of sanitiser application, levels of organic matter, the target pathogen and strain, and temperature of both commodity and sanitiser solution.</w:t>
      </w:r>
    </w:p>
    <w:p w14:paraId="20B7DFBA" w14:textId="77777777" w:rsidR="0055458D" w:rsidRDefault="0055458D" w:rsidP="0055458D">
      <w:pPr>
        <w:rPr>
          <w:rFonts w:cs="Arial"/>
          <w:color w:val="000000" w:themeColor="text1"/>
          <w:lang w:val="en-AU" w:eastAsia="en-GB"/>
        </w:rPr>
      </w:pPr>
    </w:p>
    <w:p w14:paraId="490EAE79" w14:textId="731100B2" w:rsidR="0055458D" w:rsidRPr="0064726A" w:rsidRDefault="0055458D" w:rsidP="0055458D">
      <w:pPr>
        <w:rPr>
          <w:rFonts w:cs="Arial"/>
          <w:color w:val="000000" w:themeColor="text1"/>
          <w:lang w:val="en-AU" w:eastAsia="en-GB"/>
        </w:rPr>
      </w:pPr>
      <w:r w:rsidRPr="00B64559">
        <w:rPr>
          <w:rFonts w:cs="Arial"/>
          <w:i/>
          <w:color w:val="000000" w:themeColor="text1"/>
          <w:lang w:val="en-AU" w:eastAsia="en-GB"/>
        </w:rPr>
        <w:t xml:space="preserve">The limited comparative studies available suggest that sanitisers may be less effective at reducing pathogens on cut leafy vegetables compared to whole produce, and </w:t>
      </w:r>
      <w:r w:rsidRPr="00B64559">
        <w:rPr>
          <w:rFonts w:cs="Arial"/>
          <w:i/>
          <w:lang w:val="en-AU" w:eastAsia="en-GB"/>
        </w:rPr>
        <w:t>rockmelons compared to smoother melons such as watermelons</w:t>
      </w:r>
      <w:r w:rsidRPr="00FD4596">
        <w:rPr>
          <w:rFonts w:cs="Arial"/>
          <w:lang w:val="en-AU" w:eastAsia="en-GB"/>
        </w:rPr>
        <w:t>.</w:t>
      </w:r>
      <w:r w:rsidRPr="0064726A">
        <w:rPr>
          <w:rFonts w:cs="Arial"/>
          <w:lang w:val="en-AU" w:eastAsia="en-GB"/>
        </w:rPr>
        <w:t xml:space="preserve"> </w:t>
      </w:r>
      <w:r w:rsidRPr="00763714">
        <w:rPr>
          <w:lang w:eastAsia="en-AU"/>
        </w:rPr>
        <w:t>There is a medium level of uncertainty and confidence in this conclusion based on the general evidence, and the available evidence for leafy vegetables and melons</w:t>
      </w:r>
      <w:r w:rsidRPr="000A0330">
        <w:t xml:space="preserve">. </w:t>
      </w:r>
      <w:r w:rsidRPr="0064726A">
        <w:rPr>
          <w:rFonts w:cs="Arial"/>
          <w:lang w:val="en-AU" w:eastAsia="en-GB"/>
        </w:rPr>
        <w:t xml:space="preserve">Results vary across studies and these comparative studies are limited in number. Assessing the difference in efficacy between studies and, particularly the effect of intrinsic characteristics such as surface roughness, is difficult due to the differences in methods employed in the studies reviewed above. There are many differences in the methods of inoculating </w:t>
      </w:r>
      <w:r w:rsidRPr="0064726A">
        <w:rPr>
          <w:rFonts w:cs="Arial"/>
          <w:color w:val="000000" w:themeColor="text1"/>
          <w:lang w:val="en-AU" w:eastAsia="en-GB"/>
        </w:rPr>
        <w:t xml:space="preserve">produce, types of sanitisers applied, concentrations, contact times, method of sanitiser application, levels of organic matter, the target pathogen and strain, and temperature of both commodity and sanitiser solution. Moreover, while more recent studies that closely represent industry practices have been undertaken for leafy vegetables, the majority of studies for melons or berries are still undertaken at the laboratory scale and not always with industry relevant concentrations and contact times. </w:t>
      </w:r>
    </w:p>
    <w:p w14:paraId="534831DF" w14:textId="77777777" w:rsidR="0055458D" w:rsidRDefault="0055458D" w:rsidP="0055458D">
      <w:pPr>
        <w:rPr>
          <w:color w:val="000000" w:themeColor="text1"/>
        </w:rPr>
      </w:pPr>
    </w:p>
    <w:p w14:paraId="13AE10A8" w14:textId="77777777" w:rsidR="0055458D" w:rsidRPr="0064726A" w:rsidRDefault="0055458D" w:rsidP="0055458D">
      <w:pPr>
        <w:rPr>
          <w:color w:val="000000" w:themeColor="text1"/>
        </w:rPr>
      </w:pPr>
      <w:r w:rsidRPr="00B64559">
        <w:rPr>
          <w:i/>
          <w:color w:val="000000" w:themeColor="text1"/>
        </w:rPr>
        <w:t xml:space="preserve">If factors critical to the application of disinfectants and sanitisers are not monitored, these processes can fail and instead result in increased risk due to cross-contamination of produce or limited to no reduction in pathogens on the surface of </w:t>
      </w:r>
      <w:r w:rsidRPr="00B64559">
        <w:rPr>
          <w:i/>
        </w:rPr>
        <w:t>produce</w:t>
      </w:r>
      <w:r w:rsidRPr="00FD4596">
        <w:t>.</w:t>
      </w:r>
      <w:r w:rsidRPr="00763714">
        <w:t xml:space="preserve"> </w:t>
      </w:r>
      <w:r w:rsidRPr="00763714">
        <w:rPr>
          <w:lang w:eastAsia="en-AU"/>
        </w:rPr>
        <w:t xml:space="preserve">There is a low level of uncertainty and high level of confidence in this conclusion. </w:t>
      </w:r>
      <w:r w:rsidRPr="00763714">
        <w:t xml:space="preserve">The efficacy of disinfectants and sanitisers is dependent on the recognition and management </w:t>
      </w:r>
      <w:r w:rsidRPr="0064726A">
        <w:rPr>
          <w:color w:val="000000" w:themeColor="text1"/>
        </w:rPr>
        <w:t>of a number of other factors. These factors can include pH, organic loads from dirt or damaged/cut produce, temperature, concentration, and contact time. The importance of these factors to sanitiser efficacy is well documented in the literature.</w:t>
      </w:r>
    </w:p>
    <w:p w14:paraId="17C1ABF0" w14:textId="77777777" w:rsidR="0055458D" w:rsidRPr="00E87D51" w:rsidRDefault="0055458D" w:rsidP="0055458D">
      <w:pPr>
        <w:rPr>
          <w:color w:val="000000" w:themeColor="text1"/>
        </w:rPr>
      </w:pPr>
    </w:p>
    <w:p w14:paraId="7BEDE4C9" w14:textId="77777777" w:rsidR="0055458D" w:rsidRPr="0064726A" w:rsidRDefault="0055458D" w:rsidP="0055458D">
      <w:pPr>
        <w:rPr>
          <w:b/>
          <w:color w:val="000000" w:themeColor="text1"/>
        </w:rPr>
      </w:pPr>
      <w:r w:rsidRPr="00B64559">
        <w:rPr>
          <w:i/>
          <w:color w:val="000000" w:themeColor="text1"/>
        </w:rPr>
        <w:t xml:space="preserve">There is the potential for internalisation of pathogens into leafy vegetables and melons </w:t>
      </w:r>
      <w:r w:rsidRPr="00B64559">
        <w:rPr>
          <w:i/>
        </w:rPr>
        <w:t>during washing</w:t>
      </w:r>
      <w:r w:rsidRPr="00FD4596">
        <w:t>.</w:t>
      </w:r>
      <w:r w:rsidRPr="00763714">
        <w:t xml:space="preserve"> </w:t>
      </w:r>
      <w:r w:rsidRPr="00763714">
        <w:rPr>
          <w:lang w:eastAsia="en-AU"/>
        </w:rPr>
        <w:t>There is a medium level of uncertainty and medium level of confidence in this conclusion based on the general evidence, and the available evidence for leafy vegetables and melons</w:t>
      </w:r>
      <w:r w:rsidRPr="000A0330">
        <w:t xml:space="preserve">. </w:t>
      </w:r>
      <w:r w:rsidRPr="0064726A">
        <w:rPr>
          <w:color w:val="000000" w:themeColor="text1"/>
        </w:rPr>
        <w:t xml:space="preserve">The ability of pathogens to internalise into whole and cut leafy vegetables during washing has been reported. Furthermore, there is evidence that </w:t>
      </w:r>
      <w:r w:rsidRPr="0064726A">
        <w:rPr>
          <w:i/>
          <w:color w:val="000000" w:themeColor="text1"/>
        </w:rPr>
        <w:t>L. monocytogenes</w:t>
      </w:r>
      <w:r w:rsidRPr="0064726A">
        <w:rPr>
          <w:color w:val="000000" w:themeColor="text1"/>
        </w:rPr>
        <w:t xml:space="preserve"> has been shown to internalise into whole rockmelons via dump tank wash water with and without a temperature differential, though internalisation was slightly enhanced with a temperature differential between warmer fruit and cooler water. Although the evidence of internalisation is limited, pre-cooling of melons before washing and sanitising may reduce the likelihood of </w:t>
      </w:r>
      <w:r w:rsidRPr="00763714">
        <w:t>internalisation, and will also limit the potential for growth of pathogens during storage before processing. However, there is high uncertainty regarding the likelihood of internali</w:t>
      </w:r>
      <w:r>
        <w:t xml:space="preserve">sation of pathogens into </w:t>
      </w:r>
      <w:r w:rsidRPr="00763714">
        <w:t xml:space="preserve">watermelons and berries via wash water due to lack of evidence. </w:t>
      </w:r>
      <w:r w:rsidRPr="00434657">
        <w:t xml:space="preserve">It is noted that </w:t>
      </w:r>
      <w:r>
        <w:t xml:space="preserve">watermelons and </w:t>
      </w:r>
      <w:r w:rsidRPr="00434657">
        <w:t>berries</w:t>
      </w:r>
      <w:r>
        <w:t xml:space="preserve"> </w:t>
      </w:r>
      <w:r w:rsidRPr="00434657">
        <w:t xml:space="preserve">generally do not undergo a </w:t>
      </w:r>
      <w:r>
        <w:t>postharvest</w:t>
      </w:r>
      <w:r w:rsidRPr="00434657">
        <w:t xml:space="preserve"> washing and sanitisation step unless they are undergoing further processing (</w:t>
      </w:r>
      <w:r w:rsidRPr="009D5A9D">
        <w:t>e.g.</w:t>
      </w:r>
      <w:r w:rsidRPr="00434657">
        <w:t xml:space="preserve"> freezing</w:t>
      </w:r>
      <w:r>
        <w:t>/fresh cut</w:t>
      </w:r>
      <w:r w:rsidRPr="00434657">
        <w:t>). The lack of this additional hurdle to further reduce the potential</w:t>
      </w:r>
      <w:r>
        <w:t xml:space="preserve"> for contamination can increase the risk associated with these products if contamination occurs before or at harvest. </w:t>
      </w:r>
      <w:r w:rsidRPr="0064726A">
        <w:rPr>
          <w:color w:val="000000" w:themeColor="text1"/>
        </w:rPr>
        <w:t xml:space="preserve">The relevance of these studies to commercial scenarios may also be limited, as general high inoculum levels were used that are less likely to be encountered if </w:t>
      </w:r>
      <w:r>
        <w:rPr>
          <w:color w:val="000000" w:themeColor="text1"/>
        </w:rPr>
        <w:t xml:space="preserve">GMPs and GAPs </w:t>
      </w:r>
      <w:r w:rsidRPr="0064726A">
        <w:rPr>
          <w:color w:val="000000" w:themeColor="text1"/>
        </w:rPr>
        <w:t xml:space="preserve">are implemented. Sanitisers were also not applied in the studies. </w:t>
      </w:r>
    </w:p>
    <w:p w14:paraId="706EE19C" w14:textId="77777777" w:rsidR="0055458D" w:rsidRDefault="0055458D" w:rsidP="0055458D">
      <w:pPr>
        <w:rPr>
          <w:lang w:eastAsia="en-AU" w:bidi="ar-SA"/>
        </w:rPr>
      </w:pPr>
    </w:p>
    <w:p w14:paraId="68D221C5" w14:textId="77777777" w:rsidR="0055458D" w:rsidRPr="000218C3" w:rsidRDefault="0055458D" w:rsidP="0055458D">
      <w:pPr>
        <w:rPr>
          <w:rFonts w:cs="Arial"/>
          <w:lang w:val="en-AU" w:eastAsia="en-GB"/>
        </w:rPr>
      </w:pPr>
      <w:r w:rsidRPr="00B64559">
        <w:rPr>
          <w:i/>
          <w:color w:val="000000" w:themeColor="text1"/>
        </w:rPr>
        <w:t xml:space="preserve">Sanitisers and disinfectants should be used in wash water to reduce the likelihood of contamination and the potential for internalisation into leafy vegetables and melons, as water based sanitisers are not effective in eliminating internalised pathogens. However, </w:t>
      </w:r>
      <w:r w:rsidRPr="00B64559">
        <w:rPr>
          <w:rFonts w:cs="Arial"/>
          <w:i/>
          <w:color w:val="000000" w:themeColor="text1"/>
          <w:lang w:val="en-AU" w:eastAsia="en-GB"/>
        </w:rPr>
        <w:t>the use of disinfectants and sanitisers alone is insufficient to ensure end product safety, which</w:t>
      </w:r>
      <w:r w:rsidRPr="00B64559">
        <w:rPr>
          <w:i/>
          <w:color w:val="000000" w:themeColor="text1"/>
        </w:rPr>
        <w:t xml:space="preserve"> is, instead, reliant upon a consistent through chain approach to risk management</w:t>
      </w:r>
      <w:r w:rsidRPr="00B64559">
        <w:rPr>
          <w:i/>
        </w:rPr>
        <w:t>.</w:t>
      </w:r>
      <w:r w:rsidRPr="00FD4596">
        <w:t xml:space="preserve"> </w:t>
      </w:r>
      <w:r w:rsidRPr="00763714">
        <w:rPr>
          <w:lang w:eastAsia="en-AU"/>
        </w:rPr>
        <w:t xml:space="preserve">There is a low level of uncertainty and high level of confidence in this conclusion. </w:t>
      </w:r>
      <w:r w:rsidRPr="0064726A">
        <w:rPr>
          <w:rFonts w:cs="Arial"/>
          <w:lang w:val="en-AU" w:eastAsia="en-GB"/>
        </w:rPr>
        <w:t>Overall, the body of evidence indicates that washing with sanitisers can be an important additional hurdle to reduce the likelihood of contamination, if applied correctly. However</w:t>
      </w:r>
      <w:r w:rsidRPr="0064726A">
        <w:rPr>
          <w:rFonts w:cs="Arial"/>
          <w:color w:val="000000" w:themeColor="text1"/>
          <w:lang w:val="en-AU" w:eastAsia="en-GB"/>
        </w:rPr>
        <w:t xml:space="preserve">, the use of currently available water based sanitisers alone—even under optimised conditions—cannot completely remove the risk of cross-contamination, and only offers limited efficacy for removing pathogens from the surface of produce. </w:t>
      </w:r>
    </w:p>
    <w:p w14:paraId="60666565" w14:textId="77777777" w:rsidR="0055458D" w:rsidRDefault="0055458D" w:rsidP="00787E56">
      <w:pPr>
        <w:pStyle w:val="Heading3"/>
        <w:numPr>
          <w:ilvl w:val="2"/>
          <w:numId w:val="11"/>
        </w:numPr>
      </w:pPr>
      <w:bookmarkStart w:id="412" w:name="_Toc56693471"/>
      <w:bookmarkStart w:id="413" w:name="_Toc58327824"/>
      <w:bookmarkStart w:id="414" w:name="_Toc58334004"/>
      <w:bookmarkStart w:id="415" w:name="_Toc64448811"/>
      <w:bookmarkStart w:id="416" w:name="_Toc87860072"/>
      <w:r>
        <w:t>Mitigation measures</w:t>
      </w:r>
      <w:bookmarkEnd w:id="412"/>
      <w:bookmarkEnd w:id="413"/>
      <w:bookmarkEnd w:id="414"/>
      <w:bookmarkEnd w:id="415"/>
      <w:bookmarkEnd w:id="416"/>
    </w:p>
    <w:p w14:paraId="534CC3EF" w14:textId="4D627A18" w:rsidR="0055458D" w:rsidRDefault="0055458D" w:rsidP="004E0C49">
      <w:pPr>
        <w:spacing w:after="120"/>
      </w:pPr>
      <w:r>
        <w:t xml:space="preserve">The mitigation recommendations provided by other agencies, organisations and peak industry bodies for limiting the risk from animal and human ingress are similar across the in-scope commodity sectors </w:t>
      </w:r>
      <w:r w:rsidR="00657FDB">
        <w:t>(EFSA Panel on Biological Hazards 2014a, 2014b, 2014c; FAO/WHO 2008b; FPSC A-NZ 2019; IFPA et al. 2006; NSW DPI 2019)</w:t>
      </w:r>
      <w:r>
        <w:t xml:space="preserve"> and include:</w:t>
      </w:r>
    </w:p>
    <w:p w14:paraId="43058569" w14:textId="77777777" w:rsidR="0055458D" w:rsidRDefault="0055458D" w:rsidP="0055458D">
      <w:pPr>
        <w:pStyle w:val="ListParagraph"/>
        <w:numPr>
          <w:ilvl w:val="0"/>
          <w:numId w:val="33"/>
        </w:numPr>
      </w:pPr>
      <w:r w:rsidRPr="005A3DDE">
        <w:t xml:space="preserve">Risk assessment at harvest </w:t>
      </w:r>
      <w:r>
        <w:t xml:space="preserve">is required </w:t>
      </w:r>
      <w:r w:rsidRPr="005A3DDE">
        <w:t>to det</w:t>
      </w:r>
      <w:r>
        <w:t>ermine if sanitiser efficacy might</w:t>
      </w:r>
      <w:r w:rsidRPr="005A3DDE">
        <w:t xml:space="preserve"> be compromised by increased organic load, </w:t>
      </w:r>
      <w:r>
        <w:t>produce</w:t>
      </w:r>
      <w:r w:rsidRPr="005A3DDE">
        <w:t xml:space="preserve"> da</w:t>
      </w:r>
      <w:r>
        <w:t>mage or extreme weather events</w:t>
      </w:r>
    </w:p>
    <w:p w14:paraId="45DBE1F7" w14:textId="77777777" w:rsidR="0055458D" w:rsidRPr="008E0A62" w:rsidRDefault="0055458D" w:rsidP="0055458D">
      <w:pPr>
        <w:pStyle w:val="ListParagraph"/>
        <w:numPr>
          <w:ilvl w:val="0"/>
          <w:numId w:val="33"/>
        </w:numPr>
      </w:pPr>
      <w:r w:rsidRPr="008E0A62">
        <w:t>Ensure that appropriate concentrations and contact times of approved sanitisers are applied to reduce the likelihood of cross</w:t>
      </w:r>
      <w:r>
        <w:t>-</w:t>
      </w:r>
      <w:r w:rsidRPr="008E0A62">
        <w:t>contamination</w:t>
      </w:r>
    </w:p>
    <w:p w14:paraId="1F788BE3" w14:textId="77777777" w:rsidR="0055458D" w:rsidRPr="008E0A62" w:rsidRDefault="0055458D" w:rsidP="0055458D">
      <w:pPr>
        <w:pStyle w:val="ListParagraph"/>
        <w:numPr>
          <w:ilvl w:val="0"/>
          <w:numId w:val="33"/>
        </w:numPr>
      </w:pPr>
      <w:r w:rsidRPr="008E0A62">
        <w:t>Auto-dosing and regular monitoring of water quality parameters and sanitisers is required to maintain efficacy</w:t>
      </w:r>
    </w:p>
    <w:p w14:paraId="6E9B3E0E" w14:textId="77777777" w:rsidR="0055458D" w:rsidRPr="008E0A62" w:rsidRDefault="0055458D" w:rsidP="0055458D">
      <w:pPr>
        <w:pStyle w:val="ListParagraph"/>
        <w:numPr>
          <w:ilvl w:val="0"/>
          <w:numId w:val="33"/>
        </w:numPr>
      </w:pPr>
      <w:r w:rsidRPr="008E0A62">
        <w:t>Remove damaged product prior to sanitiser application to limit cross</w:t>
      </w:r>
      <w:r>
        <w:t>-</w:t>
      </w:r>
      <w:r w:rsidRPr="008E0A62">
        <w:t>contamination and reduce organic loads</w:t>
      </w:r>
    </w:p>
    <w:p w14:paraId="54A8A0F0" w14:textId="77777777" w:rsidR="0055458D" w:rsidRPr="008E0A62" w:rsidRDefault="0055458D" w:rsidP="0055458D">
      <w:pPr>
        <w:pStyle w:val="ListParagraph"/>
        <w:numPr>
          <w:ilvl w:val="0"/>
          <w:numId w:val="33"/>
        </w:numPr>
      </w:pPr>
      <w:r w:rsidRPr="008E0A62">
        <w:t xml:space="preserve">Evaluate the process design and ability to optimise for product viability. For example, evaluating specific product </w:t>
      </w:r>
      <w:r>
        <w:t xml:space="preserve">wash water disinfectant demand and </w:t>
      </w:r>
      <w:r w:rsidRPr="008E0A62">
        <w:t>product-to-water volume ratio</w:t>
      </w:r>
      <w:r>
        <w:t>s</w:t>
      </w:r>
      <w:r w:rsidRPr="008E0A62">
        <w:t>; assess</w:t>
      </w:r>
      <w:r>
        <w:t>ing</w:t>
      </w:r>
      <w:r w:rsidRPr="008E0A62">
        <w:t xml:space="preserve"> use of filtration systems to remove sand or soil </w:t>
      </w:r>
      <w:r>
        <w:t>from water during processing; and</w:t>
      </w:r>
      <w:r w:rsidRPr="008E0A62">
        <w:t xml:space="preserve"> assess</w:t>
      </w:r>
      <w:r>
        <w:t>ing</w:t>
      </w:r>
      <w:r w:rsidRPr="008E0A62">
        <w:t xml:space="preserve"> when water should be changed or added</w:t>
      </w:r>
      <w:r>
        <w:t>.</w:t>
      </w:r>
    </w:p>
    <w:p w14:paraId="6432E8C8" w14:textId="77777777" w:rsidR="0055458D" w:rsidRDefault="0055458D" w:rsidP="0055458D"/>
    <w:p w14:paraId="10193972" w14:textId="77777777" w:rsidR="0055458D" w:rsidRDefault="0055458D" w:rsidP="004E0C49">
      <w:pPr>
        <w:spacing w:after="120"/>
      </w:pPr>
      <w:r>
        <w:t>There are some specific recommendations regarding washing and sanitising for melons:</w:t>
      </w:r>
    </w:p>
    <w:p w14:paraId="32BD7666" w14:textId="3138CC74" w:rsidR="0055458D" w:rsidRPr="008E0A62" w:rsidRDefault="0055458D" w:rsidP="0055458D">
      <w:pPr>
        <w:pStyle w:val="ListParagraph"/>
        <w:numPr>
          <w:ilvl w:val="0"/>
          <w:numId w:val="32"/>
        </w:numPr>
        <w:rPr>
          <w:b/>
          <w:u w:val="single"/>
        </w:rPr>
      </w:pPr>
      <w:r w:rsidRPr="008E0A62">
        <w:t xml:space="preserve">Melons should be pre-cooled rapidly in cool rooms, preferably by forced air cooling, before </w:t>
      </w:r>
      <w:r>
        <w:t xml:space="preserve">and after </w:t>
      </w:r>
      <w:r w:rsidRPr="008E0A62">
        <w:t xml:space="preserve">washing and sanitising to limit pathogen growth and to ensure that </w:t>
      </w:r>
      <w:r w:rsidRPr="008E0A62">
        <w:rPr>
          <w:rFonts w:cs="Arial"/>
          <w:color w:val="000000"/>
        </w:rPr>
        <w:t>water temperatures are higher than the internal tempera</w:t>
      </w:r>
      <w:r>
        <w:rPr>
          <w:rFonts w:cs="Arial"/>
          <w:color w:val="000000"/>
        </w:rPr>
        <w:t>tures of melons so as to minimis</w:t>
      </w:r>
      <w:r w:rsidRPr="008E0A62">
        <w:rPr>
          <w:rFonts w:cs="Arial"/>
          <w:color w:val="000000"/>
        </w:rPr>
        <w:t>e the risk of water infiltration</w:t>
      </w:r>
      <w:r>
        <w:rPr>
          <w:rFonts w:cs="Arial"/>
          <w:color w:val="000000"/>
        </w:rPr>
        <w:t xml:space="preserve"> </w:t>
      </w:r>
      <w:r w:rsidR="00657FDB">
        <w:rPr>
          <w:rFonts w:cs="Arial"/>
          <w:color w:val="000000"/>
        </w:rPr>
        <w:t>(Codex 2017; NSW DPI 2019)</w:t>
      </w:r>
    </w:p>
    <w:p w14:paraId="2973F26F" w14:textId="7CC0F5CC" w:rsidR="0055458D" w:rsidRDefault="0055458D" w:rsidP="0055458D">
      <w:pPr>
        <w:pStyle w:val="ListParagraph"/>
        <w:numPr>
          <w:ilvl w:val="0"/>
          <w:numId w:val="32"/>
        </w:numPr>
      </w:pPr>
      <w:r>
        <w:t xml:space="preserve">Dry dumping is suggested over wet dumping </w:t>
      </w:r>
      <w:r w:rsidR="00657FDB">
        <w:rPr>
          <w:rFonts w:cs="Arial"/>
          <w:color w:val="000000"/>
        </w:rPr>
        <w:t>(Codex 2017; NSW DPI 2019)</w:t>
      </w:r>
    </w:p>
    <w:p w14:paraId="60285BD2" w14:textId="4696BAD4" w:rsidR="0055458D" w:rsidRDefault="0055458D" w:rsidP="0055458D">
      <w:pPr>
        <w:pStyle w:val="ListParagraph"/>
        <w:numPr>
          <w:ilvl w:val="0"/>
          <w:numId w:val="32"/>
        </w:numPr>
      </w:pPr>
      <w:r w:rsidRPr="008E0A62">
        <w:t xml:space="preserve">If wet dumping occurs, water should be single use drinking quality and </w:t>
      </w:r>
      <w:r w:rsidRPr="008E0A62">
        <w:rPr>
          <w:rFonts w:cs="Arial"/>
          <w:color w:val="000000"/>
        </w:rPr>
        <w:t>t</w:t>
      </w:r>
      <w:r w:rsidRPr="005867D6">
        <w:rPr>
          <w:rFonts w:cs="Arial"/>
          <w:color w:val="000000"/>
        </w:rPr>
        <w:t>he full submersion of melons in colder d</w:t>
      </w:r>
      <w:r>
        <w:rPr>
          <w:rFonts w:cs="Arial"/>
          <w:color w:val="000000"/>
        </w:rPr>
        <w:t>ump tank water should be minimis</w:t>
      </w:r>
      <w:r w:rsidRPr="005867D6">
        <w:rPr>
          <w:rFonts w:cs="Arial"/>
          <w:color w:val="000000"/>
        </w:rPr>
        <w:t>ed or avoided</w:t>
      </w:r>
      <w:r>
        <w:rPr>
          <w:rFonts w:cs="Arial"/>
          <w:color w:val="000000"/>
        </w:rPr>
        <w:t>,</w:t>
      </w:r>
      <w:r w:rsidRPr="005867D6">
        <w:rPr>
          <w:rFonts w:cs="Arial"/>
          <w:color w:val="000000"/>
        </w:rPr>
        <w:t xml:space="preserve"> so as to reduce the l</w:t>
      </w:r>
      <w:r>
        <w:rPr>
          <w:rFonts w:cs="Arial"/>
          <w:color w:val="000000"/>
        </w:rPr>
        <w:t xml:space="preserve">ikelihood of water infiltration </w:t>
      </w:r>
      <w:r w:rsidR="00657FDB">
        <w:rPr>
          <w:rFonts w:cs="Arial"/>
          <w:color w:val="000000"/>
        </w:rPr>
        <w:t>(Codex 2017; NSW DPI 2019)</w:t>
      </w:r>
      <w:r w:rsidRPr="008E0A62">
        <w:rPr>
          <w:rFonts w:cs="Arial"/>
          <w:color w:val="000000"/>
        </w:rPr>
        <w:t>.</w:t>
      </w:r>
    </w:p>
    <w:p w14:paraId="07577CC8" w14:textId="2BFCA395" w:rsidR="0055458D" w:rsidRPr="008E0A62" w:rsidRDefault="0055458D" w:rsidP="0055458D">
      <w:pPr>
        <w:pStyle w:val="ListParagraph"/>
        <w:numPr>
          <w:ilvl w:val="0"/>
          <w:numId w:val="32"/>
        </w:numPr>
      </w:pPr>
      <w:r w:rsidRPr="005867D6">
        <w:rPr>
          <w:rFonts w:cs="Arial"/>
          <w:color w:val="000000"/>
        </w:rPr>
        <w:t xml:space="preserve">If hot water treatments are used as an alternative to </w:t>
      </w:r>
      <w:r>
        <w:rPr>
          <w:rFonts w:cs="Arial"/>
          <w:color w:val="000000"/>
        </w:rPr>
        <w:t>postharvest</w:t>
      </w:r>
      <w:r w:rsidRPr="005867D6">
        <w:rPr>
          <w:rFonts w:cs="Arial"/>
          <w:color w:val="000000"/>
        </w:rPr>
        <w:t xml:space="preserve"> chemical fungicide treatments, it is recommended that the water temperature and treatment duration should be con</w:t>
      </w:r>
      <w:r>
        <w:rPr>
          <w:rFonts w:cs="Arial"/>
          <w:color w:val="000000"/>
        </w:rPr>
        <w:t xml:space="preserve">trolled, monitored and recorded </w:t>
      </w:r>
      <w:r w:rsidR="00657FDB">
        <w:rPr>
          <w:rFonts w:cs="Arial"/>
          <w:color w:val="000000"/>
        </w:rPr>
        <w:t>(Codex 2017)</w:t>
      </w:r>
    </w:p>
    <w:p w14:paraId="425AB0F0" w14:textId="7719058D" w:rsidR="0055458D" w:rsidRDefault="0055458D" w:rsidP="0055458D">
      <w:pPr>
        <w:pStyle w:val="ListParagraph"/>
        <w:numPr>
          <w:ilvl w:val="0"/>
          <w:numId w:val="32"/>
        </w:numPr>
      </w:pPr>
      <w:r>
        <w:t xml:space="preserve">A rinse step with sanitiser should be applied to rockmelons </w:t>
      </w:r>
      <w:r w:rsidR="00657FDB">
        <w:t>(NSW DPI 2019)</w:t>
      </w:r>
      <w:r>
        <w:t>.</w:t>
      </w:r>
    </w:p>
    <w:p w14:paraId="473CD14F" w14:textId="77777777" w:rsidR="00837C34" w:rsidRDefault="00837C34" w:rsidP="00837C34">
      <w:pPr>
        <w:pStyle w:val="ListParagraph"/>
      </w:pPr>
    </w:p>
    <w:p w14:paraId="63FB49A3" w14:textId="77777777" w:rsidR="00837C34" w:rsidRDefault="00837C34">
      <w:pPr>
        <w:widowControl/>
        <w:rPr>
          <w:rFonts w:eastAsiaTheme="minorHAnsi" w:cstheme="minorBidi"/>
          <w:szCs w:val="22"/>
          <w:lang w:bidi="ar-SA"/>
        </w:rPr>
      </w:pPr>
      <w:r>
        <w:br w:type="page"/>
      </w:r>
    </w:p>
    <w:p w14:paraId="3A0D9D5F" w14:textId="77777777" w:rsidR="00D97ACC" w:rsidRPr="00FE3604" w:rsidRDefault="00837C34" w:rsidP="00D97ACC">
      <w:pPr>
        <w:pStyle w:val="Heading1"/>
        <w:numPr>
          <w:ilvl w:val="0"/>
          <w:numId w:val="11"/>
        </w:numPr>
        <w:ind w:right="454"/>
      </w:pPr>
      <w:bookmarkStart w:id="417" w:name="_Toc45275385"/>
      <w:bookmarkStart w:id="418" w:name="_Toc56693472"/>
      <w:bookmarkStart w:id="419" w:name="_Toc58327825"/>
      <w:bookmarkStart w:id="420" w:name="_Toc58334005"/>
      <w:bookmarkStart w:id="421" w:name="_Toc64448812"/>
      <w:bookmarkStart w:id="422" w:name="_Toc87860073"/>
      <w:r w:rsidRPr="00D97ACC">
        <w:t>The cold chain</w:t>
      </w:r>
      <w:bookmarkEnd w:id="417"/>
      <w:bookmarkEnd w:id="418"/>
      <w:bookmarkEnd w:id="419"/>
      <w:bookmarkEnd w:id="420"/>
      <w:bookmarkEnd w:id="421"/>
      <w:bookmarkEnd w:id="422"/>
    </w:p>
    <w:p w14:paraId="23AB2D15" w14:textId="666C6377" w:rsidR="00837C34" w:rsidRDefault="00837C34" w:rsidP="00D97ACC">
      <w:r w:rsidRPr="0060023F">
        <w:t>Processes and risk factors that occur after fresh produce is released from the processing or packing shed</w:t>
      </w:r>
      <w:r>
        <w:t>,</w:t>
      </w:r>
      <w:r w:rsidRPr="0060023F">
        <w:t xml:space="preserve"> such as transport, further cold chain maintenance to the consumer, processing/storing at retail and consumer handling or activities covered by Chapter 3 </w:t>
      </w:r>
      <w:r>
        <w:t>of the</w:t>
      </w:r>
      <w:r w:rsidRPr="0060023F">
        <w:t xml:space="preserve"> Code are not in scope for this assessment. The main objective of this assessment was to provide an indication of risk factors associated with the primary production, harvest, and </w:t>
      </w:r>
      <w:r>
        <w:t>postharvest</w:t>
      </w:r>
      <w:r w:rsidRPr="0060023F">
        <w:t xml:space="preserve"> activities discussed above. However, a brief discussion </w:t>
      </w:r>
      <w:r>
        <w:t>is included below on</w:t>
      </w:r>
      <w:r w:rsidRPr="0060023F">
        <w:t xml:space="preserve"> the importance of the cold chain that begins on farm. Maintenance of the cold chain can extend shelf life of fresh produce but can also prevent or limit the rate of microbial growth on produce.</w:t>
      </w:r>
    </w:p>
    <w:p w14:paraId="6730BEB8" w14:textId="77777777" w:rsidR="00E44DB7" w:rsidRPr="0060023F" w:rsidRDefault="00E44DB7" w:rsidP="00D97ACC"/>
    <w:p w14:paraId="0020F1CF" w14:textId="77777777" w:rsidR="00D97ACC" w:rsidRDefault="00837C34" w:rsidP="00D97ACC">
      <w:pPr>
        <w:pStyle w:val="Heading2"/>
        <w:numPr>
          <w:ilvl w:val="1"/>
          <w:numId w:val="11"/>
        </w:numPr>
      </w:pPr>
      <w:bookmarkStart w:id="423" w:name="_Toc45275389"/>
      <w:bookmarkStart w:id="424" w:name="_Toc56693473"/>
      <w:bookmarkStart w:id="425" w:name="_Toc58327826"/>
      <w:bookmarkStart w:id="426" w:name="_Toc58334006"/>
      <w:bookmarkStart w:id="427" w:name="_Toc64448813"/>
      <w:bookmarkStart w:id="428" w:name="_Toc87860074"/>
      <w:r w:rsidRPr="0060023F">
        <w:t>Leafy vegetables</w:t>
      </w:r>
      <w:bookmarkEnd w:id="423"/>
      <w:bookmarkEnd w:id="424"/>
      <w:bookmarkEnd w:id="425"/>
      <w:bookmarkEnd w:id="426"/>
      <w:bookmarkEnd w:id="427"/>
      <w:bookmarkEnd w:id="428"/>
    </w:p>
    <w:p w14:paraId="414E68F6" w14:textId="2E21CE29" w:rsidR="00837C34" w:rsidRDefault="00837C34" w:rsidP="00D97ACC">
      <w:r w:rsidRPr="0060023F">
        <w:t xml:space="preserve">The cold chain for leafy greens </w:t>
      </w:r>
      <w:r>
        <w:t>requires maintenance</w:t>
      </w:r>
      <w:r w:rsidRPr="0060023F">
        <w:t xml:space="preserve"> from after harvest of the raw material, through to and at retail sale and also by the consumer. Lettuce, parsley, and spinach that is both cut and uncut can potentially support the growth of </w:t>
      </w:r>
      <w:r w:rsidRPr="0060023F">
        <w:rPr>
          <w:i/>
        </w:rPr>
        <w:t>E. coli</w:t>
      </w:r>
      <w:r w:rsidRPr="0060023F">
        <w:t xml:space="preserve">, </w:t>
      </w:r>
      <w:r w:rsidRPr="0060023F">
        <w:rPr>
          <w:i/>
        </w:rPr>
        <w:t>Salmonella</w:t>
      </w:r>
      <w:r>
        <w:rPr>
          <w:i/>
        </w:rPr>
        <w:t xml:space="preserve"> </w:t>
      </w:r>
      <w:r>
        <w:t>spp.</w:t>
      </w:r>
      <w:r w:rsidRPr="0060023F">
        <w:rPr>
          <w:i/>
        </w:rPr>
        <w:t>,</w:t>
      </w:r>
      <w:r w:rsidRPr="0060023F">
        <w:t xml:space="preserve"> and </w:t>
      </w:r>
      <w:r w:rsidRPr="0060023F">
        <w:rPr>
          <w:i/>
        </w:rPr>
        <w:t>L.</w:t>
      </w:r>
      <w:r>
        <w:rPr>
          <w:i/>
        </w:rPr>
        <w:t> </w:t>
      </w:r>
      <w:r w:rsidRPr="0060023F">
        <w:rPr>
          <w:i/>
        </w:rPr>
        <w:t xml:space="preserve">monocytogenes, </w:t>
      </w:r>
      <w:r w:rsidRPr="0060023F">
        <w:t xml:space="preserve">but the growth of </w:t>
      </w:r>
      <w:r w:rsidRPr="0060023F">
        <w:rPr>
          <w:i/>
        </w:rPr>
        <w:t>E. coli</w:t>
      </w:r>
      <w:r w:rsidRPr="0060023F">
        <w:t xml:space="preserve"> and</w:t>
      </w:r>
      <w:r w:rsidRPr="0060023F">
        <w:rPr>
          <w:i/>
        </w:rPr>
        <w:t xml:space="preserve"> Salmonella</w:t>
      </w:r>
      <w:r w:rsidRPr="0060023F">
        <w:t xml:space="preserve"> </w:t>
      </w:r>
      <w:r>
        <w:t xml:space="preserve">spp. </w:t>
      </w:r>
      <w:r w:rsidRPr="0060023F">
        <w:t>can effectively be controlled if leafy vegetables are stored below 5</w:t>
      </w:r>
      <w:r w:rsidRPr="0060023F">
        <w:rPr>
          <w:rFonts w:cs="Arial"/>
        </w:rPr>
        <w:t>°</w:t>
      </w:r>
      <w:r w:rsidRPr="0060023F">
        <w:t xml:space="preserve">C and the growth rate of </w:t>
      </w:r>
      <w:r w:rsidRPr="0060023F">
        <w:rPr>
          <w:i/>
        </w:rPr>
        <w:t>L. monocytogenes</w:t>
      </w:r>
      <w:r w:rsidRPr="0060023F">
        <w:t xml:space="preserve"> can be significantly reduced </w:t>
      </w:r>
      <w:r w:rsidR="00657FDB">
        <w:t>(Barlow et al. 2015; Duffy et al. 2005b; Khalil and Frank 2010; Omac et al. 2015; Omac et al. 2018; Posada-Izquierdo et al. 2016; Puerta-Gomez et al. 2013; Sant’Ana et al. 2012)</w:t>
      </w:r>
      <w:r w:rsidRPr="0060023F">
        <w:t>. Therefore, it is recommended to chill leafy vegetables below 5</w:t>
      </w:r>
      <w:r w:rsidRPr="0060023F">
        <w:rPr>
          <w:rFonts w:cs="Arial"/>
        </w:rPr>
        <w:t>°</w:t>
      </w:r>
      <w:r w:rsidRPr="0060023F">
        <w:t xml:space="preserve">C soon after harvest and through chain to limit microbial growth, noting that some commodities are not chill tolerant and will need to be stored at reduced temperatures that do not damage the produce and release nutrients that may support the growth of pathogens </w:t>
      </w:r>
      <w:r w:rsidR="00657FDB">
        <w:t>(Codex 2017)</w:t>
      </w:r>
      <w:r>
        <w:t>.</w:t>
      </w:r>
    </w:p>
    <w:p w14:paraId="781D716B" w14:textId="77777777" w:rsidR="00837C34" w:rsidRPr="0060023F" w:rsidRDefault="00837C34" w:rsidP="00837C34"/>
    <w:p w14:paraId="5B33C48F" w14:textId="77777777" w:rsidR="00D97ACC" w:rsidRDefault="00837C34" w:rsidP="00D97ACC">
      <w:pPr>
        <w:pStyle w:val="Heading2"/>
        <w:numPr>
          <w:ilvl w:val="1"/>
          <w:numId w:val="11"/>
        </w:numPr>
      </w:pPr>
      <w:bookmarkStart w:id="429" w:name="_Toc45275390"/>
      <w:bookmarkStart w:id="430" w:name="_Toc56693474"/>
      <w:bookmarkStart w:id="431" w:name="_Toc58327827"/>
      <w:bookmarkStart w:id="432" w:name="_Toc58334007"/>
      <w:bookmarkStart w:id="433" w:name="_Toc64448814"/>
      <w:bookmarkStart w:id="434" w:name="_Toc87860075"/>
      <w:r w:rsidRPr="0060023F">
        <w:t>Berries</w:t>
      </w:r>
      <w:bookmarkEnd w:id="429"/>
      <w:bookmarkEnd w:id="430"/>
      <w:bookmarkEnd w:id="431"/>
      <w:bookmarkEnd w:id="432"/>
      <w:bookmarkEnd w:id="433"/>
      <w:bookmarkEnd w:id="434"/>
    </w:p>
    <w:p w14:paraId="1AD672C2" w14:textId="4AFB7C3F" w:rsidR="00837C34" w:rsidRDefault="00837C34" w:rsidP="00D97ACC">
      <w:r w:rsidRPr="0060023F">
        <w:t xml:space="preserve">Strawberries, raspberries, and blueberries have a low flesh pH that would not usually support the growth of bacterial pathogens </w:t>
      </w:r>
      <w:r w:rsidR="00657FDB">
        <w:t>(EFSA Panel on Biological Hazards 2014b)</w:t>
      </w:r>
      <w:r w:rsidRPr="0060023F">
        <w:t xml:space="preserve">. They are </w:t>
      </w:r>
      <w:r w:rsidRPr="0060023F">
        <w:rPr>
          <w:rFonts w:cs="Arial"/>
          <w:lang w:eastAsia="en-GB"/>
        </w:rPr>
        <w:t>pulpy fruits with high moisture and sugar content and a soft skin</w:t>
      </w:r>
      <w:r w:rsidRPr="0060023F">
        <w:t xml:space="preserve">, and are easily damaged </w:t>
      </w:r>
      <w:r w:rsidR="00657FDB">
        <w:rPr>
          <w:rFonts w:cs="Arial"/>
          <w:lang w:eastAsia="en-GB"/>
        </w:rPr>
        <w:t>(EFSA Panel on Biological Hazards 2014b; US FDA/CFSAN 2003)</w:t>
      </w:r>
      <w:r w:rsidRPr="0060023F">
        <w:t>.</w:t>
      </w:r>
      <w:r>
        <w:t xml:space="preserve"> </w:t>
      </w:r>
      <w:r w:rsidRPr="0060023F">
        <w:t xml:space="preserve">There is evidence that bacterial pathogens can persist on the surface of berries, and that persistence may be enhanced on cut surfaces of berries </w:t>
      </w:r>
      <w:r w:rsidR="00657FDB">
        <w:t>(Knudsen et al. 2001)</w:t>
      </w:r>
      <w:r w:rsidRPr="0060023F">
        <w:t xml:space="preserve">. There is evidence for the persistence of viruses on berries during storage </w:t>
      </w:r>
      <w:r w:rsidR="00657FDB">
        <w:t>(Leblanc et al. 2019; Verhaelen et al. 2012)</w:t>
      </w:r>
      <w:r w:rsidRPr="0060023F">
        <w:t xml:space="preserve">. It is recommended to chill berries immediately after harvest and through chain </w:t>
      </w:r>
      <w:r w:rsidR="00657FDB">
        <w:t>(Codex 2017)</w:t>
      </w:r>
      <w:r w:rsidRPr="0060023F">
        <w:t>.</w:t>
      </w:r>
    </w:p>
    <w:p w14:paraId="2FFD3A12" w14:textId="77777777" w:rsidR="00837C34" w:rsidRPr="00150871" w:rsidRDefault="00837C34" w:rsidP="00837C34"/>
    <w:p w14:paraId="49A64F84" w14:textId="77777777" w:rsidR="00D97ACC" w:rsidRDefault="00837C34" w:rsidP="00D97ACC">
      <w:pPr>
        <w:pStyle w:val="Heading2"/>
        <w:numPr>
          <w:ilvl w:val="1"/>
          <w:numId w:val="11"/>
        </w:numPr>
      </w:pPr>
      <w:bookmarkStart w:id="435" w:name="_Toc45275391"/>
      <w:bookmarkStart w:id="436" w:name="_Toc56693475"/>
      <w:bookmarkStart w:id="437" w:name="_Toc58327828"/>
      <w:bookmarkStart w:id="438" w:name="_Toc58334008"/>
      <w:bookmarkStart w:id="439" w:name="_Toc64448815"/>
      <w:bookmarkStart w:id="440" w:name="_Toc87860076"/>
      <w:r w:rsidRPr="0060023F">
        <w:t>Melons</w:t>
      </w:r>
      <w:bookmarkEnd w:id="435"/>
      <w:bookmarkEnd w:id="436"/>
      <w:bookmarkEnd w:id="437"/>
      <w:bookmarkEnd w:id="438"/>
      <w:bookmarkEnd w:id="439"/>
      <w:bookmarkEnd w:id="440"/>
    </w:p>
    <w:p w14:paraId="22342EB2" w14:textId="2487C59C" w:rsidR="00837C34" w:rsidRPr="0060023F" w:rsidRDefault="00837C34" w:rsidP="00D97ACC">
      <w:r w:rsidRPr="0060023F">
        <w:t xml:space="preserve">There is the potential for </w:t>
      </w:r>
      <w:r w:rsidRPr="0060023F">
        <w:rPr>
          <w:i/>
        </w:rPr>
        <w:t>L. monocytogenes</w:t>
      </w:r>
      <w:r w:rsidRPr="0060023F">
        <w:t xml:space="preserve"> and </w:t>
      </w:r>
      <w:r w:rsidRPr="0060023F">
        <w:rPr>
          <w:i/>
        </w:rPr>
        <w:t xml:space="preserve">Salmonella </w:t>
      </w:r>
      <w:r>
        <w:t xml:space="preserve">spp. </w:t>
      </w:r>
      <w:r w:rsidR="00EA0485">
        <w:t>to multiply</w:t>
      </w:r>
      <w:r w:rsidRPr="0060023F">
        <w:t xml:space="preserve"> on the rind of rockmelons particularly if there is excess surface moisture, but no studies have investigated the potential for growth on the surface of watermelons</w:t>
      </w:r>
      <w:r>
        <w:t xml:space="preserve"> </w:t>
      </w:r>
      <w:r w:rsidR="00657FDB">
        <w:rPr>
          <w:lang w:bidi="ar-SA"/>
        </w:rPr>
        <w:t>(Annous et al. 2005; Beuchat and Scouten 2004; Salazar et al. 2017; Scolforo et al. 2017)</w:t>
      </w:r>
      <w:r w:rsidRPr="0060023F">
        <w:t xml:space="preserve">. If rockmelons or watermelons are damaged or cut this can provide access to the nutrients of the flesh that can increase the growth potential of these pathogens. </w:t>
      </w:r>
      <w:r w:rsidRPr="0060023F">
        <w:rPr>
          <w:i/>
        </w:rPr>
        <w:t>Salmonella</w:t>
      </w:r>
      <w:r w:rsidRPr="0060023F">
        <w:t xml:space="preserve"> </w:t>
      </w:r>
      <w:r>
        <w:t xml:space="preserve">spp. </w:t>
      </w:r>
      <w:r w:rsidRPr="0060023F">
        <w:t xml:space="preserve">can grow quickly to levels that may cause illness in the general population when left at room temperature, and </w:t>
      </w:r>
      <w:r>
        <w:rPr>
          <w:i/>
        </w:rPr>
        <w:t>L. </w:t>
      </w:r>
      <w:r w:rsidRPr="0060023F">
        <w:rPr>
          <w:i/>
        </w:rPr>
        <w:t>monocytogenes</w:t>
      </w:r>
      <w:r w:rsidRPr="0060023F">
        <w:t xml:space="preserve"> can also quickly reach levels that has a high likelihood of causing illness in the susceptible population</w:t>
      </w:r>
      <w:r>
        <w:t xml:space="preserve"> </w:t>
      </w:r>
      <w:r w:rsidR="00657FDB">
        <w:rPr>
          <w:lang w:bidi="ar-SA"/>
        </w:rPr>
        <w:t>(Bartlett et al. 2020; Danyluk et al</w:t>
      </w:r>
      <w:r w:rsidR="00EF60B9">
        <w:rPr>
          <w:lang w:bidi="ar-SA"/>
        </w:rPr>
        <w:t>. 2014; Fang et al. 2013; Li et </w:t>
      </w:r>
      <w:r w:rsidR="00657FDB">
        <w:rPr>
          <w:lang w:bidi="ar-SA"/>
        </w:rPr>
        <w:t>al. 2013)</w:t>
      </w:r>
      <w:r w:rsidRPr="0060023F">
        <w:t xml:space="preserve">. However, </w:t>
      </w:r>
      <w:r w:rsidRPr="0060023F">
        <w:rPr>
          <w:i/>
        </w:rPr>
        <w:t>Salmonella</w:t>
      </w:r>
      <w:r w:rsidRPr="0060023F">
        <w:t xml:space="preserve"> </w:t>
      </w:r>
      <w:r>
        <w:t xml:space="preserve">spp. </w:t>
      </w:r>
      <w:r w:rsidRPr="0060023F">
        <w:t>can effectively be controlled if melons are stored below 5</w:t>
      </w:r>
      <w:r w:rsidRPr="0060023F">
        <w:rPr>
          <w:rFonts w:cs="Arial"/>
        </w:rPr>
        <w:t>°</w:t>
      </w:r>
      <w:r w:rsidRPr="0060023F">
        <w:t xml:space="preserve">C and the growth rate of </w:t>
      </w:r>
      <w:r w:rsidRPr="0060023F">
        <w:rPr>
          <w:i/>
        </w:rPr>
        <w:t>L. monocytogenes</w:t>
      </w:r>
      <w:r w:rsidRPr="0060023F">
        <w:t xml:space="preserve"> can be significantly reduced. It is hypothesised that increased surface roughness can enhance bacterial attachment and potential for growth on the surface of produce, and watermelons have been shown to have a significantly smoother surface than rockmelons </w:t>
      </w:r>
      <w:r w:rsidR="00657FDB">
        <w:t>(Kwon et al. 2018)</w:t>
      </w:r>
      <w:r w:rsidRPr="0060023F">
        <w:t>. It is recommended to chill melons immediately after harvest, before processing, after processing, through chain, and by consumers to reduce the potential for growth of bacterial pathogens. All pre-cut melons should be packaged and refrigerated immediately and maintained below 5</w:t>
      </w:r>
      <w:r w:rsidRPr="0060023F">
        <w:rPr>
          <w:rFonts w:cs="Arial"/>
        </w:rPr>
        <w:t>°</w:t>
      </w:r>
      <w:r w:rsidRPr="0060023F">
        <w:t xml:space="preserve">C through chain and by consumers </w:t>
      </w:r>
      <w:r w:rsidR="00657FDB">
        <w:t>(Codex 2017)</w:t>
      </w:r>
      <w:r w:rsidRPr="0060023F">
        <w:t xml:space="preserve">. </w:t>
      </w:r>
    </w:p>
    <w:p w14:paraId="46F016BD" w14:textId="77777777" w:rsidR="00837C34" w:rsidRDefault="00837C34" w:rsidP="00837C34">
      <w:pPr>
        <w:widowControl/>
        <w:rPr>
          <w:b/>
          <w:strike/>
        </w:rPr>
      </w:pPr>
    </w:p>
    <w:p w14:paraId="03A533B8" w14:textId="77777777" w:rsidR="00837C34" w:rsidRDefault="00837C34" w:rsidP="00837C34">
      <w:pPr>
        <w:widowControl/>
        <w:rPr>
          <w:b/>
          <w:strike/>
        </w:rPr>
      </w:pPr>
    </w:p>
    <w:p w14:paraId="73BDD243" w14:textId="77777777" w:rsidR="00837C34" w:rsidRPr="002A4B03" w:rsidRDefault="00837C34" w:rsidP="00837C34">
      <w:pPr>
        <w:widowControl/>
        <w:rPr>
          <w:b/>
          <w:strike/>
        </w:rPr>
      </w:pPr>
      <w:r>
        <w:rPr>
          <w:b/>
          <w:strike/>
        </w:rPr>
        <w:br w:type="page"/>
      </w:r>
    </w:p>
    <w:p w14:paraId="13B8860A" w14:textId="77777777" w:rsidR="00492EF7" w:rsidRPr="00FE3604" w:rsidRDefault="00837C34" w:rsidP="00492EF7">
      <w:pPr>
        <w:pStyle w:val="Heading1"/>
        <w:numPr>
          <w:ilvl w:val="0"/>
          <w:numId w:val="11"/>
        </w:numPr>
        <w:ind w:right="454"/>
      </w:pPr>
      <w:bookmarkStart w:id="441" w:name="_Toc58327829"/>
      <w:bookmarkStart w:id="442" w:name="_Toc58334009"/>
      <w:bookmarkStart w:id="443" w:name="_Toc64448816"/>
      <w:bookmarkStart w:id="444" w:name="_Toc87860077"/>
      <w:r>
        <w:t>Summary of conclusions</w:t>
      </w:r>
      <w:bookmarkEnd w:id="441"/>
      <w:bookmarkEnd w:id="442"/>
      <w:bookmarkEnd w:id="443"/>
      <w:bookmarkEnd w:id="444"/>
    </w:p>
    <w:p w14:paraId="0EC5990B" w14:textId="30DFC5EB" w:rsidR="00837C34" w:rsidRDefault="00837C34" w:rsidP="00492EF7">
      <w:r>
        <w:t>Significant variation in the production methods and combinations of risk factors on farm, within and between the commodity sectors influence the presence and persistence of pathogens and, therefore, the associated risk. The commonality across the in-scope commodity sectors is that they are generally ready-to-eat foods, consumed raw, with little or no further processing (except whole melons, which need to be cut), and there is no single step during their primary production and processing that can ensure end product safety.</w:t>
      </w:r>
    </w:p>
    <w:p w14:paraId="4D8CFB95" w14:textId="77777777" w:rsidR="00837C34" w:rsidRDefault="00837C34" w:rsidP="00837C34"/>
    <w:p w14:paraId="349C72FF" w14:textId="34A8C492" w:rsidR="00837C34" w:rsidRDefault="00837C34" w:rsidP="00837C34">
      <w:r>
        <w:t xml:space="preserve">The safety of these commodities relies on a consistent and well managed through-chain, multi-hurdle approach to minimise risk </w:t>
      </w:r>
      <w:r w:rsidR="00657FDB">
        <w:t>(Mogren et al. 2018)</w:t>
      </w:r>
      <w:r>
        <w:t>. This includes managing inputs and responding to changes in the growing environment that could increase the likelihood of contamination. It is not possible to completely eliminate risk to consumers from fresh produce at the primary production level, and the handling through to the consumer must also seek to minimise risks. Moreover, consumer handling can also introduce hazards and increase risk from these products, particularly if the cold chain is not maintained. This assessment affirms that the path to ensuring the end product safety for these commodities begins on farm.</w:t>
      </w:r>
    </w:p>
    <w:p w14:paraId="70F481BE" w14:textId="77777777" w:rsidR="00837C34" w:rsidRDefault="00837C34" w:rsidP="00837C34"/>
    <w:p w14:paraId="2358A9B0" w14:textId="77777777" w:rsidR="00492EF7" w:rsidRDefault="00837C34" w:rsidP="00492EF7">
      <w:pPr>
        <w:pStyle w:val="Heading2"/>
        <w:numPr>
          <w:ilvl w:val="1"/>
          <w:numId w:val="11"/>
        </w:numPr>
      </w:pPr>
      <w:bookmarkStart w:id="445" w:name="_Toc64448817"/>
      <w:bookmarkStart w:id="446" w:name="_Toc87860078"/>
      <w:r>
        <w:t>Key r</w:t>
      </w:r>
      <w:r w:rsidRPr="00652ACC">
        <w:t>isk factors</w:t>
      </w:r>
      <w:r>
        <w:t xml:space="preserve"> that apply broadly to all commodities</w:t>
      </w:r>
      <w:bookmarkEnd w:id="445"/>
      <w:bookmarkEnd w:id="446"/>
    </w:p>
    <w:p w14:paraId="0FE8E823" w14:textId="7B9F24EE" w:rsidR="00837C34" w:rsidRDefault="00837C34" w:rsidP="00492EF7">
      <w:pPr>
        <w:rPr>
          <w:lang w:eastAsia="en-AU"/>
        </w:rPr>
      </w:pPr>
      <w:r>
        <w:rPr>
          <w:lang w:eastAsia="en-AU"/>
        </w:rPr>
        <w:t>Based on the best available evidence reviewed in this report, t</w:t>
      </w:r>
      <w:r w:rsidRPr="00763714">
        <w:rPr>
          <w:lang w:eastAsia="en-AU"/>
        </w:rPr>
        <w:t xml:space="preserve">here is a low level of uncertainty and high level </w:t>
      </w:r>
      <w:r>
        <w:rPr>
          <w:lang w:eastAsia="en-AU"/>
        </w:rPr>
        <w:t xml:space="preserve">of confidence that the following risk factors represent </w:t>
      </w:r>
      <w:r>
        <w:t>important potential routes of microbial contamination for all the commodity sectors assessed</w:t>
      </w:r>
      <w:r>
        <w:rPr>
          <w:lang w:eastAsia="en-AU"/>
        </w:rPr>
        <w:t>:</w:t>
      </w:r>
    </w:p>
    <w:p w14:paraId="751E3398" w14:textId="77777777" w:rsidR="00837C34" w:rsidRPr="001960A6" w:rsidRDefault="00837C34" w:rsidP="00837C34">
      <w:pPr>
        <w:pStyle w:val="ListParagraph"/>
        <w:numPr>
          <w:ilvl w:val="0"/>
          <w:numId w:val="4"/>
        </w:numPr>
        <w:spacing w:before="120" w:after="120"/>
        <w:ind w:left="714" w:hanging="357"/>
        <w:rPr>
          <w:i/>
        </w:rPr>
      </w:pPr>
      <w:r w:rsidRPr="001960A6">
        <w:rPr>
          <w:i/>
        </w:rPr>
        <w:t>Incursion by wildlife and domestic animals</w:t>
      </w:r>
    </w:p>
    <w:p w14:paraId="22AE46DB" w14:textId="77777777" w:rsidR="00837C34" w:rsidRPr="001960A6" w:rsidRDefault="00837C34" w:rsidP="00837C34">
      <w:pPr>
        <w:ind w:left="360"/>
      </w:pPr>
      <w:r w:rsidRPr="001960A6">
        <w:t xml:space="preserve">Contact with animal reservoirs of microbial pathogens can lead to direct contamination of fresh produce via </w:t>
      </w:r>
      <w:r w:rsidRPr="001960A6">
        <w:rPr>
          <w:lang w:eastAsia="en-AU" w:bidi="ar-SA"/>
        </w:rPr>
        <w:t xml:space="preserve">faecal waste, urine, hair or animal carcasses, but also indirectly via contamination of other inputs such as water and soil. </w:t>
      </w:r>
      <w:r w:rsidRPr="001960A6">
        <w:t xml:space="preserve">While the presence of animals can always be considered a hazard, incursion by animals close to harvest, with high density, or with high frequency is likely to present a higher risk for all commodities. </w:t>
      </w:r>
    </w:p>
    <w:p w14:paraId="12E1041F" w14:textId="77777777" w:rsidR="00837C34" w:rsidRPr="001960A6" w:rsidRDefault="00837C34" w:rsidP="00837C34">
      <w:pPr>
        <w:pStyle w:val="ListParagraph"/>
        <w:numPr>
          <w:ilvl w:val="0"/>
          <w:numId w:val="4"/>
        </w:numPr>
        <w:spacing w:before="120" w:after="120"/>
        <w:ind w:left="714" w:hanging="357"/>
        <w:rPr>
          <w:i/>
        </w:rPr>
      </w:pPr>
      <w:r w:rsidRPr="001960A6">
        <w:rPr>
          <w:i/>
        </w:rPr>
        <w:t>Location of growing areas near or on land used for practices that may increase the likelihood of contamination</w:t>
      </w:r>
      <w:r>
        <w:rPr>
          <w:i/>
        </w:rPr>
        <w:t>,</w:t>
      </w:r>
      <w:r w:rsidRPr="001960A6">
        <w:rPr>
          <w:i/>
        </w:rPr>
        <w:t xml:space="preserve"> such as livestock production, as a wildlife habitat, urban or industrial waste</w:t>
      </w:r>
    </w:p>
    <w:p w14:paraId="5D67D474" w14:textId="77777777" w:rsidR="00837C34" w:rsidRPr="001960A6" w:rsidRDefault="00837C34" w:rsidP="00837C34">
      <w:pPr>
        <w:ind w:left="360"/>
      </w:pPr>
      <w:r w:rsidRPr="001960A6">
        <w:rPr>
          <w:lang w:eastAsia="en-AU" w:bidi="ar-SA"/>
        </w:rPr>
        <w:t xml:space="preserve">Prior </w:t>
      </w:r>
      <w:r>
        <w:rPr>
          <w:lang w:eastAsia="en-AU" w:bidi="ar-SA"/>
        </w:rPr>
        <w:t>and</w:t>
      </w:r>
      <w:r w:rsidRPr="001960A6">
        <w:rPr>
          <w:lang w:eastAsia="en-AU" w:bidi="ar-SA"/>
        </w:rPr>
        <w:t xml:space="preserve"> surrounding land use</w:t>
      </w:r>
      <w:r>
        <w:rPr>
          <w:lang w:eastAsia="en-AU" w:bidi="ar-SA"/>
        </w:rPr>
        <w:t>—</w:t>
      </w:r>
      <w:r w:rsidRPr="001960A6">
        <w:rPr>
          <w:lang w:eastAsia="en-AU" w:bidi="ar-SA"/>
        </w:rPr>
        <w:t xml:space="preserve">including land </w:t>
      </w:r>
      <w:r w:rsidRPr="001960A6">
        <w:t>used to cultivate a different crop; supplemented with soil amendments; irrigated in a manner inappropriate for the new commodity; or used for livestock production, as a wildlife habitat or for land fill for urban or industrial waste</w:t>
      </w:r>
      <w:r>
        <w:t>—</w:t>
      </w:r>
      <w:r w:rsidRPr="001960A6">
        <w:t>have been identified as risk factors that may contribute to the contamination of fresh produce.</w:t>
      </w:r>
    </w:p>
    <w:p w14:paraId="734E5302" w14:textId="77777777" w:rsidR="00837C34" w:rsidRPr="001960A6" w:rsidRDefault="00837C34" w:rsidP="00837C34">
      <w:pPr>
        <w:pStyle w:val="ListParagraph"/>
        <w:numPr>
          <w:ilvl w:val="0"/>
          <w:numId w:val="4"/>
        </w:numPr>
        <w:spacing w:before="120" w:after="120"/>
        <w:ind w:left="714" w:hanging="357"/>
        <w:rPr>
          <w:i/>
        </w:rPr>
      </w:pPr>
      <w:r w:rsidRPr="001960A6">
        <w:rPr>
          <w:i/>
        </w:rPr>
        <w:t>The occurrence of extreme weather events, such as flooding or heavy rain</w:t>
      </w:r>
      <w:r>
        <w:rPr>
          <w:i/>
        </w:rPr>
        <w:t>,</w:t>
      </w:r>
      <w:r w:rsidRPr="001960A6">
        <w:rPr>
          <w:i/>
        </w:rPr>
        <w:t xml:space="preserve"> that could transfer pathogens to produce, fields, or irrigation water sources</w:t>
      </w:r>
    </w:p>
    <w:p w14:paraId="1ED37102" w14:textId="3C3892BA" w:rsidR="00837C34" w:rsidRDefault="00837C34" w:rsidP="00837C34">
      <w:pPr>
        <w:spacing w:before="120" w:after="120"/>
        <w:rPr>
          <w:lang w:eastAsia="en-AU"/>
        </w:rPr>
      </w:pPr>
      <w:r w:rsidRPr="001960A6">
        <w:rPr>
          <w:lang w:eastAsia="en-AU"/>
        </w:rPr>
        <w:t>Flooding, heavy rain, and dust storms represent a risk to all the commodities</w:t>
      </w:r>
      <w:r>
        <w:rPr>
          <w:lang w:eastAsia="en-AU"/>
        </w:rPr>
        <w:t>,</w:t>
      </w:r>
      <w:r w:rsidRPr="001960A6">
        <w:rPr>
          <w:lang w:eastAsia="en-AU"/>
        </w:rPr>
        <w:t xml:space="preserve"> as they can increase the potential transfer of pathogens to the growing site or </w:t>
      </w:r>
      <w:r>
        <w:rPr>
          <w:lang w:eastAsia="en-AU"/>
        </w:rPr>
        <w:t xml:space="preserve">to </w:t>
      </w:r>
      <w:r w:rsidRPr="001960A6">
        <w:rPr>
          <w:lang w:eastAsia="en-AU"/>
        </w:rPr>
        <w:t xml:space="preserve">agricultural inputs such as irrigation water. </w:t>
      </w:r>
      <w:r w:rsidRPr="001960A6">
        <w:t xml:space="preserve">For viral pathogens, flooding or heavy rain may transfer sewage to irrigation sources or fields. </w:t>
      </w:r>
      <w:r w:rsidRPr="001960A6">
        <w:rPr>
          <w:lang w:eastAsia="en-AU"/>
        </w:rPr>
        <w:t>Extreme weather events that occur close to harvest may present an increased risk</w:t>
      </w:r>
      <w:r>
        <w:rPr>
          <w:lang w:eastAsia="en-AU"/>
        </w:rPr>
        <w:t>,</w:t>
      </w:r>
      <w:r w:rsidRPr="001960A6">
        <w:rPr>
          <w:lang w:eastAsia="en-AU"/>
        </w:rPr>
        <w:t xml:space="preserve"> as pathogen levels are generally reported to decline in the primary production environment over time. There may also be the potential for internalisation as a result of flooding, heavy rain, or dust storms that involve contamination at high levels and that cover or submerge substantial amounts of the commoditie</w:t>
      </w:r>
      <w:r>
        <w:rPr>
          <w:lang w:eastAsia="en-AU"/>
        </w:rPr>
        <w:t xml:space="preserve">s. </w:t>
      </w:r>
    </w:p>
    <w:p w14:paraId="4CBE2E63" w14:textId="33768554" w:rsidR="00F57E1E" w:rsidRDefault="00F57E1E">
      <w:pPr>
        <w:widowControl/>
        <w:rPr>
          <w:lang w:eastAsia="en-AU"/>
        </w:rPr>
      </w:pPr>
      <w:r>
        <w:rPr>
          <w:lang w:eastAsia="en-AU"/>
        </w:rPr>
        <w:br w:type="page"/>
      </w:r>
    </w:p>
    <w:p w14:paraId="30A3282E" w14:textId="77777777" w:rsidR="00837C34" w:rsidRPr="001960A6" w:rsidRDefault="00837C34" w:rsidP="00837C34">
      <w:pPr>
        <w:pStyle w:val="ListParagraph"/>
        <w:numPr>
          <w:ilvl w:val="0"/>
          <w:numId w:val="4"/>
        </w:numPr>
        <w:spacing w:before="120" w:after="120"/>
        <w:rPr>
          <w:i/>
        </w:rPr>
      </w:pPr>
      <w:r w:rsidRPr="001960A6">
        <w:rPr>
          <w:i/>
        </w:rPr>
        <w:t>The application of untreated or insufficiently treated manure or compost amendments</w:t>
      </w:r>
    </w:p>
    <w:p w14:paraId="7E492700" w14:textId="77777777" w:rsidR="00837C34" w:rsidRPr="001960A6" w:rsidRDefault="00837C34" w:rsidP="00837C34">
      <w:pPr>
        <w:ind w:left="360"/>
        <w:rPr>
          <w:szCs w:val="22"/>
        </w:rPr>
      </w:pPr>
      <w:r w:rsidRPr="001960A6">
        <w:rPr>
          <w:lang w:eastAsia="en-AU" w:bidi="ar-SA"/>
        </w:rPr>
        <w:t>Manure is a known reservoir of a number of foodborne pathogens</w:t>
      </w:r>
      <w:r>
        <w:rPr>
          <w:lang w:eastAsia="en-AU" w:bidi="ar-SA"/>
        </w:rPr>
        <w:t>. Manure-</w:t>
      </w:r>
      <w:r w:rsidRPr="001960A6">
        <w:rPr>
          <w:lang w:eastAsia="en-AU" w:bidi="ar-SA"/>
        </w:rPr>
        <w:t>based soil amendments and composts that are not treated</w:t>
      </w:r>
      <w:r>
        <w:rPr>
          <w:lang w:eastAsia="en-AU" w:bidi="ar-SA"/>
        </w:rPr>
        <w:t>,</w:t>
      </w:r>
      <w:r w:rsidRPr="001960A6">
        <w:rPr>
          <w:lang w:eastAsia="en-AU" w:bidi="ar-SA"/>
        </w:rPr>
        <w:t xml:space="preserve"> or are insufficiently treated</w:t>
      </w:r>
      <w:r>
        <w:rPr>
          <w:lang w:eastAsia="en-AU" w:bidi="ar-SA"/>
        </w:rPr>
        <w:t>,</w:t>
      </w:r>
      <w:r w:rsidRPr="001960A6">
        <w:rPr>
          <w:lang w:eastAsia="en-AU" w:bidi="ar-SA"/>
        </w:rPr>
        <w:t xml:space="preserve"> can increase the risk of surface contamination of fresh produce, particularly if no further sanitising or processing is undertaken. </w:t>
      </w:r>
      <w:r w:rsidRPr="001960A6">
        <w:rPr>
          <w:lang w:eastAsia="en-AU"/>
        </w:rPr>
        <w:t>Contamination of soil or application of contaminated soil amendments that occur close to harvest are generally considered to represent an increased risk.</w:t>
      </w:r>
    </w:p>
    <w:p w14:paraId="576A3757" w14:textId="77777777" w:rsidR="00837C34" w:rsidRPr="001960A6" w:rsidRDefault="00837C34" w:rsidP="00837C34">
      <w:pPr>
        <w:pStyle w:val="ListParagraph"/>
        <w:numPr>
          <w:ilvl w:val="0"/>
          <w:numId w:val="4"/>
        </w:numPr>
        <w:spacing w:before="120" w:after="120"/>
        <w:ind w:left="714" w:hanging="357"/>
        <w:rPr>
          <w:i/>
        </w:rPr>
      </w:pPr>
      <w:r w:rsidRPr="001960A6">
        <w:rPr>
          <w:i/>
        </w:rPr>
        <w:t>The use of contaminated water for irrigation, application of agricultural chemicals, and/or postharvest washing and sanitising</w:t>
      </w:r>
    </w:p>
    <w:p w14:paraId="20D9E6B0" w14:textId="77777777" w:rsidR="00837C34" w:rsidRPr="001960A6" w:rsidRDefault="00837C34" w:rsidP="00837C34">
      <w:pPr>
        <w:ind w:left="360"/>
        <w:rPr>
          <w:lang w:eastAsia="en-AU" w:bidi="ar-SA"/>
        </w:rPr>
      </w:pPr>
      <w:r w:rsidRPr="001960A6">
        <w:rPr>
          <w:lang w:eastAsia="en-AU" w:bidi="ar-SA"/>
        </w:rPr>
        <w:t xml:space="preserve">The use of contaminated water for irrigation or the application of agricultural chemicals can contaminate both the surface of fresh produce and the surrounding soil. </w:t>
      </w:r>
      <w:r w:rsidRPr="001960A6">
        <w:rPr>
          <w:lang w:eastAsia="en-AU"/>
        </w:rPr>
        <w:t>Water contacting the edible parts of plants due to irrigation or agrochemical use close to harvest is considered to present an increased</w:t>
      </w:r>
      <w:r w:rsidRPr="001960A6">
        <w:rPr>
          <w:lang w:eastAsia="en-AU" w:bidi="ar-SA"/>
        </w:rPr>
        <w:t xml:space="preserve"> risk </w:t>
      </w:r>
      <w:r w:rsidRPr="001960A6">
        <w:rPr>
          <w:lang w:eastAsia="en-AU"/>
        </w:rPr>
        <w:t xml:space="preserve">of contamination for </w:t>
      </w:r>
      <w:r w:rsidRPr="001960A6">
        <w:rPr>
          <w:lang w:eastAsia="en-AU" w:bidi="ar-SA"/>
        </w:rPr>
        <w:t>all commodities</w:t>
      </w:r>
      <w:r w:rsidRPr="001960A6">
        <w:rPr>
          <w:lang w:eastAsia="en-AU"/>
        </w:rPr>
        <w:t xml:space="preserve">, </w:t>
      </w:r>
      <w:r w:rsidRPr="001960A6">
        <w:rPr>
          <w:lang w:eastAsia="en-AU" w:bidi="ar-SA"/>
        </w:rPr>
        <w:t>particularly if no further sanitising or processing is undertaken</w:t>
      </w:r>
      <w:r w:rsidRPr="001960A6">
        <w:rPr>
          <w:lang w:eastAsia="en-AU"/>
        </w:rPr>
        <w:t xml:space="preserve">. </w:t>
      </w:r>
      <w:r w:rsidRPr="001960A6">
        <w:rPr>
          <w:lang w:eastAsia="en-AU" w:bidi="ar-SA"/>
        </w:rPr>
        <w:t xml:space="preserve">For viral pathogens, the </w:t>
      </w:r>
      <w:r w:rsidRPr="001960A6">
        <w:t>use of sewage-contaminated water for irrigation</w:t>
      </w:r>
      <w:r>
        <w:t xml:space="preserve"> or</w:t>
      </w:r>
      <w:r w:rsidRPr="001960A6">
        <w:t xml:space="preserve"> the application of agricultural chemicals </w:t>
      </w:r>
      <w:r>
        <w:t>is a</w:t>
      </w:r>
      <w:r w:rsidRPr="001960A6">
        <w:t xml:space="preserve"> risk </w:t>
      </w:r>
      <w:r>
        <w:t>factor</w:t>
      </w:r>
      <w:r w:rsidRPr="001960A6">
        <w:t xml:space="preserve"> that apply to all commodities.</w:t>
      </w:r>
    </w:p>
    <w:p w14:paraId="6273BEDC" w14:textId="77777777" w:rsidR="00837C34" w:rsidRPr="001960A6" w:rsidRDefault="00837C34" w:rsidP="00837C34">
      <w:pPr>
        <w:ind w:left="360"/>
      </w:pPr>
    </w:p>
    <w:p w14:paraId="0D6DDE5C" w14:textId="77777777" w:rsidR="00837C34" w:rsidRPr="001960A6" w:rsidRDefault="00837C34" w:rsidP="00837C34">
      <w:pPr>
        <w:ind w:left="360"/>
        <w:rPr>
          <w:lang w:eastAsia="en-AU"/>
        </w:rPr>
      </w:pPr>
      <w:r w:rsidRPr="001960A6">
        <w:t xml:space="preserve">For produce that can be washed or sanitised, the likelihood for contamination or cross-contamination is increased during </w:t>
      </w:r>
      <w:r>
        <w:t>post</w:t>
      </w:r>
      <w:r w:rsidRPr="001960A6">
        <w:t xml:space="preserve">harvest washing using water that does not contain a disinfectant to maintain microbial quality throughout the process. Water based sanitisers used at industry-relevant concentrations and contact times (that do not adversely affect sensory properties of produce) are generally </w:t>
      </w:r>
      <w:r w:rsidRPr="001960A6">
        <w:rPr>
          <w:rFonts w:cs="Arial"/>
          <w:lang w:val="en-AU" w:eastAsia="en-GB"/>
        </w:rPr>
        <w:t>limited in efficacy for removing pathogens from the surface of produce and, in general, achieve reductions of &lt;</w:t>
      </w:r>
      <w:r>
        <w:rPr>
          <w:rFonts w:cs="Arial"/>
          <w:lang w:val="en-AU" w:eastAsia="en-GB"/>
        </w:rPr>
        <w:t>3 L</w:t>
      </w:r>
      <w:r w:rsidRPr="001960A6">
        <w:rPr>
          <w:rFonts w:cs="Arial"/>
          <w:lang w:val="en-AU" w:eastAsia="en-GB"/>
        </w:rPr>
        <w:t>og CFU.</w:t>
      </w:r>
    </w:p>
    <w:p w14:paraId="4AF81A21" w14:textId="77777777" w:rsidR="00837C34" w:rsidRPr="001960A6" w:rsidRDefault="00837C34" w:rsidP="00837C34">
      <w:pPr>
        <w:pStyle w:val="ListParagraph"/>
        <w:numPr>
          <w:ilvl w:val="0"/>
          <w:numId w:val="4"/>
        </w:numPr>
        <w:spacing w:before="120" w:after="120"/>
        <w:ind w:left="714" w:hanging="357"/>
        <w:rPr>
          <w:i/>
        </w:rPr>
      </w:pPr>
      <w:r w:rsidRPr="001960A6">
        <w:rPr>
          <w:i/>
        </w:rPr>
        <w:t>Insufficient monitoring and application of postharvest washing and sanitisation systems for leafy vegetables and melons</w:t>
      </w:r>
    </w:p>
    <w:p w14:paraId="2B0F525C" w14:textId="77777777" w:rsidR="00837C34" w:rsidRPr="001960A6" w:rsidRDefault="00837C34" w:rsidP="00837C34">
      <w:pPr>
        <w:ind w:left="360"/>
      </w:pPr>
      <w:r w:rsidRPr="001960A6">
        <w:t>The efficacy of disinfectants and sanitisers is dependent on the recognition and management of a number of other factors. These factors can include pH, organic loads from dirt or damaged/cut produce, temperature, concentration, and contact time. The importance of these factors to sanitiser efficacy is well documented in the literature. If factors critical to the application of disinfectants and sanitisers are not monitored, these processes can fail and instead result in increased risk due to cross-contamination of produce or limited to no reduction in pathogens on the surface of produce.</w:t>
      </w:r>
    </w:p>
    <w:p w14:paraId="05D75C42" w14:textId="77777777" w:rsidR="00837C34" w:rsidRPr="001960A6" w:rsidRDefault="00837C34" w:rsidP="00837C34">
      <w:pPr>
        <w:pStyle w:val="ListParagraph"/>
        <w:numPr>
          <w:ilvl w:val="0"/>
          <w:numId w:val="4"/>
        </w:numPr>
        <w:spacing w:before="120" w:after="120"/>
        <w:ind w:left="714" w:hanging="357"/>
        <w:rPr>
          <w:i/>
        </w:rPr>
      </w:pPr>
      <w:r w:rsidRPr="001960A6">
        <w:rPr>
          <w:i/>
        </w:rPr>
        <w:t>Contamination and cross-contamination due to poor worker and equipment hygiene, both at harvest and postharvest.</w:t>
      </w:r>
    </w:p>
    <w:p w14:paraId="31FAF25F" w14:textId="77777777" w:rsidR="00837C34" w:rsidRPr="00527354" w:rsidRDefault="00837C34" w:rsidP="00837C34">
      <w:pPr>
        <w:ind w:left="360"/>
        <w:rPr>
          <w:lang w:eastAsia="en-AU" w:bidi="ar-SA"/>
        </w:rPr>
      </w:pPr>
      <w:r>
        <w:rPr>
          <w:lang w:bidi="ar-SA"/>
        </w:rPr>
        <w:t xml:space="preserve">Increased handling and use of equipment at harvest or postharvest increase the likelihood of contamination of produce. If </w:t>
      </w:r>
      <w:r>
        <w:t>personnel or</w:t>
      </w:r>
      <w:r w:rsidRPr="00527354">
        <w:t xml:space="preserve"> equipment hygiene </w:t>
      </w:r>
      <w:r>
        <w:t>is not maintained, viral and bacterial pathogens can contaminate and cross-contaminate fresh produce.</w:t>
      </w:r>
    </w:p>
    <w:p w14:paraId="0330E84E" w14:textId="77777777" w:rsidR="00837C34" w:rsidRDefault="00837C34" w:rsidP="00837C34"/>
    <w:p w14:paraId="064C97E2" w14:textId="77777777" w:rsidR="00837C34" w:rsidRDefault="00837C34" w:rsidP="00837C34">
      <w:pPr>
        <w:ind w:left="360"/>
      </w:pPr>
      <w:r>
        <w:t>Risk mitigation regarding personnel or</w:t>
      </w:r>
      <w:r w:rsidRPr="00527354">
        <w:t xml:space="preserve"> equipment hygiene</w:t>
      </w:r>
      <w:r>
        <w:t xml:space="preserve"> is particularly important for produce that is not subject to further washing or sanitising (or some other risk reduction step) before final packing. However, even produce that is washed and sanitised can be subsequently exposed to equipment or personnel.</w:t>
      </w:r>
    </w:p>
    <w:p w14:paraId="436B7EA3" w14:textId="77777777" w:rsidR="00837C34" w:rsidRDefault="00837C34" w:rsidP="00837C34">
      <w:pPr>
        <w:widowControl/>
      </w:pPr>
      <w:r>
        <w:br w:type="page"/>
      </w:r>
    </w:p>
    <w:p w14:paraId="41352BA0" w14:textId="77777777" w:rsidR="00492EF7" w:rsidRDefault="00837C34" w:rsidP="00492EF7">
      <w:pPr>
        <w:pStyle w:val="Heading2"/>
        <w:numPr>
          <w:ilvl w:val="1"/>
          <w:numId w:val="11"/>
        </w:numPr>
      </w:pPr>
      <w:bookmarkStart w:id="447" w:name="_Toc64448818"/>
      <w:bookmarkStart w:id="448" w:name="_Toc87860079"/>
      <w:r w:rsidRPr="00E90534">
        <w:t>Mitigations</w:t>
      </w:r>
      <w:bookmarkEnd w:id="447"/>
      <w:bookmarkEnd w:id="448"/>
    </w:p>
    <w:p w14:paraId="4E7DDD03" w14:textId="7A845170" w:rsidR="00837C34" w:rsidRPr="00277D2A" w:rsidRDefault="00837C34" w:rsidP="00492EF7">
      <w:r>
        <w:t xml:space="preserve">The mitigation options that have been identified in the literature vary depending on the produce type and method of production. In general, the following summarises the mitigation measures broadly recommended for all the commodity </w:t>
      </w:r>
      <w:r w:rsidRPr="00277D2A">
        <w:t xml:space="preserve">sectors covered in this assessment, </w:t>
      </w:r>
      <w:r w:rsidRPr="00277D2A">
        <w:rPr>
          <w:rFonts w:cs="Arial"/>
          <w:lang w:val="en-AU"/>
        </w:rPr>
        <w:t>whether intended to be consumed raw or processed as a ready-to-eat food without a control step that significa</w:t>
      </w:r>
      <w:r>
        <w:rPr>
          <w:rFonts w:cs="Arial"/>
          <w:lang w:val="en-AU"/>
        </w:rPr>
        <w:t>ntly reduces the microbial load:</w:t>
      </w:r>
    </w:p>
    <w:p w14:paraId="4D94969A" w14:textId="77777777" w:rsidR="00837C34" w:rsidRDefault="00837C34" w:rsidP="00837C34">
      <w:pPr>
        <w:pStyle w:val="ListParagraph"/>
        <w:numPr>
          <w:ilvl w:val="0"/>
          <w:numId w:val="4"/>
        </w:numPr>
        <w:spacing w:before="120" w:after="120"/>
        <w:ind w:left="714" w:hanging="357"/>
        <w:contextualSpacing w:val="0"/>
      </w:pPr>
      <w:r w:rsidRPr="00277D2A">
        <w:t>GAP, GHP and GMP must be implemented consistently</w:t>
      </w:r>
      <w:r>
        <w:t>, through-chain, to manage the diverse microbial risks relevant to fresh produce</w:t>
      </w:r>
    </w:p>
    <w:p w14:paraId="58627BF8" w14:textId="77777777" w:rsidR="00837C34" w:rsidRDefault="00837C34" w:rsidP="00837C34">
      <w:pPr>
        <w:pStyle w:val="ListParagraph"/>
        <w:numPr>
          <w:ilvl w:val="0"/>
          <w:numId w:val="4"/>
        </w:numPr>
        <w:spacing w:before="120" w:after="120"/>
        <w:ind w:left="714" w:hanging="357"/>
        <w:contextualSpacing w:val="0"/>
      </w:pPr>
      <w:r>
        <w:t>To manage the risk from animal incursion, the potential for both indirect and direct faecal contamination of produce needs to be reduced</w:t>
      </w:r>
    </w:p>
    <w:p w14:paraId="553AB3C2" w14:textId="77777777" w:rsidR="00837C34" w:rsidRDefault="00837C34" w:rsidP="00837C34">
      <w:pPr>
        <w:pStyle w:val="ListParagraph"/>
        <w:numPr>
          <w:ilvl w:val="0"/>
          <w:numId w:val="4"/>
        </w:numPr>
        <w:spacing w:before="120" w:after="120"/>
        <w:ind w:left="714" w:hanging="357"/>
        <w:contextualSpacing w:val="0"/>
      </w:pPr>
      <w:r>
        <w:t xml:space="preserve">The farm environment and surroundings should be assessed prior to planting and close to harvest to identify risks that may significantly reduce the microbiological safety of fresh produce. </w:t>
      </w:r>
      <w:r w:rsidRPr="00550DD0">
        <w:rPr>
          <w:lang w:eastAsia="en-AU"/>
        </w:rPr>
        <w:t>Primary production should not occur in areas where it is likely that the presence of pathogens may represent an unacceptable risk of contamination to fresh produce</w:t>
      </w:r>
    </w:p>
    <w:p w14:paraId="480EEB13" w14:textId="77777777" w:rsidR="00837C34" w:rsidRDefault="00837C34" w:rsidP="00837C34">
      <w:pPr>
        <w:pStyle w:val="ListParagraph"/>
        <w:numPr>
          <w:ilvl w:val="0"/>
          <w:numId w:val="4"/>
        </w:numPr>
        <w:spacing w:before="120" w:after="120"/>
        <w:ind w:left="714" w:hanging="357"/>
        <w:contextualSpacing w:val="0"/>
      </w:pPr>
      <w:r>
        <w:t>The occurrence of extreme weather events should be included in risk assessments prior to harvest</w:t>
      </w:r>
      <w:r w:rsidRPr="00A05D91">
        <w:rPr>
          <w:lang w:eastAsia="en-AU"/>
        </w:rPr>
        <w:t>, includ</w:t>
      </w:r>
      <w:r>
        <w:rPr>
          <w:lang w:eastAsia="en-AU"/>
        </w:rPr>
        <w:t>ing an assessment of</w:t>
      </w:r>
      <w:r w:rsidRPr="00A05D91">
        <w:rPr>
          <w:lang w:eastAsia="en-AU"/>
        </w:rPr>
        <w:t xml:space="preserve"> factors that may affect subsequent washing and sanitisation efficacy, such as increased organic loads from flood, dust/soil or damaged produce</w:t>
      </w:r>
    </w:p>
    <w:p w14:paraId="7F5D0A52" w14:textId="77777777" w:rsidR="00837C34" w:rsidRDefault="00837C34" w:rsidP="00837C34">
      <w:pPr>
        <w:pStyle w:val="ListParagraph"/>
        <w:numPr>
          <w:ilvl w:val="0"/>
          <w:numId w:val="4"/>
        </w:numPr>
        <w:spacing w:before="120" w:after="120"/>
        <w:ind w:left="714" w:hanging="357"/>
        <w:contextualSpacing w:val="0"/>
      </w:pPr>
      <w:r>
        <w:rPr>
          <w:lang w:eastAsia="en-AU"/>
        </w:rPr>
        <w:t>The potential for contamination of the surface of fresh produce via contaminated water or soil amendments should be reduced and the quality of agricultural water and soil amendments determined to be of appropriate microbiological quality for its intended use</w:t>
      </w:r>
    </w:p>
    <w:p w14:paraId="2F61E480" w14:textId="77777777" w:rsidR="00837C34" w:rsidRDefault="00837C34" w:rsidP="00837C34">
      <w:pPr>
        <w:pStyle w:val="ListParagraph"/>
        <w:numPr>
          <w:ilvl w:val="0"/>
          <w:numId w:val="33"/>
        </w:numPr>
        <w:spacing w:before="120" w:after="120"/>
        <w:ind w:left="714" w:hanging="357"/>
        <w:contextualSpacing w:val="0"/>
      </w:pPr>
      <w:r w:rsidRPr="005A3DDE">
        <w:t xml:space="preserve">Risk assessment at harvest </w:t>
      </w:r>
      <w:r>
        <w:t xml:space="preserve">is required </w:t>
      </w:r>
      <w:r w:rsidRPr="005A3DDE">
        <w:t>to det</w:t>
      </w:r>
      <w:r>
        <w:t>ermine if sanitiser or disinfectant efficacy might</w:t>
      </w:r>
      <w:r w:rsidRPr="005A3DDE">
        <w:t xml:space="preserve"> be compromised by increased organic load, </w:t>
      </w:r>
      <w:r>
        <w:t>produce</w:t>
      </w:r>
      <w:r w:rsidRPr="005A3DDE">
        <w:t xml:space="preserve"> da</w:t>
      </w:r>
      <w:r>
        <w:t>mage or extreme weather events. Appropriate concentrations,</w:t>
      </w:r>
      <w:r w:rsidRPr="008E0A62">
        <w:t xml:space="preserve"> contact times</w:t>
      </w:r>
      <w:r>
        <w:t>, and other critical parameters should be applied and monitored to maintain maximum efficacy</w:t>
      </w:r>
    </w:p>
    <w:p w14:paraId="5987CDF4" w14:textId="77777777" w:rsidR="00837C34" w:rsidRPr="00B42E8B" w:rsidRDefault="00837C34" w:rsidP="00837C34">
      <w:pPr>
        <w:pStyle w:val="ListParagraph"/>
        <w:numPr>
          <w:ilvl w:val="0"/>
          <w:numId w:val="4"/>
        </w:numPr>
        <w:spacing w:before="120" w:after="120"/>
        <w:ind w:left="714" w:hanging="357"/>
        <w:contextualSpacing w:val="0"/>
      </w:pPr>
      <w:r w:rsidRPr="00925C46">
        <w:rPr>
          <w:color w:val="000000" w:themeColor="text1"/>
        </w:rPr>
        <w:t>Sanitisers and disinfectants should be used in</w:t>
      </w:r>
      <w:r>
        <w:rPr>
          <w:color w:val="000000" w:themeColor="text1"/>
        </w:rPr>
        <w:t xml:space="preserve"> postharvest</w:t>
      </w:r>
      <w:r w:rsidRPr="00925C46">
        <w:rPr>
          <w:color w:val="000000" w:themeColor="text1"/>
        </w:rPr>
        <w:t xml:space="preserve"> wash water to reduce the likelihood of contamination</w:t>
      </w:r>
      <w:r>
        <w:rPr>
          <w:color w:val="000000" w:themeColor="text1"/>
        </w:rPr>
        <w:t>, cross-contamination,</w:t>
      </w:r>
      <w:r w:rsidRPr="00925C46">
        <w:rPr>
          <w:color w:val="000000" w:themeColor="text1"/>
        </w:rPr>
        <w:t xml:space="preserve"> and internalisation into leafy vegetables and melons, as water based sanitisers are not effective in eliminating internalised pathogens.</w:t>
      </w:r>
      <w:r>
        <w:rPr>
          <w:color w:val="000000" w:themeColor="text1"/>
        </w:rPr>
        <w:t xml:space="preserve"> Sanitisers cannot be relied upon for end product safety due to their limited ability to inactivate pathogens on the surface of produce</w:t>
      </w:r>
    </w:p>
    <w:p w14:paraId="49F4E01C" w14:textId="77777777" w:rsidR="00837C34" w:rsidRDefault="00837C34" w:rsidP="00837C34">
      <w:pPr>
        <w:pStyle w:val="ListParagraph"/>
        <w:numPr>
          <w:ilvl w:val="0"/>
          <w:numId w:val="4"/>
        </w:numPr>
        <w:spacing w:before="120" w:after="120"/>
        <w:ind w:left="714" w:hanging="357"/>
        <w:contextualSpacing w:val="0"/>
        <w:rPr>
          <w:lang w:eastAsia="en-AU"/>
        </w:rPr>
      </w:pPr>
      <w:r>
        <w:rPr>
          <w:lang w:eastAsia="en-AU"/>
        </w:rPr>
        <w:t>Employees should be well trained in harvest and postharvest methods that minimise microbial risk, such as culling damaged/diseased produce; applying personal and equipment hygiene practices; and recognising and reporting risk factors. Compliance with food safety policies should be verified</w:t>
      </w:r>
    </w:p>
    <w:p w14:paraId="52465D2D" w14:textId="407F98EE" w:rsidR="00837C34" w:rsidRDefault="00837C34" w:rsidP="00837C34">
      <w:pPr>
        <w:pStyle w:val="ListParagraph"/>
        <w:numPr>
          <w:ilvl w:val="0"/>
          <w:numId w:val="4"/>
        </w:numPr>
        <w:spacing w:before="120" w:after="120"/>
        <w:ind w:left="714" w:hanging="357"/>
        <w:contextualSpacing w:val="0"/>
        <w:rPr>
          <w:lang w:eastAsia="en-AU"/>
        </w:rPr>
      </w:pPr>
      <w:r>
        <w:rPr>
          <w:lang w:eastAsia="en-AU"/>
        </w:rPr>
        <w:t>The potential for contamination from equipment or surfaces that fresh produce contacts during harvest and postharvest should be minimised through the implementation of appropriate hygienic practices.</w:t>
      </w:r>
    </w:p>
    <w:p w14:paraId="51FF2737" w14:textId="1E596F63" w:rsidR="00F57E1E" w:rsidRDefault="00F57E1E" w:rsidP="00F57E1E">
      <w:pPr>
        <w:pStyle w:val="ListParagraph"/>
        <w:spacing w:before="120" w:after="120"/>
        <w:ind w:left="714"/>
        <w:contextualSpacing w:val="0"/>
        <w:rPr>
          <w:lang w:eastAsia="en-AU"/>
        </w:rPr>
      </w:pPr>
      <w:r>
        <w:rPr>
          <w:lang w:eastAsia="en-AU"/>
        </w:rPr>
        <w:br w:type="page"/>
      </w:r>
    </w:p>
    <w:p w14:paraId="596FBDC4" w14:textId="77777777" w:rsidR="00492EF7" w:rsidRDefault="00837C34" w:rsidP="00492EF7">
      <w:pPr>
        <w:pStyle w:val="Heading2"/>
        <w:numPr>
          <w:ilvl w:val="1"/>
          <w:numId w:val="11"/>
        </w:numPr>
      </w:pPr>
      <w:bookmarkStart w:id="449" w:name="_Toc64448819"/>
      <w:bookmarkStart w:id="450" w:name="_Toc87860080"/>
      <w:r w:rsidRPr="00652ACC">
        <w:t>Commodity-specific risk factors and mitigations</w:t>
      </w:r>
      <w:bookmarkEnd w:id="449"/>
      <w:bookmarkEnd w:id="450"/>
    </w:p>
    <w:p w14:paraId="47A4ABE1" w14:textId="2C587AE7" w:rsidR="00837C34" w:rsidRDefault="00837C34" w:rsidP="00492EF7">
      <w:pPr>
        <w:rPr>
          <w:lang w:val="en-AU"/>
        </w:rPr>
      </w:pPr>
      <w:r>
        <w:rPr>
          <w:lang w:val="en-AU"/>
        </w:rPr>
        <w:t xml:space="preserve">This assessment has identified risk factors that may lead to increased risk associated </w:t>
      </w:r>
      <w:bookmarkStart w:id="451" w:name="_Toc58327835"/>
      <w:bookmarkStart w:id="452" w:name="_Toc58334015"/>
      <w:r>
        <w:rPr>
          <w:lang w:val="en-AU"/>
        </w:rPr>
        <w:t>with specific commodities and additional mitigation measures.</w:t>
      </w:r>
    </w:p>
    <w:p w14:paraId="6A9C02BA" w14:textId="77777777" w:rsidR="00492EF7" w:rsidRPr="00AB2EB7" w:rsidRDefault="00837C34" w:rsidP="00787E56">
      <w:pPr>
        <w:pStyle w:val="Heading3"/>
        <w:numPr>
          <w:ilvl w:val="2"/>
          <w:numId w:val="11"/>
        </w:numPr>
      </w:pPr>
      <w:bookmarkStart w:id="453" w:name="_Toc64448820"/>
      <w:bookmarkStart w:id="454" w:name="_Toc87860081"/>
      <w:bookmarkEnd w:id="451"/>
      <w:bookmarkEnd w:id="452"/>
      <w:r w:rsidRPr="00E90534">
        <w:t>Leafy vegetables</w:t>
      </w:r>
      <w:bookmarkEnd w:id="453"/>
      <w:bookmarkEnd w:id="454"/>
    </w:p>
    <w:p w14:paraId="4AC3FEF5" w14:textId="59248F58" w:rsidR="00837C34" w:rsidRDefault="00837C34" w:rsidP="00492EF7">
      <w:r>
        <w:t>F</w:t>
      </w:r>
      <w:r w:rsidRPr="0083082C">
        <w:t>oodborne outbreaks involving leafy vegetables have the potential to affect a greater proportion of the Australian population compared to berries or melons</w:t>
      </w:r>
      <w:r>
        <w:t>.</w:t>
      </w:r>
      <w:r w:rsidRPr="0083082C">
        <w:t xml:space="preserve"> </w:t>
      </w:r>
      <w:r>
        <w:t>Leafy vegetables were reported to be consumed by a larger proportion of Australians, across all age groups, in the NNPAS</w:t>
      </w:r>
      <w:r w:rsidRPr="006531A7">
        <w:rPr>
          <w:rStyle w:val="FootnoteReference"/>
        </w:rPr>
        <w:footnoteReference w:id="22"/>
      </w:r>
      <w:r>
        <w:t xml:space="preserve">, when compared to berry and </w:t>
      </w:r>
      <w:r w:rsidRPr="0083082C">
        <w:t>melon consumption</w:t>
      </w:r>
      <w:r>
        <w:t xml:space="preserve"> (see Section 6 and Appendix 4). The number of people that are likely to be affected by the consumption of contaminated leafy vegetables is dependent on a number of factors, including the prevalence and level of contamination of pathogens on the product at consumption.</w:t>
      </w:r>
    </w:p>
    <w:p w14:paraId="5C18D232" w14:textId="77777777" w:rsidR="00837C34" w:rsidRDefault="00837C34" w:rsidP="00837C34"/>
    <w:p w14:paraId="3F44B629" w14:textId="77777777" w:rsidR="00837C34" w:rsidRDefault="00837C34" w:rsidP="00837C34">
      <w:pPr>
        <w:rPr>
          <w:lang w:eastAsia="en-AU" w:bidi="ar-SA"/>
        </w:rPr>
      </w:pPr>
      <w:r>
        <w:rPr>
          <w:lang w:eastAsia="en-AU" w:bidi="ar-SA"/>
        </w:rPr>
        <w:t>The prevalence or concentration of foodborne pathogens on leafy vegetables during primary production in Australia is poorly documented, but is generally reported to be low for all commodities and pathogen combinations. However,</w:t>
      </w:r>
      <w:r w:rsidRPr="0083082C">
        <w:rPr>
          <w:lang w:eastAsia="en-AU" w:bidi="ar-SA"/>
        </w:rPr>
        <w:t xml:space="preserve"> </w:t>
      </w:r>
      <w:r>
        <w:rPr>
          <w:lang w:eastAsia="en-AU" w:bidi="ar-SA"/>
        </w:rPr>
        <w:t xml:space="preserve">high levels of contamination can occur </w:t>
      </w:r>
      <w:r w:rsidRPr="007D6B6B">
        <w:rPr>
          <w:lang w:eastAsia="en-AU" w:bidi="ar-SA"/>
        </w:rPr>
        <w:t>sporadic</w:t>
      </w:r>
      <w:r>
        <w:rPr>
          <w:lang w:eastAsia="en-AU" w:bidi="ar-SA"/>
        </w:rPr>
        <w:t>ally,</w:t>
      </w:r>
      <w:r w:rsidRPr="007D6B6B">
        <w:rPr>
          <w:lang w:eastAsia="en-AU" w:bidi="ar-SA"/>
        </w:rPr>
        <w:t xml:space="preserve"> </w:t>
      </w:r>
      <w:r>
        <w:rPr>
          <w:lang w:eastAsia="en-AU" w:bidi="ar-SA"/>
        </w:rPr>
        <w:t>due to the risk factors identified in this assessment. Detection of these events is challenging, since</w:t>
      </w:r>
      <w:r w:rsidRPr="007D6B6B">
        <w:rPr>
          <w:lang w:eastAsia="en-AU" w:bidi="ar-SA"/>
        </w:rPr>
        <w:t xml:space="preserve"> pathogens </w:t>
      </w:r>
      <w:r>
        <w:rPr>
          <w:lang w:eastAsia="en-AU" w:bidi="ar-SA"/>
        </w:rPr>
        <w:t xml:space="preserve">are </w:t>
      </w:r>
      <w:r w:rsidRPr="007D6B6B">
        <w:rPr>
          <w:lang w:eastAsia="en-AU" w:bidi="ar-SA"/>
        </w:rPr>
        <w:t>likely to be</w:t>
      </w:r>
      <w:r>
        <w:rPr>
          <w:lang w:eastAsia="en-AU" w:bidi="ar-SA"/>
        </w:rPr>
        <w:t xml:space="preserve"> only</w:t>
      </w:r>
      <w:r w:rsidRPr="007D6B6B">
        <w:rPr>
          <w:lang w:eastAsia="en-AU" w:bidi="ar-SA"/>
        </w:rPr>
        <w:t xml:space="preserve"> </w:t>
      </w:r>
      <w:r>
        <w:rPr>
          <w:lang w:eastAsia="en-AU" w:bidi="ar-SA"/>
        </w:rPr>
        <w:t xml:space="preserve">transiently and </w:t>
      </w:r>
      <w:r w:rsidRPr="007D6B6B">
        <w:rPr>
          <w:lang w:eastAsia="en-AU" w:bidi="ar-SA"/>
        </w:rPr>
        <w:t xml:space="preserve">heterogeneously present in </w:t>
      </w:r>
      <w:r>
        <w:rPr>
          <w:lang w:eastAsia="en-AU" w:bidi="ar-SA"/>
        </w:rPr>
        <w:t>the environment</w:t>
      </w:r>
      <w:r w:rsidRPr="007D6B6B">
        <w:rPr>
          <w:lang w:eastAsia="en-AU" w:bidi="ar-SA"/>
        </w:rPr>
        <w:t>.</w:t>
      </w:r>
      <w:r>
        <w:rPr>
          <w:lang w:eastAsia="en-AU" w:bidi="ar-SA"/>
        </w:rPr>
        <w:t xml:space="preserve"> The limitations of end-point testing for assurance of safety are widely recognised in the literature. Hence, the end product safety of leafy vegetables is heavily reliant on a through-chain approach to risk management.</w:t>
      </w:r>
    </w:p>
    <w:p w14:paraId="4A0D0F3F" w14:textId="77777777" w:rsidR="00837C34" w:rsidRDefault="00837C34" w:rsidP="00837C34">
      <w:pPr>
        <w:rPr>
          <w:lang w:eastAsia="en-AU" w:bidi="ar-SA"/>
        </w:rPr>
      </w:pPr>
    </w:p>
    <w:p w14:paraId="720EC13F" w14:textId="77777777" w:rsidR="00837C34" w:rsidRDefault="00837C34" w:rsidP="00837C34">
      <w:r>
        <w:rPr>
          <w:lang w:eastAsia="en-AU" w:bidi="ar-SA"/>
        </w:rPr>
        <w:t xml:space="preserve">There are also additional risk factors </w:t>
      </w:r>
      <w:r>
        <w:rPr>
          <w:rFonts w:cs="Arial"/>
          <w:color w:val="000000" w:themeColor="text1"/>
          <w:lang w:val="en-AU"/>
        </w:rPr>
        <w:t>associated with leafy vegetables that require additional risk mitigation measures, including production practices; intrinsic properties of products; and product/pathogen interactions.</w:t>
      </w:r>
    </w:p>
    <w:p w14:paraId="3B18742A" w14:textId="77777777" w:rsidR="00837C34" w:rsidRPr="00943AEA" w:rsidRDefault="00837C34" w:rsidP="00837C34"/>
    <w:p w14:paraId="342D46DA" w14:textId="1D80A0E4" w:rsidR="00837C34" w:rsidRDefault="00837C34" w:rsidP="00837C34">
      <w:pPr>
        <w:rPr>
          <w:color w:val="000000" w:themeColor="text1"/>
        </w:rPr>
      </w:pPr>
      <w:r w:rsidRPr="00276BEC">
        <w:rPr>
          <w:color w:val="000000" w:themeColor="text1"/>
        </w:rPr>
        <w:t xml:space="preserve">The surface characteristics of some leafy vegetables with rougher surfaces or vase like characteristics may provide enhanced attachment and protection from subsequent washing and sanitising. This may leave these commodities more susceptible to contamination from risk factors such as animal intrusion, water, soil, soil amendments, and extreme weather events. </w:t>
      </w:r>
      <w:r>
        <w:rPr>
          <w:color w:val="000000" w:themeColor="text1"/>
        </w:rPr>
        <w:t xml:space="preserve">It has been recommended that </w:t>
      </w:r>
      <w:r>
        <w:t xml:space="preserve">these leafy vegetables </w:t>
      </w:r>
      <w:r w:rsidRPr="00997A97">
        <w:t xml:space="preserve">should be irrigated </w:t>
      </w:r>
      <w:r>
        <w:t>by a method that minimises</w:t>
      </w:r>
      <w:r w:rsidRPr="00997A97">
        <w:t xml:space="preserve"> wetting of the edible portion </w:t>
      </w:r>
      <w:r>
        <w:t>of the</w:t>
      </w:r>
      <w:r w:rsidRPr="00997A97">
        <w:t xml:space="preserve"> plant</w:t>
      </w:r>
      <w:r>
        <w:t>,</w:t>
      </w:r>
      <w:r w:rsidRPr="00997A97">
        <w:t xml:space="preserve"> </w:t>
      </w:r>
      <w:r>
        <w:t xml:space="preserve">to limit the potential for </w:t>
      </w:r>
      <w:r w:rsidRPr="00997A97">
        <w:t>microbial attachment and survival</w:t>
      </w:r>
      <w:r>
        <w:t xml:space="preserve"> </w:t>
      </w:r>
      <w:r w:rsidR="00657FDB">
        <w:t>(Codex 2017)</w:t>
      </w:r>
      <w:r>
        <w:t xml:space="preserve">. There </w:t>
      </w:r>
      <w:r w:rsidRPr="002B4DD5">
        <w:t>is some, limited evidence</w:t>
      </w:r>
      <w:r>
        <w:t xml:space="preserve"> </w:t>
      </w:r>
      <w:r w:rsidRPr="001D295B">
        <w:rPr>
          <w:color w:val="000000" w:themeColor="text1"/>
        </w:rPr>
        <w:t>that sanitisers may be less effective at reducing pathogen</w:t>
      </w:r>
      <w:r>
        <w:rPr>
          <w:color w:val="000000" w:themeColor="text1"/>
        </w:rPr>
        <w:t xml:space="preserve"> level</w:t>
      </w:r>
      <w:r w:rsidRPr="001D295B">
        <w:rPr>
          <w:color w:val="000000" w:themeColor="text1"/>
        </w:rPr>
        <w:t xml:space="preserve">s on rough surface leafy vegetables </w:t>
      </w:r>
      <w:r>
        <w:rPr>
          <w:color w:val="000000" w:themeColor="text1"/>
        </w:rPr>
        <w:t>(and also f</w:t>
      </w:r>
      <w:r w:rsidRPr="001D295B">
        <w:rPr>
          <w:color w:val="000000" w:themeColor="text1"/>
        </w:rPr>
        <w:t>or cut leafy vegetables compared to whole produce</w:t>
      </w:r>
      <w:r>
        <w:rPr>
          <w:color w:val="000000" w:themeColor="text1"/>
        </w:rPr>
        <w:t>)</w:t>
      </w:r>
      <w:r w:rsidRPr="001D295B">
        <w:rPr>
          <w:color w:val="000000" w:themeColor="text1"/>
        </w:rPr>
        <w:t xml:space="preserve">. There is also the potential for internalisation of pathogens into leafy vegetables during washing and sanitising. </w:t>
      </w:r>
      <w:r>
        <w:rPr>
          <w:color w:val="000000" w:themeColor="text1"/>
        </w:rPr>
        <w:t>Therefore</w:t>
      </w:r>
      <w:r w:rsidRPr="001D295B">
        <w:rPr>
          <w:color w:val="000000" w:themeColor="text1"/>
        </w:rPr>
        <w:t>, the proper application an</w:t>
      </w:r>
      <w:r>
        <w:rPr>
          <w:color w:val="000000" w:themeColor="text1"/>
        </w:rPr>
        <w:t>d monitoring of disinfectants and</w:t>
      </w:r>
      <w:r w:rsidRPr="001D295B">
        <w:rPr>
          <w:color w:val="000000" w:themeColor="text1"/>
        </w:rPr>
        <w:t xml:space="preserve"> sanitisers is of particular importance to reducing the risk for these commodities.</w:t>
      </w:r>
    </w:p>
    <w:p w14:paraId="4803D9A2" w14:textId="77777777" w:rsidR="00837C34" w:rsidRPr="008731DF" w:rsidRDefault="00837C34" w:rsidP="00837C34">
      <w:pPr>
        <w:rPr>
          <w:color w:val="000000" w:themeColor="text1"/>
        </w:rPr>
      </w:pPr>
    </w:p>
    <w:p w14:paraId="56C0FDC8" w14:textId="77777777" w:rsidR="00837C34" w:rsidRDefault="00837C34" w:rsidP="00837C34">
      <w:pPr>
        <w:rPr>
          <w:color w:val="000000" w:themeColor="text1"/>
        </w:rPr>
      </w:pPr>
      <w:r w:rsidRPr="00276BEC">
        <w:rPr>
          <w:color w:val="000000" w:themeColor="text1"/>
        </w:rPr>
        <w:t xml:space="preserve">Leafy vegetables grown close to the ground may be at greater risk of contamination via direct contact with faeces or </w:t>
      </w:r>
      <w:r w:rsidRPr="006951C2">
        <w:rPr>
          <w:color w:val="000000" w:themeColor="text1"/>
        </w:rPr>
        <w:t>contaminated soil. In addition, there is potential for internalisation and persistence of pathogens in the edi</w:t>
      </w:r>
      <w:r>
        <w:rPr>
          <w:color w:val="000000" w:themeColor="text1"/>
        </w:rPr>
        <w:t xml:space="preserve">ble portion of leafy vegetables. This risk is increased in the presence of </w:t>
      </w:r>
      <w:r w:rsidRPr="006951C2">
        <w:rPr>
          <w:color w:val="000000" w:themeColor="text1"/>
        </w:rPr>
        <w:t>high</w:t>
      </w:r>
      <w:r>
        <w:rPr>
          <w:color w:val="000000" w:themeColor="text1"/>
        </w:rPr>
        <w:t>er pathogen</w:t>
      </w:r>
      <w:r w:rsidRPr="006951C2">
        <w:rPr>
          <w:color w:val="000000" w:themeColor="text1"/>
        </w:rPr>
        <w:t xml:space="preserve"> concentrations associated with contamination events such as the application of raw manure or contaminated water</w:t>
      </w:r>
      <w:r>
        <w:rPr>
          <w:color w:val="000000" w:themeColor="text1"/>
        </w:rPr>
        <w:t>. Control measures that reduce</w:t>
      </w:r>
      <w:r w:rsidRPr="001D295B">
        <w:rPr>
          <w:color w:val="000000" w:themeColor="text1"/>
        </w:rPr>
        <w:t xml:space="preserve"> the likelihood of contamination </w:t>
      </w:r>
      <w:r>
        <w:rPr>
          <w:color w:val="000000" w:themeColor="text1"/>
        </w:rPr>
        <w:t>from soil or water contacting the</w:t>
      </w:r>
      <w:r w:rsidRPr="001D295B">
        <w:rPr>
          <w:color w:val="000000" w:themeColor="text1"/>
        </w:rPr>
        <w:t xml:space="preserve"> seed</w:t>
      </w:r>
      <w:r>
        <w:rPr>
          <w:color w:val="000000" w:themeColor="text1"/>
        </w:rPr>
        <w:t>s, roots</w:t>
      </w:r>
      <w:r w:rsidRPr="001D295B">
        <w:rPr>
          <w:color w:val="000000" w:themeColor="text1"/>
        </w:rPr>
        <w:t xml:space="preserve"> or </w:t>
      </w:r>
      <w:r>
        <w:rPr>
          <w:color w:val="000000" w:themeColor="text1"/>
        </w:rPr>
        <w:t>leaves reduce these risks. However, no specific</w:t>
      </w:r>
      <w:r w:rsidRPr="006951C2">
        <w:rPr>
          <w:color w:val="000000" w:themeColor="text1"/>
        </w:rPr>
        <w:t xml:space="preserve"> risk mitigation measures </w:t>
      </w:r>
      <w:r>
        <w:rPr>
          <w:color w:val="000000" w:themeColor="text1"/>
        </w:rPr>
        <w:t>beyond those described above (Section 13.2) were identified.</w:t>
      </w:r>
    </w:p>
    <w:p w14:paraId="44D4CB01" w14:textId="77777777" w:rsidR="00837C34" w:rsidRDefault="00837C34" w:rsidP="00837C34">
      <w:pPr>
        <w:rPr>
          <w:color w:val="000000" w:themeColor="text1"/>
        </w:rPr>
      </w:pPr>
    </w:p>
    <w:p w14:paraId="545BD5EF" w14:textId="77777777" w:rsidR="00F57E1E" w:rsidRDefault="00F57E1E">
      <w:pPr>
        <w:widowControl/>
        <w:rPr>
          <w:color w:val="000000" w:themeColor="text1"/>
        </w:rPr>
      </w:pPr>
      <w:r>
        <w:rPr>
          <w:color w:val="000000" w:themeColor="text1"/>
        </w:rPr>
        <w:br w:type="page"/>
      </w:r>
    </w:p>
    <w:p w14:paraId="327CCE0A" w14:textId="4363525F" w:rsidR="00837C34" w:rsidRPr="00276BEC" w:rsidRDefault="00837C34" w:rsidP="00837C34">
      <w:pPr>
        <w:rPr>
          <w:color w:val="000000" w:themeColor="text1"/>
        </w:rPr>
      </w:pPr>
      <w:r>
        <w:rPr>
          <w:color w:val="000000" w:themeColor="text1"/>
        </w:rPr>
        <w:t>T</w:t>
      </w:r>
      <w:r w:rsidRPr="00276BEC">
        <w:rPr>
          <w:color w:val="000000" w:themeColor="text1"/>
        </w:rPr>
        <w:t xml:space="preserve">he end product safety of </w:t>
      </w:r>
      <w:r>
        <w:rPr>
          <w:color w:val="000000" w:themeColor="text1"/>
        </w:rPr>
        <w:t>field-packed</w:t>
      </w:r>
      <w:r w:rsidRPr="00276BEC">
        <w:rPr>
          <w:color w:val="000000" w:themeColor="text1"/>
        </w:rPr>
        <w:t xml:space="preserve"> </w:t>
      </w:r>
      <w:r>
        <w:rPr>
          <w:color w:val="000000" w:themeColor="text1"/>
        </w:rPr>
        <w:t>leafy vegetables</w:t>
      </w:r>
      <w:r w:rsidRPr="00276BEC">
        <w:rPr>
          <w:color w:val="000000" w:themeColor="text1"/>
        </w:rPr>
        <w:t xml:space="preserve"> is heavily reliant on risk mitigation during primary production. In addition to the risk </w:t>
      </w:r>
      <w:r>
        <w:rPr>
          <w:color w:val="000000" w:themeColor="text1"/>
        </w:rPr>
        <w:t xml:space="preserve">mitigation steps identified in </w:t>
      </w:r>
      <w:r w:rsidRPr="002D3BDC">
        <w:rPr>
          <w:color w:val="000000" w:themeColor="text1"/>
        </w:rPr>
        <w:t>Section 10.3, Codex</w:t>
      </w:r>
      <w:r w:rsidRPr="00276BEC">
        <w:rPr>
          <w:color w:val="000000" w:themeColor="text1"/>
        </w:rPr>
        <w:t xml:space="preserve"> recommends that any water used during harvesting should be clean </w:t>
      </w:r>
      <w:r>
        <w:rPr>
          <w:color w:val="000000" w:themeColor="text1"/>
        </w:rPr>
        <w:t xml:space="preserve">(and </w:t>
      </w:r>
      <w:r w:rsidRPr="00276BEC">
        <w:rPr>
          <w:color w:val="000000" w:themeColor="text1"/>
        </w:rPr>
        <w:t>preferably potable</w:t>
      </w:r>
      <w:r>
        <w:rPr>
          <w:color w:val="000000" w:themeColor="text1"/>
        </w:rPr>
        <w:t>)</w:t>
      </w:r>
      <w:r w:rsidRPr="00276BEC">
        <w:rPr>
          <w:color w:val="000000" w:themeColor="text1"/>
        </w:rPr>
        <w:t xml:space="preserve"> where there is direct contact between the water and edible portions of the leafy vegetables </w:t>
      </w:r>
      <w:r w:rsidR="00657FDB">
        <w:rPr>
          <w:lang w:bidi="ar-SA"/>
        </w:rPr>
        <w:t>(Codex 2017)</w:t>
      </w:r>
      <w:r w:rsidRPr="00276BEC">
        <w:rPr>
          <w:color w:val="000000" w:themeColor="text1"/>
        </w:rPr>
        <w:t>.</w:t>
      </w:r>
    </w:p>
    <w:p w14:paraId="78F925F4" w14:textId="77777777" w:rsidR="00837C34" w:rsidRDefault="00837C34" w:rsidP="00837C34">
      <w:pPr>
        <w:rPr>
          <w:color w:val="000000" w:themeColor="text1"/>
        </w:rPr>
      </w:pPr>
    </w:p>
    <w:p w14:paraId="0931F70F" w14:textId="77777777" w:rsidR="00837C34" w:rsidRPr="00276BEC" w:rsidRDefault="00837C34" w:rsidP="00837C34">
      <w:pPr>
        <w:rPr>
          <w:color w:val="000000" w:themeColor="text1"/>
        </w:rPr>
      </w:pPr>
      <w:r w:rsidRPr="00276BEC">
        <w:rPr>
          <w:color w:val="000000" w:themeColor="text1"/>
        </w:rPr>
        <w:t xml:space="preserve">The use of vacuum cooling for leafy vegetables that are contaminated or the use of contaminated water during the process can potentially facilitate internalisation </w:t>
      </w:r>
      <w:r>
        <w:rPr>
          <w:color w:val="000000" w:themeColor="text1"/>
        </w:rPr>
        <w:t>of pathogens, provi</w:t>
      </w:r>
      <w:r w:rsidRPr="00276BEC">
        <w:rPr>
          <w:color w:val="000000" w:themeColor="text1"/>
        </w:rPr>
        <w:t>d</w:t>
      </w:r>
      <w:r>
        <w:rPr>
          <w:color w:val="000000" w:themeColor="text1"/>
        </w:rPr>
        <w:t xml:space="preserve">ing them </w:t>
      </w:r>
      <w:r w:rsidRPr="00276BEC">
        <w:rPr>
          <w:color w:val="000000" w:themeColor="text1"/>
        </w:rPr>
        <w:t xml:space="preserve">protection from subsequent sanitisation. The use of water that is clean and potable during </w:t>
      </w:r>
      <w:r>
        <w:rPr>
          <w:color w:val="000000" w:themeColor="text1"/>
        </w:rPr>
        <w:t>cooling</w:t>
      </w:r>
      <w:r w:rsidRPr="00276BEC">
        <w:rPr>
          <w:color w:val="000000" w:themeColor="text1"/>
        </w:rPr>
        <w:t xml:space="preserve"> can reduc</w:t>
      </w:r>
      <w:r>
        <w:rPr>
          <w:color w:val="000000" w:themeColor="text1"/>
        </w:rPr>
        <w:t>e the risk of internalisation. H</w:t>
      </w:r>
      <w:r w:rsidRPr="00276BEC">
        <w:rPr>
          <w:color w:val="000000" w:themeColor="text1"/>
        </w:rPr>
        <w:t>owever, reducing the risk is also dependent on implementation of risk mitigation during primary production to reduce the likelihood of contamination</w:t>
      </w:r>
      <w:r>
        <w:rPr>
          <w:color w:val="000000" w:themeColor="text1"/>
        </w:rPr>
        <w:t xml:space="preserve"> prior to </w:t>
      </w:r>
      <w:r w:rsidRPr="00276BEC">
        <w:rPr>
          <w:color w:val="000000" w:themeColor="text1"/>
        </w:rPr>
        <w:t>vacuum cooling.</w:t>
      </w:r>
    </w:p>
    <w:p w14:paraId="5CDF9FD6" w14:textId="77777777" w:rsidR="00837C34" w:rsidRDefault="00837C34" w:rsidP="00837C34">
      <w:pPr>
        <w:rPr>
          <w:color w:val="000000" w:themeColor="text1"/>
        </w:rPr>
      </w:pPr>
    </w:p>
    <w:p w14:paraId="0A03C716" w14:textId="77777777" w:rsidR="00837C34" w:rsidRPr="00E94E01" w:rsidRDefault="00837C34" w:rsidP="00837C34">
      <w:pPr>
        <w:rPr>
          <w:color w:val="000000" w:themeColor="text1"/>
        </w:rPr>
      </w:pPr>
      <w:r>
        <w:rPr>
          <w:color w:val="000000" w:themeColor="text1"/>
        </w:rPr>
        <w:t>Post</w:t>
      </w:r>
      <w:r w:rsidRPr="00E94E01">
        <w:rPr>
          <w:color w:val="000000" w:themeColor="text1"/>
        </w:rPr>
        <w:t>harvest washing of leafy vegetables introduces a risk of cross-contamination of product. The use of sanitisers and disinfectants in wash water can reduce cross-contamination and provide modest reductions of pathogens on the surface of leafy vegetables. However, this is only achieved if wash systems are optimised and well monitored.</w:t>
      </w:r>
    </w:p>
    <w:p w14:paraId="4DF95183" w14:textId="77777777" w:rsidR="00837C34" w:rsidRDefault="00837C34" w:rsidP="00837C34">
      <w:pPr>
        <w:rPr>
          <w:color w:val="000000" w:themeColor="text1"/>
        </w:rPr>
      </w:pPr>
    </w:p>
    <w:p w14:paraId="70B8E31B" w14:textId="46D1AC75" w:rsidR="00837C34" w:rsidRPr="006E3A45" w:rsidRDefault="00837C34" w:rsidP="00837C34">
      <w:pPr>
        <w:pStyle w:val="ListParagraph"/>
        <w:ind w:left="0"/>
      </w:pPr>
      <w:r w:rsidRPr="006F752C">
        <w:rPr>
          <w:color w:val="000000" w:themeColor="text1"/>
        </w:rPr>
        <w:t xml:space="preserve">Leafy vegetables have intrinsic properties that support the growth of bacterial pathogens. </w:t>
      </w:r>
      <w:r>
        <w:rPr>
          <w:color w:val="000000" w:themeColor="text1"/>
        </w:rPr>
        <w:t xml:space="preserve">The use of temperature control from harvest through to consumption can reduce the risk associated with bacterial growth. </w:t>
      </w:r>
      <w:r>
        <w:t xml:space="preserve">Codex recommends that </w:t>
      </w:r>
      <w:r w:rsidRPr="00997A97">
        <w:t>these products</w:t>
      </w:r>
      <w:r>
        <w:t xml:space="preserve"> should be cooled as soon as possible after harvest to 1-</w:t>
      </w:r>
      <w:r w:rsidRPr="00C01D0A">
        <w:t>5°C</w:t>
      </w:r>
      <w:r>
        <w:t xml:space="preserve">, and that the cold-chain be maintained though to consumption </w:t>
      </w:r>
      <w:r w:rsidR="00657FDB">
        <w:t>(Codex 2017)</w:t>
      </w:r>
      <w:r>
        <w:t>.</w:t>
      </w:r>
      <w:r w:rsidRPr="00E94E01">
        <w:t xml:space="preserve"> </w:t>
      </w:r>
      <w:r>
        <w:t>It is noted, however, that some types of leafy vegetables are chill-sensitive, and may require slightly higher holding temperatures for retention of quality.</w:t>
      </w:r>
    </w:p>
    <w:p w14:paraId="0C04642D" w14:textId="77777777" w:rsidR="00492EF7" w:rsidRPr="00AB2EB7" w:rsidRDefault="00837C34" w:rsidP="00787E56">
      <w:pPr>
        <w:pStyle w:val="Heading3"/>
        <w:numPr>
          <w:ilvl w:val="2"/>
          <w:numId w:val="11"/>
        </w:numPr>
      </w:pPr>
      <w:bookmarkStart w:id="455" w:name="_Toc58327836"/>
      <w:bookmarkStart w:id="456" w:name="_Toc58334016"/>
      <w:bookmarkStart w:id="457" w:name="_Toc64448821"/>
      <w:bookmarkStart w:id="458" w:name="_Toc87860082"/>
      <w:r w:rsidRPr="00E90534">
        <w:t>Berries</w:t>
      </w:r>
      <w:bookmarkEnd w:id="455"/>
      <w:bookmarkEnd w:id="456"/>
      <w:bookmarkEnd w:id="457"/>
      <w:bookmarkEnd w:id="458"/>
    </w:p>
    <w:p w14:paraId="5526E314" w14:textId="1B8658AB" w:rsidR="00837C34" w:rsidRDefault="00837C34" w:rsidP="00492EF7">
      <w:r>
        <w:t>Of the three commodity groups, b</w:t>
      </w:r>
      <w:r w:rsidRPr="00440FA0">
        <w:t xml:space="preserve">erries had the second highest reported consumption </w:t>
      </w:r>
      <w:r>
        <w:t xml:space="preserve">in Australia </w:t>
      </w:r>
      <w:r w:rsidRPr="00440FA0">
        <w:t>across all age groups after leafy vegetables</w:t>
      </w:r>
      <w:r>
        <w:t xml:space="preserve"> </w:t>
      </w:r>
      <w:r w:rsidRPr="00E94E01">
        <w:t>(see Section 6 and Appendix 4)</w:t>
      </w:r>
      <w:r>
        <w:t>.</w:t>
      </w:r>
      <w:r w:rsidRPr="00440FA0">
        <w:t xml:space="preserve"> </w:t>
      </w:r>
      <w:r>
        <w:t xml:space="preserve">Fresh strawberries eaten raw had the highest reported consumption, followed by blueberries and raspberries. While foodborne outbreaks have only been </w:t>
      </w:r>
      <w:r w:rsidRPr="00E94E01">
        <w:t xml:space="preserve">associated with imported </w:t>
      </w:r>
      <w:r>
        <w:t>berries in Australia, the lack of outbreaks attributed to Australian berries does not equate to a lack of risk. However, there is a paucity of Australian data on the prevalence and levels of pathogens either on berries during primary production or associated with agricultural inputs.</w:t>
      </w:r>
    </w:p>
    <w:p w14:paraId="4FE2574C" w14:textId="77777777" w:rsidR="00837C34" w:rsidRDefault="00837C34" w:rsidP="00837C34"/>
    <w:p w14:paraId="393BE111" w14:textId="77777777" w:rsidR="00837C34" w:rsidRDefault="00837C34" w:rsidP="00837C34">
      <w:pPr>
        <w:rPr>
          <w:lang w:eastAsia="en-AU" w:bidi="ar-SA"/>
        </w:rPr>
      </w:pPr>
      <w:r>
        <w:t xml:space="preserve">In general, </w:t>
      </w:r>
      <w:r>
        <w:rPr>
          <w:lang w:eastAsia="en-AU" w:bidi="ar-SA"/>
        </w:rPr>
        <w:t>a low prevalence of viruses has been reported for strawberries in the international literature, but the prevalence associated with blueberries and raspberries is poorly documented. As with leafy vegetables, the presence of pathogens in the Australian berry primary production environment is assumed to be low, resulting in lowered general risk. However, as is evident from foodborne outbreaks associated with berries internationally, contamination events can occur as sporadic events—</w:t>
      </w:r>
      <w:r w:rsidRPr="007D6B6B">
        <w:rPr>
          <w:lang w:eastAsia="en-AU" w:bidi="ar-SA"/>
        </w:rPr>
        <w:t xml:space="preserve">with pathogens </w:t>
      </w:r>
      <w:r>
        <w:rPr>
          <w:lang w:eastAsia="en-AU" w:bidi="ar-SA"/>
        </w:rPr>
        <w:t xml:space="preserve">present transiently and </w:t>
      </w:r>
      <w:r w:rsidRPr="007D6B6B">
        <w:rPr>
          <w:lang w:eastAsia="en-AU" w:bidi="ar-SA"/>
        </w:rPr>
        <w:t xml:space="preserve">heterogeneously in </w:t>
      </w:r>
      <w:r>
        <w:rPr>
          <w:lang w:eastAsia="en-AU" w:bidi="ar-SA"/>
        </w:rPr>
        <w:t>the production and processing environment—</w:t>
      </w:r>
      <w:r w:rsidRPr="007D6B6B">
        <w:rPr>
          <w:lang w:eastAsia="en-AU" w:bidi="ar-SA"/>
        </w:rPr>
        <w:t>leading to difficulties in detection.</w:t>
      </w:r>
      <w:r>
        <w:rPr>
          <w:lang w:eastAsia="en-AU" w:bidi="ar-SA"/>
        </w:rPr>
        <w:t xml:space="preserve"> Risk factors identified in the primary production environment in Australia are relevant to berry production, and represent a risk to berry food safety.</w:t>
      </w:r>
    </w:p>
    <w:p w14:paraId="49361694" w14:textId="77777777" w:rsidR="00837C34" w:rsidRDefault="00837C34" w:rsidP="00837C34">
      <w:pPr>
        <w:rPr>
          <w:lang w:eastAsia="en-AU" w:bidi="ar-SA"/>
        </w:rPr>
      </w:pPr>
    </w:p>
    <w:p w14:paraId="3B0CF798" w14:textId="77777777" w:rsidR="00837C34" w:rsidRDefault="00837C34" w:rsidP="00837C34">
      <w:pPr>
        <w:rPr>
          <w:rFonts w:cs="Arial"/>
          <w:color w:val="000000" w:themeColor="text1"/>
          <w:lang w:val="en-AU"/>
        </w:rPr>
      </w:pPr>
      <w:r w:rsidRPr="00D33D76">
        <w:t>Due to the intrinsic nature of berries, they are not generally washed or sanitised before packing. Therefore, the reduction of risk associated with berries is dependent on consistent risk mitigation during primary production to reduce the likelihood of contamination.</w:t>
      </w:r>
      <w:r>
        <w:t xml:space="preserve"> A</w:t>
      </w:r>
      <w:r>
        <w:rPr>
          <w:lang w:eastAsia="en-AU" w:bidi="ar-SA"/>
        </w:rPr>
        <w:t xml:space="preserve">dditional risk factors that </w:t>
      </w:r>
      <w:r>
        <w:rPr>
          <w:rFonts w:cs="Arial"/>
          <w:color w:val="000000" w:themeColor="text1"/>
          <w:lang w:val="en-AU"/>
        </w:rPr>
        <w:t>can lead to contamination of berries were identified, and may require additional risk mitigation measures.</w:t>
      </w:r>
    </w:p>
    <w:p w14:paraId="7B835529" w14:textId="77777777" w:rsidR="00837C34" w:rsidRDefault="00837C34" w:rsidP="00837C34"/>
    <w:p w14:paraId="540ED389" w14:textId="77777777" w:rsidR="00F57E1E" w:rsidRDefault="00F57E1E">
      <w:pPr>
        <w:widowControl/>
      </w:pPr>
      <w:r>
        <w:br w:type="page"/>
      </w:r>
    </w:p>
    <w:p w14:paraId="78670904" w14:textId="554F08BB" w:rsidR="00837C34" w:rsidRDefault="00837C34" w:rsidP="00837C34">
      <w:r>
        <w:t xml:space="preserve">The rougher or more irregular surfaces of strawberries and raspberries may provide </w:t>
      </w:r>
      <w:r w:rsidRPr="00CA3C1C">
        <w:rPr>
          <w:rFonts w:cs="Arial"/>
        </w:rPr>
        <w:t>more sites for microbial attachment</w:t>
      </w:r>
      <w:r>
        <w:rPr>
          <w:rFonts w:cs="Arial"/>
        </w:rPr>
        <w:t xml:space="preserve"> and protection in comparison to other commodities with smoother surfaces, such as blueberries</w:t>
      </w:r>
      <w:r>
        <w:t>. However, studies quantifying the difference in surface roughness of berries are limited, and there remains uncertainty about how this affects the likelihood of contamination of the different commodities.</w:t>
      </w:r>
    </w:p>
    <w:p w14:paraId="23D1D9DD" w14:textId="77777777" w:rsidR="00837C34" w:rsidRDefault="00837C34" w:rsidP="00837C34"/>
    <w:p w14:paraId="449FAD0E" w14:textId="7E756219" w:rsidR="00837C34" w:rsidRPr="00D543C2" w:rsidRDefault="00837C34" w:rsidP="00837C34">
      <w:r>
        <w:rPr>
          <w:color w:val="000000" w:themeColor="text1"/>
        </w:rPr>
        <w:t xml:space="preserve">Strawberries may be at a </w:t>
      </w:r>
      <w:r w:rsidRPr="008731DF">
        <w:rPr>
          <w:color w:val="000000" w:themeColor="text1"/>
        </w:rPr>
        <w:t xml:space="preserve">greater risk of contamination via direct contact with faeces or </w:t>
      </w:r>
      <w:r>
        <w:rPr>
          <w:color w:val="000000" w:themeColor="text1"/>
        </w:rPr>
        <w:t xml:space="preserve">contaminated </w:t>
      </w:r>
      <w:r w:rsidRPr="008731DF">
        <w:rPr>
          <w:color w:val="000000" w:themeColor="text1"/>
        </w:rPr>
        <w:t>soil</w:t>
      </w:r>
      <w:r>
        <w:rPr>
          <w:color w:val="000000" w:themeColor="text1"/>
        </w:rPr>
        <w:t>,</w:t>
      </w:r>
      <w:r w:rsidRPr="008731DF">
        <w:rPr>
          <w:color w:val="000000" w:themeColor="text1"/>
        </w:rPr>
        <w:t xml:space="preserve"> </w:t>
      </w:r>
      <w:r>
        <w:rPr>
          <w:color w:val="000000" w:themeColor="text1"/>
        </w:rPr>
        <w:t xml:space="preserve">as they grown closer to the ground </w:t>
      </w:r>
      <w:r w:rsidRPr="008731DF">
        <w:rPr>
          <w:color w:val="000000" w:themeColor="text1"/>
        </w:rPr>
        <w:t>compared to blueberries and raspberries. However, indirect contamination such as via wind or water inputs affected by animal incursion or direct contamination from birds, climbing animals, or larger mammals still present a risk to those higher growing commodities.</w:t>
      </w:r>
      <w:r>
        <w:rPr>
          <w:color w:val="000000" w:themeColor="text1"/>
        </w:rPr>
        <w:t xml:space="preserve"> The risk mitigation measures to reduce the contamination of the surface of berries from animal intrusion, soil amendments and irrigation water </w:t>
      </w:r>
      <w:r w:rsidRPr="00C475F2">
        <w:rPr>
          <w:color w:val="000000" w:themeColor="text1"/>
        </w:rPr>
        <w:t xml:space="preserve">outlined </w:t>
      </w:r>
      <w:r>
        <w:rPr>
          <w:color w:val="000000" w:themeColor="text1"/>
          <w:szCs w:val="22"/>
        </w:rPr>
        <w:t>in sections</w:t>
      </w:r>
      <w:r w:rsidRPr="00C475F2">
        <w:rPr>
          <w:color w:val="000000" w:themeColor="text1"/>
        </w:rPr>
        <w:t xml:space="preserve"> </w:t>
      </w:r>
      <w:r>
        <w:rPr>
          <w:color w:val="000000" w:themeColor="text1"/>
        </w:rPr>
        <w:t>9.1.3, 9.5</w:t>
      </w:r>
      <w:r w:rsidRPr="00C475F2">
        <w:rPr>
          <w:color w:val="000000" w:themeColor="text1"/>
          <w:szCs w:val="22"/>
        </w:rPr>
        <w:t>.3</w:t>
      </w:r>
      <w:r w:rsidRPr="00C475F2">
        <w:rPr>
          <w:color w:val="000000" w:themeColor="text1"/>
        </w:rPr>
        <w:t>, and</w:t>
      </w:r>
      <w:r w:rsidRPr="00C475F2">
        <w:rPr>
          <w:color w:val="000000" w:themeColor="text1"/>
          <w:szCs w:val="22"/>
        </w:rPr>
        <w:t xml:space="preserve"> </w:t>
      </w:r>
      <w:r>
        <w:rPr>
          <w:color w:val="000000" w:themeColor="text1"/>
        </w:rPr>
        <w:t>9.6.</w:t>
      </w:r>
      <w:r w:rsidRPr="00C475F2">
        <w:rPr>
          <w:color w:val="000000" w:themeColor="text1"/>
          <w:szCs w:val="22"/>
        </w:rPr>
        <w:t xml:space="preserve">3 </w:t>
      </w:r>
      <w:r w:rsidRPr="00C475F2">
        <w:rPr>
          <w:color w:val="000000" w:themeColor="text1"/>
        </w:rPr>
        <w:t>are pertinent</w:t>
      </w:r>
      <w:r>
        <w:rPr>
          <w:color w:val="000000" w:themeColor="text1"/>
        </w:rPr>
        <w:t xml:space="preserve"> to these commodities.</w:t>
      </w:r>
      <w:r w:rsidRPr="00276BEC">
        <w:rPr>
          <w:color w:val="000000" w:themeColor="text1"/>
        </w:rPr>
        <w:t xml:space="preserve"> </w:t>
      </w:r>
      <w:r>
        <w:rPr>
          <w:color w:val="000000" w:themeColor="text1"/>
        </w:rPr>
        <w:t xml:space="preserve">In addition, </w:t>
      </w:r>
      <w:r w:rsidRPr="00CA3C1C">
        <w:rPr>
          <w:color w:val="000000" w:themeColor="text1"/>
        </w:rPr>
        <w:t xml:space="preserve">Codex </w:t>
      </w:r>
      <w:r>
        <w:rPr>
          <w:color w:val="000000" w:themeColor="text1"/>
        </w:rPr>
        <w:t>recommends</w:t>
      </w:r>
      <w:r w:rsidRPr="00CA3C1C">
        <w:rPr>
          <w:color w:val="000000" w:themeColor="text1"/>
        </w:rPr>
        <w:t xml:space="preserve"> that </w:t>
      </w:r>
      <w:r>
        <w:rPr>
          <w:color w:val="000000" w:themeColor="text1"/>
        </w:rPr>
        <w:t xml:space="preserve">berry </w:t>
      </w:r>
      <w:r w:rsidRPr="00CA3C1C">
        <w:rPr>
          <w:color w:val="000000" w:themeColor="text1"/>
        </w:rPr>
        <w:t>growers use production practices (e.g. site selection, wind breaks) to minimize the contact of berries with airborne contaminants and</w:t>
      </w:r>
      <w:r>
        <w:rPr>
          <w:color w:val="000000" w:themeColor="text1"/>
        </w:rPr>
        <w:t xml:space="preserve"> to limit contact with</w:t>
      </w:r>
      <w:r w:rsidRPr="00CA3C1C">
        <w:rPr>
          <w:color w:val="000000" w:themeColor="text1"/>
        </w:rPr>
        <w:t xml:space="preserve"> soil, animal droppings, soil amendments (including natural fertilizers) or irrigation </w:t>
      </w:r>
      <w:r>
        <w:rPr>
          <w:color w:val="000000" w:themeColor="text1"/>
        </w:rPr>
        <w:t xml:space="preserve">water </w:t>
      </w:r>
      <w:r w:rsidR="00657FDB">
        <w:rPr>
          <w:lang w:bidi="ar-SA"/>
        </w:rPr>
        <w:t>(Codex 2017)</w:t>
      </w:r>
      <w:r>
        <w:rPr>
          <w:lang w:bidi="ar-SA"/>
        </w:rPr>
        <w:t>.</w:t>
      </w:r>
    </w:p>
    <w:p w14:paraId="3CBECDA6" w14:textId="77777777" w:rsidR="00837C34" w:rsidRDefault="00837C34" w:rsidP="00837C34"/>
    <w:p w14:paraId="7EE431CB" w14:textId="00CE15ED" w:rsidR="00837C34" w:rsidRDefault="00837C34" w:rsidP="00837C34">
      <w:r w:rsidRPr="00833F01">
        <w:t>The use of contaminated water for frost protection via overhead sprinklers could transfer pathogens to berries. The risk can be reduced by mitigation</w:t>
      </w:r>
      <w:r w:rsidR="00EF60B9">
        <w:t xml:space="preserve"> measures identified in Section </w:t>
      </w:r>
      <w:r w:rsidRPr="00833F01">
        <w:t xml:space="preserve">9.6.3. Codex </w:t>
      </w:r>
      <w:r w:rsidRPr="00833F01">
        <w:rPr>
          <w:color w:val="000000" w:themeColor="text1"/>
          <w:szCs w:val="22"/>
        </w:rPr>
        <w:t xml:space="preserve">recommends that </w:t>
      </w:r>
      <w:r w:rsidRPr="00833F01">
        <w:rPr>
          <w:szCs w:val="22"/>
        </w:rPr>
        <w:t xml:space="preserve">clean or potable water should be used for berry primary production </w:t>
      </w:r>
      <w:r w:rsidR="00657FDB">
        <w:rPr>
          <w:lang w:bidi="ar-SA"/>
        </w:rPr>
        <w:t>(Codex 2017)</w:t>
      </w:r>
      <w:r w:rsidRPr="00833F01">
        <w:rPr>
          <w:lang w:bidi="ar-SA"/>
        </w:rPr>
        <w:t>.</w:t>
      </w:r>
    </w:p>
    <w:p w14:paraId="13572672" w14:textId="77777777" w:rsidR="00837C34" w:rsidRDefault="00837C34" w:rsidP="00837C34"/>
    <w:p w14:paraId="116A93E5" w14:textId="77777777" w:rsidR="00837C34" w:rsidRPr="00265473" w:rsidRDefault="00837C34" w:rsidP="00837C34">
      <w:r w:rsidRPr="00265473">
        <w:rPr>
          <w:szCs w:val="22"/>
        </w:rPr>
        <w:t>Internalisation of pathogens contaminating soil via the roots to the edible portion of the plant is a</w:t>
      </w:r>
      <w:r>
        <w:rPr>
          <w:szCs w:val="22"/>
        </w:rPr>
        <w:t xml:space="preserve"> potential</w:t>
      </w:r>
      <w:r w:rsidRPr="00265473">
        <w:rPr>
          <w:szCs w:val="22"/>
        </w:rPr>
        <w:t xml:space="preserve"> risk factor that has been identified for </w:t>
      </w:r>
      <w:r>
        <w:rPr>
          <w:szCs w:val="22"/>
        </w:rPr>
        <w:t xml:space="preserve">strawberries. However, the relevance of internalisation in the context of berries during primary production has high uncertainty, as it is not known to what extent viral or bacterial pathogens can persist in the fruit, which is not normally conducive to the growth of bacterial pathogens. The implementation </w:t>
      </w:r>
      <w:r>
        <w:rPr>
          <w:color w:val="000000" w:themeColor="text1"/>
        </w:rPr>
        <w:t>of mitigation measures that reduce contamination of inputs contacting the roots or leaves of plants would reduce the risk of internalisation</w:t>
      </w:r>
      <w:r w:rsidRPr="00276BEC">
        <w:rPr>
          <w:color w:val="000000" w:themeColor="text1"/>
        </w:rPr>
        <w:t>.</w:t>
      </w:r>
    </w:p>
    <w:p w14:paraId="40B87FAC" w14:textId="77777777" w:rsidR="00837C34" w:rsidRDefault="00837C34" w:rsidP="00837C34"/>
    <w:p w14:paraId="0106CE44" w14:textId="77777777" w:rsidR="00837C34" w:rsidRDefault="00837C34" w:rsidP="00837C34">
      <w:r>
        <w:t xml:space="preserve">Hand-picking of berries can increase the risk associated with viral contamination from symptomatic or asymptomatic workers. </w:t>
      </w:r>
      <w:r>
        <w:rPr>
          <w:lang w:bidi="ar-SA"/>
        </w:rPr>
        <w:t xml:space="preserve">NoV and HAV have low infectious doses, and an infected worker can potentially </w:t>
      </w:r>
      <w:r w:rsidRPr="00C475F2">
        <w:rPr>
          <w:lang w:bidi="ar-SA"/>
        </w:rPr>
        <w:t xml:space="preserve">contaminate a large quantity of berries, especially if the berries are excessively handled (see Appendices 6 and 8). </w:t>
      </w:r>
      <w:r w:rsidRPr="00C475F2">
        <w:t>However, there is a paucity of evidence on food handler contamination of berries in the primary production and processing environment in Australia, leading to a high degree of uncertainty</w:t>
      </w:r>
      <w:r>
        <w:t xml:space="preserve"> in the level of risk posed.</w:t>
      </w:r>
    </w:p>
    <w:p w14:paraId="7D23C5F0" w14:textId="77777777" w:rsidR="00837C34" w:rsidRDefault="00837C34" w:rsidP="00837C34"/>
    <w:p w14:paraId="606D9414" w14:textId="2B069F1C" w:rsidR="00837C34" w:rsidRDefault="00837C34" w:rsidP="00837C34">
      <w:pPr>
        <w:rPr>
          <w:color w:val="000000" w:themeColor="text1"/>
        </w:rPr>
      </w:pPr>
      <w:r w:rsidRPr="00C475F2">
        <w:rPr>
          <w:color w:val="000000" w:themeColor="text1"/>
        </w:rPr>
        <w:t xml:space="preserve">General recommendations regarding the handling of berries at harvest are provided in Section 10.3. </w:t>
      </w:r>
      <w:r w:rsidRPr="00C475F2">
        <w:t xml:space="preserve">Codex </w:t>
      </w:r>
      <w:r w:rsidRPr="00C475F2">
        <w:rPr>
          <w:lang w:bidi="ar-SA"/>
        </w:rPr>
        <w:t>specifically recommends minimising handling and sorting (e.g</w:t>
      </w:r>
      <w:r w:rsidR="00531D32">
        <w:rPr>
          <w:lang w:bidi="ar-SA"/>
        </w:rPr>
        <w:t>.</w:t>
      </w:r>
      <w:r w:rsidRPr="00C475F2">
        <w:rPr>
          <w:lang w:bidi="ar-SA"/>
        </w:rPr>
        <w:t xml:space="preserve"> by field packing fresh berries in consumer</w:t>
      </w:r>
      <w:r>
        <w:rPr>
          <w:lang w:bidi="ar-SA"/>
        </w:rPr>
        <w:t xml:space="preserve"> ready containers); and worker training in</w:t>
      </w:r>
      <w:r w:rsidRPr="00AE0C58">
        <w:rPr>
          <w:lang w:bidi="ar-SA"/>
        </w:rPr>
        <w:t xml:space="preserve"> goo</w:t>
      </w:r>
      <w:r>
        <w:rPr>
          <w:lang w:bidi="ar-SA"/>
        </w:rPr>
        <w:t>d hygienic practices during pre-</w:t>
      </w:r>
      <w:r w:rsidRPr="00AE0C58">
        <w:rPr>
          <w:lang w:bidi="ar-SA"/>
        </w:rPr>
        <w:t xml:space="preserve">harvest, harvest and </w:t>
      </w:r>
      <w:r>
        <w:rPr>
          <w:lang w:bidi="ar-SA"/>
        </w:rPr>
        <w:t xml:space="preserve">postharvest activities, including </w:t>
      </w:r>
      <w:r w:rsidRPr="0090112E">
        <w:rPr>
          <w:color w:val="000000" w:themeColor="text1"/>
        </w:rPr>
        <w:t xml:space="preserve">transport and storage </w:t>
      </w:r>
      <w:r w:rsidR="00657FDB">
        <w:rPr>
          <w:lang w:bidi="ar-SA"/>
        </w:rPr>
        <w:t>(Codex 2017)</w:t>
      </w:r>
      <w:r>
        <w:rPr>
          <w:lang w:bidi="ar-SA"/>
        </w:rPr>
        <w:t xml:space="preserve">. In addition, </w:t>
      </w:r>
      <w:r>
        <w:rPr>
          <w:color w:val="000000" w:themeColor="text1"/>
        </w:rPr>
        <w:t>Codex recommends a harvest supervisor is appointed at all times; b</w:t>
      </w:r>
      <w:r w:rsidRPr="0090112E">
        <w:rPr>
          <w:color w:val="000000" w:themeColor="text1"/>
        </w:rPr>
        <w:t xml:space="preserve">erries on the ground should </w:t>
      </w:r>
      <w:r>
        <w:rPr>
          <w:color w:val="000000" w:themeColor="text1"/>
        </w:rPr>
        <w:t xml:space="preserve">not be harvested </w:t>
      </w:r>
      <w:r w:rsidRPr="0090112E">
        <w:rPr>
          <w:color w:val="000000" w:themeColor="text1"/>
        </w:rPr>
        <w:t>u</w:t>
      </w:r>
      <w:r w:rsidR="00531D32">
        <w:rPr>
          <w:color w:val="000000" w:themeColor="text1"/>
        </w:rPr>
        <w:t>nless they are processed with a</w:t>
      </w:r>
      <w:r>
        <w:rPr>
          <w:color w:val="000000" w:themeColor="text1"/>
        </w:rPr>
        <w:t xml:space="preserve"> microbiological inactivation step; and immediate </w:t>
      </w:r>
      <w:r w:rsidRPr="0090112E">
        <w:rPr>
          <w:color w:val="000000" w:themeColor="text1"/>
        </w:rPr>
        <w:t>cool</w:t>
      </w:r>
      <w:r>
        <w:rPr>
          <w:color w:val="000000" w:themeColor="text1"/>
        </w:rPr>
        <w:t>ing of</w:t>
      </w:r>
      <w:r w:rsidRPr="0090112E">
        <w:rPr>
          <w:color w:val="000000" w:themeColor="text1"/>
        </w:rPr>
        <w:t xml:space="preserve"> berries after harvesting</w:t>
      </w:r>
      <w:r>
        <w:rPr>
          <w:color w:val="000000" w:themeColor="text1"/>
        </w:rPr>
        <w:t xml:space="preserve"> and through distribution</w:t>
      </w:r>
      <w:r w:rsidRPr="0090112E">
        <w:rPr>
          <w:color w:val="000000" w:themeColor="text1"/>
        </w:rPr>
        <w:t xml:space="preserve">. </w:t>
      </w:r>
      <w:r>
        <w:rPr>
          <w:color w:val="000000" w:themeColor="text1"/>
        </w:rPr>
        <w:t>If pre</w:t>
      </w:r>
      <w:r>
        <w:rPr>
          <w:color w:val="000000" w:themeColor="text1"/>
        </w:rPr>
        <w:noBreakHyphen/>
        <w:t>cooling is undertaken,</w:t>
      </w:r>
      <w:r w:rsidRPr="0090112E">
        <w:rPr>
          <w:color w:val="000000" w:themeColor="text1"/>
        </w:rPr>
        <w:t xml:space="preserve"> potable </w:t>
      </w:r>
      <w:r>
        <w:rPr>
          <w:color w:val="000000" w:themeColor="text1"/>
        </w:rPr>
        <w:t>water is recommended for ice and hydro-coolers.</w:t>
      </w:r>
    </w:p>
    <w:p w14:paraId="63EC2774" w14:textId="3EEA5B51" w:rsidR="00F57E1E" w:rsidRDefault="00F57E1E" w:rsidP="00F57E1E">
      <w:r>
        <w:br w:type="page"/>
      </w:r>
    </w:p>
    <w:p w14:paraId="1686EB63" w14:textId="77777777" w:rsidR="00492EF7" w:rsidRPr="00AB2EB7" w:rsidRDefault="00837C34" w:rsidP="00787E56">
      <w:pPr>
        <w:pStyle w:val="Heading3"/>
        <w:numPr>
          <w:ilvl w:val="2"/>
          <w:numId w:val="11"/>
        </w:numPr>
      </w:pPr>
      <w:bookmarkStart w:id="459" w:name="_Toc58327837"/>
      <w:bookmarkStart w:id="460" w:name="_Toc58334017"/>
      <w:bookmarkStart w:id="461" w:name="_Toc64448822"/>
      <w:bookmarkStart w:id="462" w:name="_Toc87860083"/>
      <w:r w:rsidRPr="00E90534">
        <w:t>Melons</w:t>
      </w:r>
      <w:bookmarkEnd w:id="459"/>
      <w:bookmarkEnd w:id="460"/>
      <w:bookmarkEnd w:id="461"/>
      <w:bookmarkEnd w:id="462"/>
    </w:p>
    <w:p w14:paraId="54C88A49" w14:textId="19DB8B97" w:rsidR="00837C34" w:rsidRPr="00473E65" w:rsidRDefault="00837C34" w:rsidP="00492EF7">
      <w:r>
        <w:t>Melons have a slightly lower</w:t>
      </w:r>
      <w:r w:rsidRPr="00440FA0">
        <w:t xml:space="preserve"> reported consumption </w:t>
      </w:r>
      <w:r>
        <w:t xml:space="preserve">across all age groups than leafy vegetables and berries in Australia </w:t>
      </w:r>
      <w:r w:rsidRPr="00E94E01">
        <w:t>(see Section 6 and Appendix 4)</w:t>
      </w:r>
      <w:r>
        <w:t xml:space="preserve">. However, the mean serving size of melons was much larger (approximately 200 g/day) compared to leafy vegetables (approximately 25 g/day) or berries (approximately 75 g/day) consumed raw. As with leafy vegetables and berries, there are very limited data regarding the prevalence or </w:t>
      </w:r>
      <w:r w:rsidRPr="009B32BC">
        <w:t>levels of pathogens on rockmelons</w:t>
      </w:r>
      <w:r>
        <w:t xml:space="preserve"> or watermelons during primary production, particularly in Australia. In general, the prevalence of pathogens in the Australian melon primary production environment is assumed to be low. However, outbreaks of foodborne illness in Australia and internationally have been linked to the melon primary production environment. Contamination </w:t>
      </w:r>
      <w:r>
        <w:rPr>
          <w:lang w:eastAsia="en-AU" w:bidi="ar-SA"/>
        </w:rPr>
        <w:t>can occur</w:t>
      </w:r>
      <w:r w:rsidRPr="007D6B6B">
        <w:rPr>
          <w:lang w:eastAsia="en-AU" w:bidi="ar-SA"/>
        </w:rPr>
        <w:t xml:space="preserve"> sporadic</w:t>
      </w:r>
      <w:r>
        <w:rPr>
          <w:lang w:eastAsia="en-AU" w:bidi="ar-SA"/>
        </w:rPr>
        <w:t>ally—</w:t>
      </w:r>
      <w:r w:rsidRPr="007D6B6B">
        <w:rPr>
          <w:lang w:eastAsia="en-AU" w:bidi="ar-SA"/>
        </w:rPr>
        <w:t xml:space="preserve">with pathogens </w:t>
      </w:r>
      <w:r>
        <w:rPr>
          <w:lang w:eastAsia="en-AU" w:bidi="ar-SA"/>
        </w:rPr>
        <w:t>present</w:t>
      </w:r>
      <w:r w:rsidRPr="007D6B6B">
        <w:rPr>
          <w:lang w:eastAsia="en-AU" w:bidi="ar-SA"/>
        </w:rPr>
        <w:t xml:space="preserve"> </w:t>
      </w:r>
      <w:r>
        <w:rPr>
          <w:lang w:eastAsia="en-AU" w:bidi="ar-SA"/>
        </w:rPr>
        <w:t xml:space="preserve">transiently and </w:t>
      </w:r>
      <w:r w:rsidRPr="007D6B6B">
        <w:rPr>
          <w:lang w:eastAsia="en-AU" w:bidi="ar-SA"/>
        </w:rPr>
        <w:t xml:space="preserve">heterogeneously in </w:t>
      </w:r>
      <w:r>
        <w:rPr>
          <w:lang w:eastAsia="en-AU" w:bidi="ar-SA"/>
        </w:rPr>
        <w:t>the environment—</w:t>
      </w:r>
      <w:r w:rsidRPr="007D6B6B">
        <w:rPr>
          <w:lang w:eastAsia="en-AU" w:bidi="ar-SA"/>
        </w:rPr>
        <w:t>leading to difficulties in detection.</w:t>
      </w:r>
      <w:r>
        <w:rPr>
          <w:lang w:eastAsia="en-AU" w:bidi="ar-SA"/>
        </w:rPr>
        <w:t xml:space="preserve"> Moreover, melons have characteristics that may predispose them to a higher risk of contamination that require additional risk mitigation during primary production.</w:t>
      </w:r>
    </w:p>
    <w:p w14:paraId="2C6E023D" w14:textId="77777777" w:rsidR="00837C34" w:rsidRDefault="00837C34" w:rsidP="00837C34">
      <w:pPr>
        <w:rPr>
          <w:color w:val="000000" w:themeColor="text1"/>
        </w:rPr>
      </w:pPr>
    </w:p>
    <w:p w14:paraId="1358B155" w14:textId="5A6C268A" w:rsidR="00837C34" w:rsidRPr="00107A84" w:rsidRDefault="00837C34" w:rsidP="00837C34">
      <w:pPr>
        <w:rPr>
          <w:color w:val="000000" w:themeColor="text1"/>
        </w:rPr>
      </w:pPr>
      <w:r>
        <w:rPr>
          <w:color w:val="000000" w:themeColor="text1"/>
        </w:rPr>
        <w:t xml:space="preserve">The rougher surface of rockmelons may </w:t>
      </w:r>
      <w:r w:rsidRPr="00276BEC">
        <w:rPr>
          <w:color w:val="000000" w:themeColor="text1"/>
        </w:rPr>
        <w:t xml:space="preserve">provide enhanced attachment and protection </w:t>
      </w:r>
      <w:r>
        <w:rPr>
          <w:color w:val="000000" w:themeColor="text1"/>
        </w:rPr>
        <w:t xml:space="preserve">for pathogens </w:t>
      </w:r>
      <w:r w:rsidRPr="00276BEC">
        <w:rPr>
          <w:color w:val="000000" w:themeColor="text1"/>
        </w:rPr>
        <w:t>from subsequent wa</w:t>
      </w:r>
      <w:r>
        <w:rPr>
          <w:color w:val="000000" w:themeColor="text1"/>
        </w:rPr>
        <w:t>shing and sanitising compared to smoother surfaced watermelons. However, watermelons are still susceptible to surface contamination, and the adhesion of pathogens to the surface has been demonstrated. Melons</w:t>
      </w:r>
      <w:r w:rsidRPr="008731DF">
        <w:rPr>
          <w:color w:val="000000" w:themeColor="text1"/>
        </w:rPr>
        <w:t xml:space="preserve"> may be at a greater risk of contamination via direct contact with faeces</w:t>
      </w:r>
      <w:r>
        <w:rPr>
          <w:color w:val="000000" w:themeColor="text1"/>
        </w:rPr>
        <w:t>,</w:t>
      </w:r>
      <w:r w:rsidRPr="008731DF">
        <w:rPr>
          <w:color w:val="000000" w:themeColor="text1"/>
        </w:rPr>
        <w:t xml:space="preserve"> or soil affected by faeces</w:t>
      </w:r>
      <w:r>
        <w:rPr>
          <w:color w:val="000000" w:themeColor="text1"/>
        </w:rPr>
        <w:t>,</w:t>
      </w:r>
      <w:r w:rsidRPr="008731DF">
        <w:rPr>
          <w:color w:val="000000" w:themeColor="text1"/>
        </w:rPr>
        <w:t xml:space="preserve"> </w:t>
      </w:r>
      <w:r>
        <w:rPr>
          <w:color w:val="000000" w:themeColor="text1"/>
        </w:rPr>
        <w:t>due to their proximity to the grown when grown in the field</w:t>
      </w:r>
      <w:r w:rsidRPr="008731DF">
        <w:rPr>
          <w:color w:val="000000" w:themeColor="text1"/>
        </w:rPr>
        <w:t xml:space="preserve">. </w:t>
      </w:r>
      <w:r>
        <w:rPr>
          <w:color w:val="000000" w:themeColor="text1"/>
        </w:rPr>
        <w:t xml:space="preserve">Therefore, reduction of contamination of the surface of melons—from animal intrusion or application of contaminated soil amendments or irrigation water—is relevant to all melons, particularly those with rougher surfaces (see </w:t>
      </w:r>
      <w:r w:rsidRPr="009B32BC">
        <w:rPr>
          <w:color w:val="000000" w:themeColor="text1"/>
          <w:szCs w:val="22"/>
        </w:rPr>
        <w:t xml:space="preserve">sections </w:t>
      </w:r>
      <w:r>
        <w:rPr>
          <w:color w:val="000000" w:themeColor="text1"/>
        </w:rPr>
        <w:t>9.1.3, 9.5</w:t>
      </w:r>
      <w:r w:rsidRPr="009B32BC">
        <w:rPr>
          <w:color w:val="000000" w:themeColor="text1"/>
          <w:szCs w:val="22"/>
        </w:rPr>
        <w:t>.3</w:t>
      </w:r>
      <w:r w:rsidRPr="009B32BC">
        <w:rPr>
          <w:color w:val="000000" w:themeColor="text1"/>
        </w:rPr>
        <w:t>, and</w:t>
      </w:r>
      <w:r w:rsidRPr="009B32BC">
        <w:rPr>
          <w:color w:val="000000" w:themeColor="text1"/>
          <w:szCs w:val="22"/>
        </w:rPr>
        <w:t xml:space="preserve"> </w:t>
      </w:r>
      <w:r>
        <w:rPr>
          <w:color w:val="000000" w:themeColor="text1"/>
        </w:rPr>
        <w:t>9.6.</w:t>
      </w:r>
      <w:r w:rsidRPr="009B32BC">
        <w:rPr>
          <w:color w:val="000000" w:themeColor="text1"/>
          <w:szCs w:val="22"/>
        </w:rPr>
        <w:t>3</w:t>
      </w:r>
      <w:r>
        <w:rPr>
          <w:color w:val="000000" w:themeColor="text1"/>
          <w:szCs w:val="22"/>
        </w:rPr>
        <w:t>)</w:t>
      </w:r>
      <w:r>
        <w:rPr>
          <w:color w:val="000000" w:themeColor="text1"/>
        </w:rPr>
        <w:t xml:space="preserve">. </w:t>
      </w:r>
      <w:r>
        <w:rPr>
          <w:lang w:bidi="ar-SA"/>
        </w:rPr>
        <w:t xml:space="preserve">Codex also recommends </w:t>
      </w:r>
      <w:r w:rsidRPr="00B73F10">
        <w:rPr>
          <w:lang w:bidi="ar-SA"/>
        </w:rPr>
        <w:t>prevent</w:t>
      </w:r>
      <w:r>
        <w:rPr>
          <w:lang w:bidi="ar-SA"/>
        </w:rPr>
        <w:t>ing</w:t>
      </w:r>
      <w:r w:rsidRPr="00B73F10">
        <w:rPr>
          <w:lang w:bidi="ar-SA"/>
        </w:rPr>
        <w:t xml:space="preserve"> or m</w:t>
      </w:r>
      <w:r>
        <w:rPr>
          <w:lang w:bidi="ar-SA"/>
        </w:rPr>
        <w:t xml:space="preserve">inimising contact between melons and soil, soil amendments, and </w:t>
      </w:r>
      <w:r w:rsidRPr="00CA3C1C">
        <w:rPr>
          <w:lang w:bidi="ar-SA"/>
        </w:rPr>
        <w:t>irrigation water</w:t>
      </w:r>
      <w:r>
        <w:rPr>
          <w:lang w:bidi="ar-SA"/>
        </w:rPr>
        <w:t xml:space="preserve">—including avoiding overhead irrigation, particularly for netted rind melons. Subsurface or drip irrigation presents the least risk of contaminating melon surfaces, but pooling water should be avoided </w:t>
      </w:r>
      <w:r w:rsidR="00657FDB">
        <w:rPr>
          <w:lang w:bidi="ar-SA"/>
        </w:rPr>
        <w:t>(Codex 2017)</w:t>
      </w:r>
      <w:r>
        <w:rPr>
          <w:lang w:bidi="ar-SA"/>
        </w:rPr>
        <w:t>.</w:t>
      </w:r>
    </w:p>
    <w:p w14:paraId="4C97D52E" w14:textId="77777777" w:rsidR="00837C34" w:rsidRDefault="00837C34" w:rsidP="00837C34"/>
    <w:p w14:paraId="77DA349A" w14:textId="77777777" w:rsidR="00837C34" w:rsidRDefault="00837C34" w:rsidP="00837C34">
      <w:r>
        <w:t>Watermelons may present an increased risk</w:t>
      </w:r>
      <w:r w:rsidRPr="00E22A32">
        <w:t xml:space="preserve"> compared to those </w:t>
      </w:r>
      <w:r>
        <w:t xml:space="preserve">commodities </w:t>
      </w:r>
      <w:r w:rsidRPr="00E22A32">
        <w:t>that are subsequently washed and sanitised under optimised conditions</w:t>
      </w:r>
      <w:r>
        <w:t>. The level of risk from un</w:t>
      </w:r>
      <w:r>
        <w:noBreakHyphen/>
        <w:t>sanitised watermelons will be dependent on the prevalence of pathogens entering the primary production system and the steps taken during primary production to reduce contamination</w:t>
      </w:r>
      <w:r>
        <w:rPr>
          <w:color w:val="000000" w:themeColor="text1"/>
        </w:rPr>
        <w:t xml:space="preserve">. </w:t>
      </w:r>
      <w:r>
        <w:t>While postharvest washing with sanitisers might reduce the risk for watermelons, studies on its efficacy are lacking.</w:t>
      </w:r>
    </w:p>
    <w:p w14:paraId="0920F18F" w14:textId="77777777" w:rsidR="00837C34" w:rsidRDefault="00837C34" w:rsidP="00837C34"/>
    <w:p w14:paraId="4FDFA6EE" w14:textId="399941D3" w:rsidR="00837C34" w:rsidRDefault="00837C34" w:rsidP="00837C34">
      <w:pPr>
        <w:rPr>
          <w:lang w:bidi="ar-SA"/>
        </w:rPr>
      </w:pPr>
      <w:r>
        <w:t>S</w:t>
      </w:r>
      <w:r w:rsidRPr="001E7639">
        <w:t xml:space="preserve">tem scars may provide a route </w:t>
      </w:r>
      <w:r>
        <w:t>of entry of food</w:t>
      </w:r>
      <w:r w:rsidRPr="001E7639">
        <w:t>borne pathogens, if present,</w:t>
      </w:r>
      <w:r>
        <w:t xml:space="preserve"> into the edible portion of </w:t>
      </w:r>
      <w:r w:rsidRPr="001E7639">
        <w:t>melon</w:t>
      </w:r>
      <w:r>
        <w:t>s</w:t>
      </w:r>
      <w:r w:rsidRPr="001E7639">
        <w:t xml:space="preserve">. </w:t>
      </w:r>
      <w:r>
        <w:t xml:space="preserve">Codex recommends implementation of appropriate </w:t>
      </w:r>
      <w:r w:rsidRPr="001E7639">
        <w:t xml:space="preserve">handling practices </w:t>
      </w:r>
      <w:r>
        <w:t>to minimis</w:t>
      </w:r>
      <w:r w:rsidRPr="001E7639">
        <w:t xml:space="preserve">e stem scar and rind infiltration of pathogens into the edible portions of melon flesh, </w:t>
      </w:r>
      <w:r>
        <w:t>including</w:t>
      </w:r>
      <w:r w:rsidRPr="001E7639">
        <w:t xml:space="preserve"> during washing operations</w:t>
      </w:r>
      <w:r>
        <w:t>,</w:t>
      </w:r>
      <w:r w:rsidRPr="004A7540">
        <w:t xml:space="preserve"> </w:t>
      </w:r>
      <w:r w:rsidRPr="001E7639">
        <w:t>storage and transport. The length and temperature of</w:t>
      </w:r>
      <w:r>
        <w:t xml:space="preserve"> </w:t>
      </w:r>
      <w:r w:rsidRPr="001E7639">
        <w:t>storage of melons should be determined depending on the stage of maturity of the melons at harvest</w:t>
      </w:r>
      <w:r>
        <w:t xml:space="preserve"> </w:t>
      </w:r>
      <w:r w:rsidR="00657FDB">
        <w:rPr>
          <w:lang w:bidi="ar-SA"/>
        </w:rPr>
        <w:t>(Codex 2017)</w:t>
      </w:r>
      <w:r>
        <w:rPr>
          <w:lang w:bidi="ar-SA"/>
        </w:rPr>
        <w:t>.</w:t>
      </w:r>
    </w:p>
    <w:p w14:paraId="5213EA34" w14:textId="77777777" w:rsidR="00837C34" w:rsidRDefault="00837C34" w:rsidP="00837C34"/>
    <w:p w14:paraId="610C9C63" w14:textId="717024B7" w:rsidR="00837C34" w:rsidRDefault="00837C34" w:rsidP="00837C34">
      <w:pPr>
        <w:rPr>
          <w:color w:val="000000" w:themeColor="text1"/>
        </w:rPr>
      </w:pPr>
      <w:r w:rsidRPr="001E7639">
        <w:rPr>
          <w:color w:val="000000" w:themeColor="text1"/>
        </w:rPr>
        <w:t xml:space="preserve">There is the potential for internalisation of pathogens into </w:t>
      </w:r>
      <w:r>
        <w:rPr>
          <w:color w:val="000000" w:themeColor="text1"/>
        </w:rPr>
        <w:t>rockmelons</w:t>
      </w:r>
      <w:r w:rsidRPr="001E7639">
        <w:rPr>
          <w:color w:val="000000" w:themeColor="text1"/>
        </w:rPr>
        <w:t xml:space="preserve"> during washing.</w:t>
      </w:r>
      <w:r w:rsidRPr="001353D5">
        <w:rPr>
          <w:color w:val="000000" w:themeColor="text1"/>
        </w:rPr>
        <w:t xml:space="preserve"> </w:t>
      </w:r>
      <w:r w:rsidRPr="001353D5">
        <w:rPr>
          <w:i/>
          <w:color w:val="000000" w:themeColor="text1"/>
        </w:rPr>
        <w:t>L. monocytogenes</w:t>
      </w:r>
      <w:r w:rsidRPr="001353D5">
        <w:rPr>
          <w:color w:val="000000" w:themeColor="text1"/>
        </w:rPr>
        <w:t xml:space="preserve"> has been shown to internalise into whole rockmelons via dump tank wash water with and without a temperature differential, though internalisation was slightly enhanced with a temperature differential between warmer fruit and cooler water. Although the evidence of internalisation is limited, pre-cooling of melons before washing and sanitising may reduce the likelihood of internalisation, and will also limit the potential for growth of pathogens during storage before processing. </w:t>
      </w:r>
      <w:r>
        <w:rPr>
          <w:color w:val="000000" w:themeColor="text1"/>
        </w:rPr>
        <w:t>T</w:t>
      </w:r>
      <w:r w:rsidRPr="001E7639">
        <w:rPr>
          <w:color w:val="000000" w:themeColor="text1"/>
        </w:rPr>
        <w:t>o m</w:t>
      </w:r>
      <w:r>
        <w:rPr>
          <w:color w:val="000000" w:themeColor="text1"/>
        </w:rPr>
        <w:t>inimis</w:t>
      </w:r>
      <w:r w:rsidRPr="001E7639">
        <w:rPr>
          <w:color w:val="000000" w:themeColor="text1"/>
        </w:rPr>
        <w:t xml:space="preserve">e </w:t>
      </w:r>
      <w:r>
        <w:rPr>
          <w:color w:val="000000" w:themeColor="text1"/>
        </w:rPr>
        <w:t xml:space="preserve">the risk of water infiltration, Codex recommends that dump tank water temperature should be </w:t>
      </w:r>
      <w:r w:rsidRPr="001E7639">
        <w:rPr>
          <w:color w:val="000000" w:themeColor="text1"/>
        </w:rPr>
        <w:t>highe</w:t>
      </w:r>
      <w:r>
        <w:rPr>
          <w:color w:val="000000" w:themeColor="text1"/>
        </w:rPr>
        <w:t>r than the internal temperature</w:t>
      </w:r>
      <w:r w:rsidRPr="001E7639">
        <w:rPr>
          <w:color w:val="000000" w:themeColor="text1"/>
        </w:rPr>
        <w:t xml:space="preserve"> of melons</w:t>
      </w:r>
      <w:r>
        <w:rPr>
          <w:color w:val="000000" w:themeColor="text1"/>
        </w:rPr>
        <w:t>; t</w:t>
      </w:r>
      <w:r w:rsidRPr="001E7639">
        <w:rPr>
          <w:color w:val="000000" w:themeColor="text1"/>
        </w:rPr>
        <w:t>he full submersion of melons in colder dump tank water should be minimized or avoided</w:t>
      </w:r>
      <w:r>
        <w:rPr>
          <w:color w:val="000000" w:themeColor="text1"/>
        </w:rPr>
        <w:t xml:space="preserve">; and the </w:t>
      </w:r>
      <w:r w:rsidRPr="001E7639">
        <w:rPr>
          <w:color w:val="000000" w:themeColor="text1"/>
        </w:rPr>
        <w:t xml:space="preserve">time melons remain in dump </w:t>
      </w:r>
      <w:r>
        <w:rPr>
          <w:color w:val="000000" w:themeColor="text1"/>
        </w:rPr>
        <w:t xml:space="preserve">tank water should be minimised </w:t>
      </w:r>
      <w:r w:rsidR="00657FDB">
        <w:rPr>
          <w:color w:val="000000" w:themeColor="text1"/>
        </w:rPr>
        <w:t>(Codex 2017)</w:t>
      </w:r>
      <w:r>
        <w:rPr>
          <w:color w:val="000000" w:themeColor="text1"/>
        </w:rPr>
        <w:t>.</w:t>
      </w:r>
    </w:p>
    <w:p w14:paraId="7A6B6FC9" w14:textId="77777777" w:rsidR="00837C34" w:rsidRPr="00551FDA" w:rsidRDefault="00837C34" w:rsidP="00837C34">
      <w:pPr>
        <w:rPr>
          <w:rFonts w:cs="Arial"/>
          <w:color w:val="000000" w:themeColor="text1"/>
          <w:lang w:val="en-AU" w:eastAsia="en-GB"/>
        </w:rPr>
      </w:pPr>
      <w:r w:rsidRPr="00F5418E">
        <w:t xml:space="preserve">The use of sanitisers in wash water can provide modest reductions of pathogen levels on the surface of melons. </w:t>
      </w:r>
      <w:r>
        <w:rPr>
          <w:color w:val="000000" w:themeColor="text1"/>
        </w:rPr>
        <w:t>The efficacy of sanitisers in removing</w:t>
      </w:r>
      <w:r w:rsidRPr="00F5418E">
        <w:rPr>
          <w:color w:val="000000" w:themeColor="text1"/>
        </w:rPr>
        <w:t xml:space="preserve"> pathogens from the rougher surface</w:t>
      </w:r>
      <w:r>
        <w:rPr>
          <w:color w:val="000000" w:themeColor="text1"/>
        </w:rPr>
        <w:t xml:space="preserve"> of rockmelons may be reduced</w:t>
      </w:r>
      <w:r w:rsidRPr="00F5418E">
        <w:rPr>
          <w:color w:val="000000" w:themeColor="text1"/>
        </w:rPr>
        <w:t xml:space="preserve"> </w:t>
      </w:r>
      <w:r>
        <w:rPr>
          <w:color w:val="000000" w:themeColor="text1"/>
        </w:rPr>
        <w:t xml:space="preserve">compared to </w:t>
      </w:r>
      <w:r w:rsidRPr="00F5418E">
        <w:rPr>
          <w:color w:val="000000" w:themeColor="text1"/>
        </w:rPr>
        <w:t xml:space="preserve">produce with smoother surfaces. Hence, the proper application and monitoring of disinfectants and sanitisers is of particular importance to reducing the risk for rockmelons. </w:t>
      </w:r>
      <w:r w:rsidRPr="00F5418E">
        <w:rPr>
          <w:rFonts w:cs="Arial"/>
          <w:color w:val="000000" w:themeColor="text1"/>
          <w:lang w:val="en-AU" w:eastAsia="en-GB"/>
        </w:rPr>
        <w:t>Specific mitigations additional to those provided in Section 11.4.3 were not identified for melons</w:t>
      </w:r>
      <w:r w:rsidRPr="00F5418E">
        <w:t>.</w:t>
      </w:r>
    </w:p>
    <w:p w14:paraId="06AC5946" w14:textId="77777777" w:rsidR="00837C34" w:rsidRPr="001E7639" w:rsidRDefault="00837C34" w:rsidP="00837C34">
      <w:pPr>
        <w:rPr>
          <w:color w:val="000000" w:themeColor="text1"/>
        </w:rPr>
      </w:pPr>
    </w:p>
    <w:p w14:paraId="1CE99199" w14:textId="29A58D89" w:rsidR="00837C34" w:rsidRDefault="00837C34" w:rsidP="00837C34">
      <w:pPr>
        <w:rPr>
          <w:sz w:val="36"/>
          <w:szCs w:val="28"/>
          <w:highlight w:val="lightGray"/>
          <w:lang w:bidi="ar-SA"/>
        </w:rPr>
      </w:pPr>
      <w:r>
        <w:t xml:space="preserve">Rockmelons have been demonstrated to support the growth of bacterial pathogens both on the rind and on the flesh. No evidence for the growth of bacterial pathogens on the rind of watermelons were identified. The flesh of watermelons and rockmelons support the growth of bacterial pathogens. Temperature control after harvest can reduce the potential for internalisation during washing and sanitising and prevent or slow the growth of pathogens on the flesh or on the rind of melons. Forced-air cooling can reduce the risk of water infiltrating into the melon, but may also spread contamination if equipment is not cleaned and disinfected regularly </w:t>
      </w:r>
      <w:r w:rsidR="00657FDB">
        <w:t>(Codex 2017)</w:t>
      </w:r>
      <w:r>
        <w:t>.</w:t>
      </w:r>
      <w:r>
        <w:rPr>
          <w:highlight w:val="lightGray"/>
        </w:rPr>
        <w:br w:type="page"/>
      </w:r>
    </w:p>
    <w:p w14:paraId="14ABF608" w14:textId="77777777" w:rsidR="00492EF7" w:rsidRPr="00FE3604" w:rsidRDefault="00837C34" w:rsidP="00492EF7">
      <w:pPr>
        <w:pStyle w:val="Heading1"/>
        <w:numPr>
          <w:ilvl w:val="0"/>
          <w:numId w:val="11"/>
        </w:numPr>
        <w:ind w:right="454"/>
      </w:pPr>
      <w:bookmarkStart w:id="463" w:name="_Toc58327838"/>
      <w:bookmarkStart w:id="464" w:name="_Toc58334018"/>
      <w:bookmarkStart w:id="465" w:name="_Toc64448823"/>
      <w:bookmarkStart w:id="466" w:name="_Toc87860084"/>
      <w:r>
        <w:t>Limitations</w:t>
      </w:r>
      <w:bookmarkEnd w:id="463"/>
      <w:bookmarkEnd w:id="464"/>
      <w:bookmarkEnd w:id="465"/>
      <w:bookmarkEnd w:id="466"/>
    </w:p>
    <w:p w14:paraId="140B7EFA" w14:textId="208E785B" w:rsidR="00837C34" w:rsidRDefault="00837C34" w:rsidP="00492EF7">
      <w:pPr>
        <w:rPr>
          <w:lang w:val="en-AU"/>
        </w:rPr>
      </w:pPr>
      <w:r w:rsidRPr="00527354">
        <w:rPr>
          <w:lang w:val="en-AU"/>
        </w:rPr>
        <w:t>The qualitative nature of the assessment and scope mean</w:t>
      </w:r>
      <w:r>
        <w:rPr>
          <w:lang w:val="en-AU"/>
        </w:rPr>
        <w:t>t it wa</w:t>
      </w:r>
      <w:r w:rsidRPr="00527354">
        <w:rPr>
          <w:lang w:val="en-AU"/>
        </w:rPr>
        <w:t>s not possible to provide comparative estimates of risk (likelihood and the severity of consequences) for the large number of individual risk factors, pathogens, and commodity combinations that were con</w:t>
      </w:r>
      <w:r>
        <w:rPr>
          <w:lang w:val="en-AU"/>
        </w:rPr>
        <w:t>sidered in this assessment. There is a paucity of Australian data regarding the concentration or prevalence of pathogens associated with the risk factors and the commodities throughout primary production and primary processing that would be required for a quantitative assessment.</w:t>
      </w:r>
    </w:p>
    <w:p w14:paraId="1812F8C4" w14:textId="77777777" w:rsidR="00837C34" w:rsidRDefault="00837C34" w:rsidP="00837C34"/>
    <w:p w14:paraId="2ADE36AB" w14:textId="77777777" w:rsidR="00837C34" w:rsidRDefault="00837C34" w:rsidP="00837C34">
      <w:r>
        <w:t>There are limitations to the literature review process that identified the publications that were reviewed as evidence and the basis of conclusions for this assessment. The literature search used defined search strings using</w:t>
      </w:r>
      <w:r w:rsidRPr="002C10BF">
        <w:t xml:space="preserve"> </w:t>
      </w:r>
      <w:r>
        <w:t>logical tests (‘Boolean operators’) that were defined by the risk assessment team to search bibliographic databases. The literature compiled for previous assessments by FSANZ were also considered. However, it is possible that some authoritative documents may not have been identified if these publications were not in the databases searched or did not match with the search strings. Furthermore, relevant publications in languages other than English may not have not been identified or included.</w:t>
      </w:r>
    </w:p>
    <w:p w14:paraId="29E41231" w14:textId="77777777" w:rsidR="00837C34" w:rsidRDefault="00837C34" w:rsidP="00837C34"/>
    <w:p w14:paraId="2D9AB400" w14:textId="77777777" w:rsidR="00837C34" w:rsidRDefault="00837C34" w:rsidP="00837C34">
      <w:r>
        <w:t>Detailed analysis of the publications highlighted a number of issues limiting the interpretation of the prevalence data, including representativeness, sample size, sample description and analytical methodology.</w:t>
      </w:r>
    </w:p>
    <w:p w14:paraId="22F82171" w14:textId="77777777" w:rsidR="00837C34" w:rsidRDefault="00837C34" w:rsidP="00837C34"/>
    <w:p w14:paraId="2427C3CB" w14:textId="77777777" w:rsidR="00837C34" w:rsidRDefault="00837C34" w:rsidP="00837C34">
      <w:r>
        <w:t>Most prevalence studies use a ‘convenient sampling’ approach. This sampling method is used for exploratory research with samples collected which are readily accessible and easy to obtain. A common setting for the sampling is supermarkets or farmers markets. Samples are potentially subject to bias e.g. multiple samples are collected from the same source and are not truly random. In addition, these studies often have a limited number of samples collected which are not sufficient to detect low pathogen prevalence. An alternative to convenient sampling is ‘objective sampling’. Objective sampling uses a planned approach to select random samples which are statistically representative of the population. Only a few examples of this types of survey were found in the literature review. These surveys often have a larger sample size.</w:t>
      </w:r>
    </w:p>
    <w:p w14:paraId="248F1120" w14:textId="77777777" w:rsidR="00837C34" w:rsidRDefault="00837C34" w:rsidP="00837C34"/>
    <w:p w14:paraId="1F90ABF4" w14:textId="77777777" w:rsidR="00837C34" w:rsidRDefault="00837C34" w:rsidP="00837C34">
      <w:r>
        <w:t xml:space="preserve">Inconsistent sample description was most notable for prevalence studies related to ‘leafy greens’ and especially lettuce. The food names mentioned in the published studies were extracted and consistently described using the EFSA FoodEx2 classification system. Where particular varieties of lettuce (e.g. cos, oak, iceberg etc.) were provided the names were matched to the appropriate FoodEx2 classification. However, in many cases the use of a generic ‘lettuce’ or uninformative descriptors (e.g. green) meant that samples were classified to a higher less specific classification of </w:t>
      </w:r>
      <w:r w:rsidRPr="00D835DE">
        <w:rPr>
          <w:i/>
        </w:rPr>
        <w:t>Lettuce (generic)</w:t>
      </w:r>
      <w:r>
        <w:t>. As a result, no sub-group analysis for pathogen prevalence between lettuce varieties was attempted.</w:t>
      </w:r>
    </w:p>
    <w:p w14:paraId="0C217361" w14:textId="77777777" w:rsidR="00837C34" w:rsidRDefault="00837C34" w:rsidP="00837C34"/>
    <w:p w14:paraId="7A540B81" w14:textId="77777777" w:rsidR="00837C34" w:rsidRDefault="00837C34" w:rsidP="00837C34">
      <w:r>
        <w:t xml:space="preserve">Analytical methodology, especially culture based vs molecular techniques such as PCR makes interpretation of prevalence studies challenging. The lack of consistency in the type and number of PCR primers used for pathogens between studies is problematic. In this report prevalence data for </w:t>
      </w:r>
      <w:r w:rsidRPr="00D835DE">
        <w:rPr>
          <w:i/>
        </w:rPr>
        <w:t>E</w:t>
      </w:r>
      <w:r>
        <w:t xml:space="preserve">. </w:t>
      </w:r>
      <w:r w:rsidRPr="00D835DE">
        <w:rPr>
          <w:i/>
        </w:rPr>
        <w:t>coli</w:t>
      </w:r>
      <w:r>
        <w:t xml:space="preserve"> O157:H7 was separated from the PCR data which captures the broader STEC group, of which </w:t>
      </w:r>
      <w:r w:rsidRPr="00D835DE">
        <w:rPr>
          <w:i/>
        </w:rPr>
        <w:t>E</w:t>
      </w:r>
      <w:r>
        <w:t xml:space="preserve">. </w:t>
      </w:r>
      <w:r w:rsidRPr="00D835DE">
        <w:rPr>
          <w:i/>
        </w:rPr>
        <w:t>coli</w:t>
      </w:r>
      <w:r>
        <w:t xml:space="preserve"> O157:H7 is one member. The STEC group is notable for the presence of the </w:t>
      </w:r>
      <w:r w:rsidRPr="00D835DE">
        <w:rPr>
          <w:i/>
        </w:rPr>
        <w:t>stx</w:t>
      </w:r>
      <w:r w:rsidRPr="00D835DE">
        <w:rPr>
          <w:i/>
          <w:vertAlign w:val="subscript"/>
        </w:rPr>
        <w:t>1</w:t>
      </w:r>
      <w:r>
        <w:t xml:space="preserve"> and </w:t>
      </w:r>
      <w:r w:rsidRPr="00D835DE">
        <w:rPr>
          <w:i/>
        </w:rPr>
        <w:t>stx</w:t>
      </w:r>
      <w:r w:rsidRPr="00D835DE">
        <w:rPr>
          <w:i/>
          <w:vertAlign w:val="subscript"/>
        </w:rPr>
        <w:t>2</w:t>
      </w:r>
      <w:r>
        <w:t xml:space="preserve"> Shiga toxin genes.</w:t>
      </w:r>
    </w:p>
    <w:p w14:paraId="054A47B5" w14:textId="77777777" w:rsidR="00837C34" w:rsidRDefault="00837C34" w:rsidP="00837C34"/>
    <w:p w14:paraId="0DAD9757" w14:textId="77777777" w:rsidR="00837C34" w:rsidRDefault="00837C34" w:rsidP="00837C34">
      <w:r>
        <w:t xml:space="preserve">Pathogen concentration studies, especially for bacterial pathogens, is absent. Studies that quantified bacterial loads on horticulture products are limited to indicator microorganisms such as the total count or generic </w:t>
      </w:r>
      <w:r w:rsidRPr="00D835DE">
        <w:rPr>
          <w:i/>
        </w:rPr>
        <w:t>E</w:t>
      </w:r>
      <w:r>
        <w:t xml:space="preserve">. </w:t>
      </w:r>
      <w:r w:rsidRPr="00D835DE">
        <w:rPr>
          <w:i/>
        </w:rPr>
        <w:t>coli</w:t>
      </w:r>
      <w:r>
        <w:t xml:space="preserve">. Evidence for the use of indicator microorganisms as proxies for the presence of pathogens is weak. </w:t>
      </w:r>
    </w:p>
    <w:p w14:paraId="54AE4A42" w14:textId="67D525F1" w:rsidR="00837C34" w:rsidRPr="00F61F49" w:rsidRDefault="00837C34" w:rsidP="00837C34">
      <w:pPr>
        <w:rPr>
          <w:rFonts w:cs="Arial"/>
          <w:szCs w:val="22"/>
        </w:rPr>
      </w:pPr>
      <w:r w:rsidRPr="00F61F49">
        <w:rPr>
          <w:rFonts w:cs="Arial"/>
          <w:szCs w:val="22"/>
        </w:rPr>
        <w:t xml:space="preserve">Potential for microbes displaying antimicrobial resistance (AMR) associated with horticultural produce is an emerging issue that can present increased risks to human health </w:t>
      </w:r>
      <w:r w:rsidR="00657FDB">
        <w:rPr>
          <w:rFonts w:cs="Arial"/>
          <w:szCs w:val="22"/>
        </w:rPr>
        <w:t>(Codex 2011)</w:t>
      </w:r>
      <w:r w:rsidRPr="00F61F49">
        <w:rPr>
          <w:rFonts w:cs="Arial"/>
          <w:szCs w:val="22"/>
        </w:rPr>
        <w:t xml:space="preserve">. A limitation of this assessment is that the risk factors that may facilitate AMR in microbes associated with horticulture products were not considered. These risk factors may include the </w:t>
      </w:r>
      <w:r w:rsidRPr="00F61F49">
        <w:rPr>
          <w:szCs w:val="22"/>
        </w:rPr>
        <w:t>direct use of antimicrobials to control microbial plant disease (e.g. use of streptomycin against fire blight in apples</w:t>
      </w:r>
      <w:r w:rsidRPr="00F61F49">
        <w:rPr>
          <w:rStyle w:val="FootnoteReference"/>
          <w:szCs w:val="22"/>
        </w:rPr>
        <w:footnoteReference w:id="23"/>
      </w:r>
      <w:r w:rsidRPr="00F61F49">
        <w:rPr>
          <w:szCs w:val="22"/>
        </w:rPr>
        <w:t xml:space="preserve">), the use of animal manures, and the use of irrigation water shared with the food animal industry </w:t>
      </w:r>
      <w:r w:rsidR="00657FDB">
        <w:rPr>
          <w:szCs w:val="22"/>
        </w:rPr>
        <w:t>(Australian Government Department of Health 2018)</w:t>
      </w:r>
      <w:r w:rsidRPr="00F61F49">
        <w:rPr>
          <w:rFonts w:cs="Arial"/>
          <w:szCs w:val="22"/>
        </w:rPr>
        <w:t>. A r</w:t>
      </w:r>
      <w:r w:rsidRPr="00F61F49">
        <w:rPr>
          <w:rFonts w:cs="Arial"/>
          <w:szCs w:val="22"/>
          <w:lang w:eastAsia="en-GB"/>
        </w:rPr>
        <w:t>eview of published and grey literature on AMR in food</w:t>
      </w:r>
      <w:r w:rsidRPr="00F61F49">
        <w:rPr>
          <w:rStyle w:val="FootnoteReference"/>
          <w:rFonts w:cs="Arial"/>
          <w:i/>
          <w:szCs w:val="22"/>
          <w:lang w:eastAsia="en-GB"/>
        </w:rPr>
        <w:footnoteReference w:id="24"/>
      </w:r>
      <w:r w:rsidRPr="00F61F49">
        <w:rPr>
          <w:rFonts w:cs="Arial"/>
          <w:szCs w:val="22"/>
          <w:lang w:eastAsia="en-GB"/>
        </w:rPr>
        <w:t xml:space="preserve">, commissioned under </w:t>
      </w:r>
      <w:r w:rsidRPr="00F61F49">
        <w:rPr>
          <w:rFonts w:cs="Arial"/>
          <w:i/>
          <w:szCs w:val="22"/>
        </w:rPr>
        <w:t>Australia’s First National Antimicrobial Resistance Strategy 2015–2019</w:t>
      </w:r>
      <w:r w:rsidRPr="00F61F49">
        <w:rPr>
          <w:rStyle w:val="FootnoteReference"/>
          <w:rFonts w:cs="Arial"/>
          <w:i/>
          <w:szCs w:val="22"/>
        </w:rPr>
        <w:footnoteReference w:id="25"/>
      </w:r>
      <w:r w:rsidRPr="00F61F49">
        <w:rPr>
          <w:rFonts w:cs="Arial"/>
          <w:i/>
          <w:szCs w:val="22"/>
        </w:rPr>
        <w:t xml:space="preserve"> </w:t>
      </w:r>
      <w:r w:rsidRPr="00F61F49">
        <w:rPr>
          <w:rFonts w:cs="Arial"/>
          <w:szCs w:val="22"/>
          <w:lang w:eastAsia="en-GB"/>
        </w:rPr>
        <w:t xml:space="preserve">noted that </w:t>
      </w:r>
      <w:r w:rsidRPr="00F61F49">
        <w:rPr>
          <w:rFonts w:cs="Arial"/>
          <w:szCs w:val="22"/>
        </w:rPr>
        <w:t xml:space="preserve">there is very limited or no AMR data for horticulture. The available data that has </w:t>
      </w:r>
      <w:r w:rsidRPr="00F61F49">
        <w:rPr>
          <w:szCs w:val="22"/>
        </w:rPr>
        <w:t xml:space="preserve">assessed the presence of AMR in Australian horticultural products reported 80% of </w:t>
      </w:r>
      <w:r w:rsidRPr="00F61F49">
        <w:rPr>
          <w:i/>
          <w:szCs w:val="22"/>
        </w:rPr>
        <w:t>E. coli</w:t>
      </w:r>
      <w:r w:rsidRPr="00F61F49">
        <w:rPr>
          <w:szCs w:val="22"/>
        </w:rPr>
        <w:t xml:space="preserve"> (n=15) isolated from strawberries were resistant to ampicillin </w:t>
      </w:r>
      <w:r w:rsidR="00657FDB">
        <w:rPr>
          <w:szCs w:val="22"/>
        </w:rPr>
        <w:t>(Kurtböke et al. 2016)</w:t>
      </w:r>
      <w:r w:rsidRPr="00F61F49">
        <w:rPr>
          <w:szCs w:val="22"/>
        </w:rPr>
        <w:t xml:space="preserve">, and 5% of </w:t>
      </w:r>
      <w:r w:rsidRPr="00F61F49">
        <w:rPr>
          <w:i/>
          <w:szCs w:val="22"/>
        </w:rPr>
        <w:t xml:space="preserve">E. coli </w:t>
      </w:r>
      <w:r w:rsidRPr="00F61F49">
        <w:rPr>
          <w:szCs w:val="22"/>
        </w:rPr>
        <w:t>(n</w:t>
      </w:r>
      <w:r>
        <w:rPr>
          <w:szCs w:val="22"/>
        </w:rPr>
        <w:t>=</w:t>
      </w:r>
      <w:r w:rsidRPr="00F61F49">
        <w:rPr>
          <w:szCs w:val="22"/>
        </w:rPr>
        <w:t xml:space="preserve">7) isolated from retail lettuce was resistant to one or more </w:t>
      </w:r>
      <w:r>
        <w:rPr>
          <w:szCs w:val="22"/>
        </w:rPr>
        <w:t>antimicrobials tested and multi-</w:t>
      </w:r>
      <w:r w:rsidRPr="00F61F49">
        <w:rPr>
          <w:szCs w:val="22"/>
        </w:rPr>
        <w:t xml:space="preserve">drug resistance to four antimicrobials was observed in two isolates </w:t>
      </w:r>
      <w:r w:rsidR="00657FDB">
        <w:rPr>
          <w:szCs w:val="22"/>
        </w:rPr>
        <w:t>(Barlow and Gobius 2008)</w:t>
      </w:r>
      <w:r w:rsidRPr="00F61F49">
        <w:rPr>
          <w:szCs w:val="22"/>
        </w:rPr>
        <w:t>.</w:t>
      </w:r>
      <w:r w:rsidRPr="00F61F49">
        <w:rPr>
          <w:rFonts w:cs="Arial"/>
          <w:szCs w:val="22"/>
        </w:rPr>
        <w:t xml:space="preserve"> As such, it is recommended that a dedicated risk assessment or risk profiling regarding AMR is undertaken for the Australian horticultural sector.</w:t>
      </w:r>
    </w:p>
    <w:p w14:paraId="72826177" w14:textId="77777777" w:rsidR="00657FDB" w:rsidRDefault="00657FDB">
      <w:pPr>
        <w:widowControl/>
        <w:rPr>
          <w:b/>
          <w:bCs/>
          <w:color w:val="000000" w:themeColor="text1"/>
          <w:sz w:val="36"/>
          <w:szCs w:val="28"/>
          <w:lang w:bidi="ar-SA"/>
        </w:rPr>
      </w:pPr>
      <w:r>
        <w:br w:type="page"/>
      </w:r>
    </w:p>
    <w:p w14:paraId="5491E34A" w14:textId="162FC696" w:rsidR="00657FDB" w:rsidRPr="00FE3604" w:rsidRDefault="00657FDB" w:rsidP="00657FDB">
      <w:pPr>
        <w:pStyle w:val="Heading1"/>
        <w:numPr>
          <w:ilvl w:val="0"/>
          <w:numId w:val="11"/>
        </w:numPr>
        <w:ind w:right="454"/>
      </w:pPr>
      <w:bookmarkStart w:id="467" w:name="_CTVBIBLIOGRAPHY1"/>
      <w:bookmarkStart w:id="468" w:name="_Toc87860085"/>
      <w:bookmarkEnd w:id="467"/>
      <w:r>
        <w:t>References</w:t>
      </w:r>
      <w:bookmarkStart w:id="469" w:name="_CTVL001fd765be5946143258627e1704cba711f"/>
      <w:bookmarkEnd w:id="468"/>
    </w:p>
    <w:p w14:paraId="38B8083D" w14:textId="368ED46C" w:rsidR="00657FDB" w:rsidRPr="006032FF" w:rsidRDefault="00657FDB" w:rsidP="006032FF">
      <w:pPr>
        <w:pStyle w:val="BodyText"/>
        <w:rPr>
          <w:rFonts w:cs="Arial"/>
          <w:sz w:val="20"/>
          <w:szCs w:val="20"/>
        </w:rPr>
      </w:pPr>
      <w:r w:rsidRPr="006032FF">
        <w:rPr>
          <w:rFonts w:cs="Arial"/>
          <w:sz w:val="20"/>
          <w:szCs w:val="20"/>
        </w:rPr>
        <w:t xml:space="preserve">Abatcha MG, Effarizah ME, Rusul G (2018) Prevalence, antimicrobial resistance, resistance genes and class 1 integrons of </w:t>
      </w:r>
      <w:bookmarkEnd w:id="469"/>
      <w:r w:rsidRPr="006032FF">
        <w:rPr>
          <w:rFonts w:cs="Arial"/>
          <w:i/>
          <w:sz w:val="20"/>
          <w:szCs w:val="20"/>
        </w:rPr>
        <w:t xml:space="preserve">Salmonella </w:t>
      </w:r>
      <w:r w:rsidRPr="006032FF">
        <w:rPr>
          <w:rFonts w:cs="Arial"/>
          <w:sz w:val="20"/>
          <w:szCs w:val="20"/>
        </w:rPr>
        <w:t xml:space="preserve">serovars in leafy vegetables, chicken carcasses and related processing environments in Malaysian fresh food markets. Food Control 91:170–180. </w:t>
      </w:r>
      <w:hyperlink r:id="rId31" w:history="1">
        <w:r w:rsidR="00010BAE" w:rsidRPr="006032FF">
          <w:rPr>
            <w:rStyle w:val="Hyperlink"/>
            <w:rFonts w:cs="Arial"/>
            <w:sz w:val="20"/>
            <w:szCs w:val="20"/>
          </w:rPr>
          <w:t>https://doi.org/10.1016/j.foodcont.2018.02.039</w:t>
        </w:r>
      </w:hyperlink>
    </w:p>
    <w:p w14:paraId="4B151076" w14:textId="49FBD9C5" w:rsidR="00657FDB" w:rsidRPr="006032FF" w:rsidRDefault="00657FDB" w:rsidP="006032FF">
      <w:pPr>
        <w:pStyle w:val="CitaviBibliographyEntry"/>
        <w:spacing w:after="120"/>
        <w:ind w:left="0" w:firstLine="0"/>
        <w:rPr>
          <w:rFonts w:cs="Arial"/>
          <w:sz w:val="20"/>
          <w:szCs w:val="20"/>
        </w:rPr>
      </w:pPr>
      <w:bookmarkStart w:id="470" w:name="_CTVL00180688e5c1dc847a58a156a7812af15b4"/>
      <w:r w:rsidRPr="006032FF">
        <w:rPr>
          <w:rFonts w:cs="Arial"/>
          <w:sz w:val="20"/>
          <w:szCs w:val="20"/>
        </w:rPr>
        <w:t>Abeysundara PDA, Dhowlaghar N, Nannapaneni R, Schilling</w:t>
      </w:r>
      <w:r w:rsidR="0057637C">
        <w:rPr>
          <w:rFonts w:cs="Arial"/>
          <w:sz w:val="20"/>
          <w:szCs w:val="20"/>
        </w:rPr>
        <w:t xml:space="preserve"> MW, Chang S, Mahmoud B, Sharma </w:t>
      </w:r>
      <w:r w:rsidRPr="006032FF">
        <w:rPr>
          <w:rFonts w:cs="Arial"/>
          <w:sz w:val="20"/>
          <w:szCs w:val="20"/>
        </w:rPr>
        <w:t xml:space="preserve">CS, Ma DP (2017) Growth and biofilm formation by </w:t>
      </w:r>
      <w:bookmarkEnd w:id="470"/>
      <w:r w:rsidRPr="006032FF">
        <w:rPr>
          <w:rFonts w:cs="Arial"/>
          <w:i/>
          <w:sz w:val="20"/>
          <w:szCs w:val="20"/>
        </w:rPr>
        <w:t>Listeria monocytogenes</w:t>
      </w:r>
      <w:r w:rsidRPr="006032FF">
        <w:rPr>
          <w:rFonts w:cs="Arial"/>
          <w:sz w:val="20"/>
          <w:szCs w:val="20"/>
        </w:rPr>
        <w:t xml:space="preserve"> in cantaloupe flesh and peel extracts on four food-contact surfaces at 22 °C and 10 °C. Food Control 80:131–142. </w:t>
      </w:r>
      <w:hyperlink r:id="rId32" w:history="1">
        <w:r w:rsidR="00010BAE" w:rsidRPr="006032FF">
          <w:rPr>
            <w:rStyle w:val="Hyperlink"/>
            <w:rFonts w:cs="Arial"/>
            <w:sz w:val="20"/>
            <w:szCs w:val="20"/>
          </w:rPr>
          <w:t>https://doi.org/10.1016/j.foodcont.2017.04.043</w:t>
        </w:r>
      </w:hyperlink>
    </w:p>
    <w:p w14:paraId="6D6CD5EC" w14:textId="6A583D55" w:rsidR="00657FDB" w:rsidRPr="006032FF" w:rsidRDefault="00657FDB" w:rsidP="006032FF">
      <w:pPr>
        <w:pStyle w:val="CitaviBibliographyEntry"/>
        <w:spacing w:after="120"/>
        <w:ind w:left="0" w:firstLine="0"/>
        <w:rPr>
          <w:rFonts w:cs="Arial"/>
          <w:sz w:val="20"/>
          <w:szCs w:val="20"/>
        </w:rPr>
      </w:pPr>
      <w:bookmarkStart w:id="471" w:name="_CTVL0015630d3b1361d4f3ca6291d151f9b16e9"/>
      <w:r w:rsidRPr="006032FF">
        <w:rPr>
          <w:rFonts w:cs="Arial"/>
          <w:sz w:val="20"/>
          <w:szCs w:val="20"/>
        </w:rPr>
        <w:t xml:space="preserve">Abeysundara PDA, Dhowlaghar N, Nannapaneni R, Schilling MW, Mahmoud B, Sharma CS, Ma DP (2018) </w:t>
      </w:r>
      <w:bookmarkEnd w:id="471"/>
      <w:r w:rsidRPr="006032FF">
        <w:rPr>
          <w:rFonts w:cs="Arial"/>
          <w:i/>
          <w:sz w:val="20"/>
          <w:szCs w:val="20"/>
        </w:rPr>
        <w:t xml:space="preserve">Salmonella enterica </w:t>
      </w:r>
      <w:r w:rsidRPr="006032FF">
        <w:rPr>
          <w:rFonts w:cs="Arial"/>
          <w:sz w:val="20"/>
          <w:szCs w:val="20"/>
        </w:rPr>
        <w:t xml:space="preserve">growth and biofilm formation in flesh and peel cantaloupe extracts on four food-contact surfaces. International Journal of Food Microbiology 280:17–26. </w:t>
      </w:r>
      <w:hyperlink r:id="rId33" w:history="1">
        <w:r w:rsidR="00010BAE" w:rsidRPr="006032FF">
          <w:rPr>
            <w:rStyle w:val="Hyperlink"/>
            <w:rFonts w:cs="Arial"/>
            <w:sz w:val="20"/>
            <w:szCs w:val="20"/>
          </w:rPr>
          <w:t>https://doi.org/10.1016/j.ijfoodmicro.2018.04.042</w:t>
        </w:r>
      </w:hyperlink>
    </w:p>
    <w:p w14:paraId="7C7604DD" w14:textId="6500D43B" w:rsidR="00657FDB" w:rsidRPr="006032FF" w:rsidRDefault="00657FDB" w:rsidP="006032FF">
      <w:pPr>
        <w:pStyle w:val="CitaviBibliographyEntry"/>
        <w:spacing w:after="120"/>
        <w:ind w:left="0" w:firstLine="0"/>
        <w:rPr>
          <w:rFonts w:cs="Arial"/>
          <w:sz w:val="20"/>
          <w:szCs w:val="20"/>
        </w:rPr>
      </w:pPr>
      <w:bookmarkStart w:id="472" w:name="_CTVL00194b91f3e5c434156a02ced65d74b105c"/>
      <w:r w:rsidRPr="006032FF">
        <w:rPr>
          <w:rFonts w:cs="Arial"/>
          <w:sz w:val="20"/>
          <w:szCs w:val="20"/>
        </w:rPr>
        <w:t>Abu</w:t>
      </w:r>
      <w:r w:rsidRPr="006032FF">
        <w:rPr>
          <w:rFonts w:ascii="Cambria Math" w:hAnsi="Cambria Math" w:cs="Cambria Math"/>
          <w:sz w:val="20"/>
          <w:szCs w:val="20"/>
        </w:rPr>
        <w:t>‐</w:t>
      </w:r>
      <w:r w:rsidRPr="006032FF">
        <w:rPr>
          <w:rFonts w:cs="Arial"/>
          <w:sz w:val="20"/>
          <w:szCs w:val="20"/>
        </w:rPr>
        <w:t xml:space="preserve">Ashour J, Lee H (2000) Transport of bacteria on sloping soil surfaces by runoff. Environmental Toxicology 15:149–153. </w:t>
      </w:r>
      <w:hyperlink r:id="rId34" w:history="1">
        <w:r w:rsidR="00010BAE" w:rsidRPr="006032FF">
          <w:rPr>
            <w:rStyle w:val="Hyperlink"/>
            <w:rFonts w:cs="Arial"/>
            <w:sz w:val="20"/>
            <w:szCs w:val="20"/>
          </w:rPr>
          <w:t>https://doi.org/10.1002/(SICI)1522-7278(2000)15:2&lt;149:AID-TOX11&gt;3.0.CO;2-O|</w:t>
        </w:r>
      </w:hyperlink>
    </w:p>
    <w:p w14:paraId="5B40D786" w14:textId="64122491" w:rsidR="00657FDB" w:rsidRPr="006032FF" w:rsidRDefault="00657FDB" w:rsidP="006032FF">
      <w:pPr>
        <w:pStyle w:val="CitaviBibliographyEntry"/>
        <w:spacing w:after="120"/>
        <w:ind w:left="0" w:firstLine="0"/>
        <w:rPr>
          <w:rFonts w:cs="Arial"/>
          <w:sz w:val="20"/>
          <w:szCs w:val="20"/>
        </w:rPr>
      </w:pPr>
      <w:bookmarkStart w:id="473" w:name="_CTVL0014c7565ba55924bf583e390c0c8d7ea6b"/>
      <w:bookmarkEnd w:id="472"/>
      <w:r w:rsidRPr="006032FF">
        <w:rPr>
          <w:rFonts w:cs="Arial"/>
          <w:sz w:val="20"/>
          <w:szCs w:val="20"/>
        </w:rPr>
        <w:t xml:space="preserve">Adator EH, Cheng M, Holley R, McAllister T, Narvaez-Bravo C (2018) Ability of Shiga toxigenic </w:t>
      </w:r>
      <w:bookmarkEnd w:id="473"/>
      <w:r w:rsidRPr="006032FF">
        <w:rPr>
          <w:rFonts w:cs="Arial"/>
          <w:i/>
          <w:sz w:val="20"/>
          <w:szCs w:val="20"/>
        </w:rPr>
        <w:t xml:space="preserve">Escherichia coli </w:t>
      </w:r>
      <w:r w:rsidRPr="006032FF">
        <w:rPr>
          <w:rFonts w:cs="Arial"/>
          <w:sz w:val="20"/>
          <w:szCs w:val="20"/>
        </w:rPr>
        <w:t xml:space="preserve">to survive within dry-surface biofilms and transfer to fresh lettuce. International Journal of Food Microbiology 269:52–59. </w:t>
      </w:r>
      <w:hyperlink r:id="rId35" w:history="1">
        <w:r w:rsidR="00010BAE" w:rsidRPr="006032FF">
          <w:rPr>
            <w:rStyle w:val="Hyperlink"/>
            <w:rFonts w:cs="Arial"/>
            <w:sz w:val="20"/>
            <w:szCs w:val="20"/>
          </w:rPr>
          <w:t>https://doi.org/10.1016/j.ijfoodmicro.2018.01.014</w:t>
        </w:r>
      </w:hyperlink>
    </w:p>
    <w:p w14:paraId="13839FC1" w14:textId="42013F60" w:rsidR="00657FDB" w:rsidRPr="006032FF" w:rsidRDefault="00657FDB" w:rsidP="006032FF">
      <w:pPr>
        <w:pStyle w:val="CitaviBibliographyEntry"/>
        <w:spacing w:after="120"/>
        <w:ind w:left="0" w:firstLine="0"/>
        <w:rPr>
          <w:rFonts w:cs="Arial"/>
          <w:sz w:val="20"/>
          <w:szCs w:val="20"/>
        </w:rPr>
      </w:pPr>
      <w:bookmarkStart w:id="474" w:name="_CTVL001af6ba936aadd4e92bb419110c6e0d9aa"/>
      <w:r w:rsidRPr="006032FF">
        <w:rPr>
          <w:rFonts w:cs="Arial"/>
          <w:sz w:val="20"/>
          <w:szCs w:val="20"/>
        </w:rPr>
        <w:t>Aguilar GAF, Ramírez MG, García AM, González RY, Navarrete JE,</w:t>
      </w:r>
      <w:r w:rsidR="009155E4">
        <w:rPr>
          <w:rFonts w:cs="Arial"/>
          <w:sz w:val="20"/>
          <w:szCs w:val="20"/>
        </w:rPr>
        <w:t xml:space="preserve"> Escutia MCS, Carranza Madrigal </w:t>
      </w:r>
      <w:r w:rsidRPr="006032FF">
        <w:rPr>
          <w:rFonts w:cs="Arial"/>
          <w:sz w:val="20"/>
          <w:szCs w:val="20"/>
        </w:rPr>
        <w:t xml:space="preserve">J (2005) Identification of </w:t>
      </w:r>
      <w:bookmarkEnd w:id="474"/>
      <w:r w:rsidRPr="006032FF">
        <w:rPr>
          <w:rFonts w:cs="Arial"/>
          <w:i/>
          <w:sz w:val="20"/>
          <w:szCs w:val="20"/>
        </w:rPr>
        <w:t xml:space="preserve">Salmonella </w:t>
      </w:r>
      <w:r w:rsidRPr="006032FF">
        <w:rPr>
          <w:rFonts w:cs="Arial"/>
          <w:sz w:val="20"/>
          <w:szCs w:val="20"/>
        </w:rPr>
        <w:t>spp in water, cantaloupe melons and iguanas</w:t>
      </w:r>
      <w:r w:rsidR="00010BAE" w:rsidRPr="006032FF">
        <w:rPr>
          <w:rFonts w:cs="Arial"/>
          <w:sz w:val="20"/>
          <w:szCs w:val="20"/>
        </w:rPr>
        <w:t>’</w:t>
      </w:r>
      <w:r w:rsidRPr="006032FF">
        <w:rPr>
          <w:rFonts w:cs="Arial"/>
          <w:sz w:val="20"/>
          <w:szCs w:val="20"/>
        </w:rPr>
        <w:t xml:space="preserve"> feces in a melon orchard. Medicina Interna de México 21:255–258</w:t>
      </w:r>
    </w:p>
    <w:p w14:paraId="30843C88" w14:textId="125D6434" w:rsidR="00657FDB" w:rsidRPr="006032FF" w:rsidRDefault="00657FDB" w:rsidP="006032FF">
      <w:pPr>
        <w:pStyle w:val="CitaviBibliographyEntry"/>
        <w:spacing w:after="120"/>
        <w:ind w:left="0" w:firstLine="0"/>
        <w:rPr>
          <w:rFonts w:cs="Arial"/>
          <w:sz w:val="20"/>
          <w:szCs w:val="20"/>
        </w:rPr>
      </w:pPr>
      <w:bookmarkStart w:id="475" w:name="_CTVL00193e039aae64646d2ad9495e9e9e2396e"/>
      <w:r w:rsidRPr="006032FF">
        <w:rPr>
          <w:rFonts w:cs="Arial"/>
          <w:sz w:val="20"/>
          <w:szCs w:val="20"/>
        </w:rPr>
        <w:t xml:space="preserve">Alam M, Ahlström C, Burleigh S, Olsson C, Ahrné S, El-Mogy M, Molin G, Jensén P, Hultberg M, Alsanius BW (2014) Prevalence of </w:t>
      </w:r>
      <w:bookmarkEnd w:id="475"/>
      <w:r w:rsidRPr="006032FF">
        <w:rPr>
          <w:rFonts w:cs="Arial"/>
          <w:i/>
          <w:sz w:val="20"/>
          <w:szCs w:val="20"/>
        </w:rPr>
        <w:t xml:space="preserve">Escherichia coli </w:t>
      </w:r>
      <w:r w:rsidRPr="006032FF">
        <w:rPr>
          <w:rFonts w:cs="Arial"/>
          <w:sz w:val="20"/>
          <w:szCs w:val="20"/>
        </w:rPr>
        <w:t xml:space="preserve">O157:H7 on spinach and rocket as affected by inoculum and time to harvest. Scientia Horticulturae 165:235–241. </w:t>
      </w:r>
      <w:hyperlink r:id="rId36" w:history="1">
        <w:r w:rsidR="00010BAE" w:rsidRPr="006032FF">
          <w:rPr>
            <w:rStyle w:val="Hyperlink"/>
            <w:rFonts w:cs="Arial"/>
            <w:sz w:val="20"/>
            <w:szCs w:val="20"/>
          </w:rPr>
          <w:t>https://doi.org/10.1016/j.scienta.2013.10.043</w:t>
        </w:r>
      </w:hyperlink>
    </w:p>
    <w:p w14:paraId="363CF21E" w14:textId="523F3C96" w:rsidR="00657FDB" w:rsidRPr="006032FF" w:rsidRDefault="00657FDB" w:rsidP="006032FF">
      <w:pPr>
        <w:pStyle w:val="CitaviBibliographyEntry"/>
        <w:spacing w:after="120"/>
        <w:ind w:left="0" w:firstLine="0"/>
        <w:rPr>
          <w:rFonts w:cs="Arial"/>
          <w:sz w:val="20"/>
          <w:szCs w:val="20"/>
        </w:rPr>
      </w:pPr>
      <w:bookmarkStart w:id="476" w:name="_CTVL00180fc904969d6420b815d923d23c173c5"/>
      <w:r w:rsidRPr="006032FF">
        <w:rPr>
          <w:rFonts w:cs="Arial"/>
          <w:sz w:val="20"/>
          <w:szCs w:val="20"/>
        </w:rPr>
        <w:t xml:space="preserve">Allende A, Castro-Ibáñez I, Lindqvist R, Gil MI, Uyttendaele M, Jacxsens L (2017) Quantitative contamination assessment of </w:t>
      </w:r>
      <w:bookmarkEnd w:id="476"/>
      <w:r w:rsidRPr="006032FF">
        <w:rPr>
          <w:rFonts w:cs="Arial"/>
          <w:i/>
          <w:sz w:val="20"/>
          <w:szCs w:val="20"/>
        </w:rPr>
        <w:t xml:space="preserve">Escherichia coli </w:t>
      </w:r>
      <w:r w:rsidRPr="006032FF">
        <w:rPr>
          <w:rFonts w:cs="Arial"/>
          <w:sz w:val="20"/>
          <w:szCs w:val="20"/>
        </w:rPr>
        <w:t xml:space="preserve">in baby spinach primary production in Spain: Effects of weather conditions and agricultural practices. International Journal of Food Microbiology 257:238–246. </w:t>
      </w:r>
      <w:hyperlink r:id="rId37" w:history="1">
        <w:r w:rsidR="00010BAE" w:rsidRPr="006032FF">
          <w:rPr>
            <w:rStyle w:val="Hyperlink"/>
            <w:rFonts w:cs="Arial"/>
            <w:sz w:val="20"/>
            <w:szCs w:val="20"/>
          </w:rPr>
          <w:t>https://doi.org/10.1016/j.ijfoodmicro.2017.06.027</w:t>
        </w:r>
      </w:hyperlink>
    </w:p>
    <w:p w14:paraId="422BBFCB" w14:textId="2EA39D65" w:rsidR="00657FDB" w:rsidRPr="006032FF" w:rsidRDefault="00657FDB" w:rsidP="006032FF">
      <w:pPr>
        <w:pStyle w:val="CitaviBibliographyEntry"/>
        <w:spacing w:after="120"/>
        <w:ind w:left="0" w:firstLine="0"/>
        <w:rPr>
          <w:rFonts w:cs="Arial"/>
          <w:sz w:val="20"/>
          <w:szCs w:val="20"/>
        </w:rPr>
      </w:pPr>
      <w:bookmarkStart w:id="477" w:name="_CTVL00180b203b6ea894d43880893ee3d3315b8"/>
      <w:r w:rsidRPr="006032FF">
        <w:rPr>
          <w:rFonts w:cs="Arial"/>
          <w:sz w:val="20"/>
          <w:szCs w:val="20"/>
        </w:rPr>
        <w:t xml:space="preserve">AMA (2019) The Australian Melon Industry. Australian Melon Association, Brisbane. </w:t>
      </w:r>
      <w:hyperlink r:id="rId38" w:history="1">
        <w:r w:rsidR="00010BAE" w:rsidRPr="006032FF">
          <w:rPr>
            <w:rStyle w:val="Hyperlink"/>
            <w:rFonts w:cs="Arial"/>
            <w:sz w:val="20"/>
            <w:szCs w:val="20"/>
          </w:rPr>
          <w:t>https://www.melonsaustralia.org.au/about/</w:t>
        </w:r>
      </w:hyperlink>
      <w:r w:rsidRPr="006032FF">
        <w:rPr>
          <w:rFonts w:cs="Arial"/>
          <w:sz w:val="20"/>
          <w:szCs w:val="20"/>
        </w:rPr>
        <w:t>. Accessed 30 May 2019</w:t>
      </w:r>
    </w:p>
    <w:p w14:paraId="18110ED5" w14:textId="75837B82" w:rsidR="00657FDB" w:rsidRPr="006032FF" w:rsidRDefault="00657FDB" w:rsidP="006032FF">
      <w:pPr>
        <w:pStyle w:val="CitaviBibliographyEntry"/>
        <w:spacing w:after="120"/>
        <w:ind w:left="0" w:firstLine="0"/>
        <w:rPr>
          <w:rFonts w:cs="Arial"/>
          <w:sz w:val="20"/>
          <w:szCs w:val="20"/>
        </w:rPr>
      </w:pPr>
      <w:bookmarkStart w:id="478" w:name="_CTVL00165e687bcd2074da1a6cfafdc01141b57"/>
      <w:bookmarkEnd w:id="477"/>
      <w:r w:rsidRPr="006032FF">
        <w:rPr>
          <w:rFonts w:cs="Arial"/>
          <w:sz w:val="20"/>
          <w:szCs w:val="20"/>
        </w:rPr>
        <w:t xml:space="preserve">Annous BA, Solomon EB, Cooke PH, Burke A (2005) Biofilm formation by </w:t>
      </w:r>
      <w:bookmarkEnd w:id="478"/>
      <w:r w:rsidRPr="006032FF">
        <w:rPr>
          <w:rFonts w:cs="Arial"/>
          <w:i/>
          <w:sz w:val="20"/>
          <w:szCs w:val="20"/>
        </w:rPr>
        <w:t xml:space="preserve">Salmonella </w:t>
      </w:r>
      <w:r w:rsidRPr="006032FF">
        <w:rPr>
          <w:rFonts w:cs="Arial"/>
          <w:sz w:val="20"/>
          <w:szCs w:val="20"/>
        </w:rPr>
        <w:t xml:space="preserve">spp. on cantaloupe melons. Journal of Food Safety 25:276–287. </w:t>
      </w:r>
      <w:hyperlink r:id="rId39" w:history="1">
        <w:r w:rsidR="00010BAE" w:rsidRPr="006032FF">
          <w:rPr>
            <w:rStyle w:val="Hyperlink"/>
            <w:rFonts w:cs="Arial"/>
            <w:sz w:val="20"/>
            <w:szCs w:val="20"/>
          </w:rPr>
          <w:t>https://doi.org/10.1111/j.1745-4565.2005.00024.x</w:t>
        </w:r>
      </w:hyperlink>
    </w:p>
    <w:p w14:paraId="0F44B583" w14:textId="1039A548" w:rsidR="00657FDB" w:rsidRPr="006032FF" w:rsidRDefault="00657FDB" w:rsidP="006032FF">
      <w:pPr>
        <w:pStyle w:val="CitaviBibliographyEntry"/>
        <w:spacing w:after="120"/>
        <w:ind w:left="0" w:firstLine="0"/>
        <w:rPr>
          <w:rFonts w:cs="Arial"/>
          <w:sz w:val="20"/>
          <w:szCs w:val="20"/>
        </w:rPr>
      </w:pPr>
      <w:bookmarkStart w:id="479" w:name="_CTVL001ecbb555a549a48e2a4b00b4cc53a66d9"/>
      <w:r w:rsidRPr="006032FF">
        <w:rPr>
          <w:rFonts w:cs="Arial"/>
          <w:sz w:val="20"/>
          <w:szCs w:val="20"/>
        </w:rPr>
        <w:t xml:space="preserve">Annous BA, Burke A, Sites JE, Phillip JG (2013) Commercial thermal process for inactivating </w:t>
      </w:r>
      <w:bookmarkEnd w:id="479"/>
      <w:r w:rsidRPr="006032FF">
        <w:rPr>
          <w:rFonts w:cs="Arial"/>
          <w:i/>
          <w:sz w:val="20"/>
          <w:szCs w:val="20"/>
        </w:rPr>
        <w:t xml:space="preserve">Salmonella </w:t>
      </w:r>
      <w:r w:rsidRPr="006032FF">
        <w:rPr>
          <w:rFonts w:cs="Arial"/>
          <w:sz w:val="20"/>
          <w:szCs w:val="20"/>
        </w:rPr>
        <w:t xml:space="preserve">Poona on surfaces of whole fresh cantaloupes. Journal of Food Protection 76:420. </w:t>
      </w:r>
      <w:hyperlink r:id="rId40" w:history="1">
        <w:r w:rsidR="00010BAE" w:rsidRPr="006032FF">
          <w:rPr>
            <w:rStyle w:val="Hyperlink"/>
            <w:rFonts w:cs="Arial"/>
            <w:sz w:val="20"/>
            <w:szCs w:val="20"/>
          </w:rPr>
          <w:t>https://doi.org/10.4315/0362-028X.JFP-12-414</w:t>
        </w:r>
      </w:hyperlink>
    </w:p>
    <w:p w14:paraId="310AD436" w14:textId="1765BF18" w:rsidR="00657FDB" w:rsidRPr="006032FF" w:rsidRDefault="00657FDB" w:rsidP="006032FF">
      <w:pPr>
        <w:pStyle w:val="CitaviBibliographyEntry"/>
        <w:spacing w:after="120"/>
        <w:ind w:left="0" w:firstLine="0"/>
        <w:rPr>
          <w:rFonts w:cs="Arial"/>
          <w:sz w:val="20"/>
          <w:szCs w:val="20"/>
        </w:rPr>
      </w:pPr>
      <w:bookmarkStart w:id="480" w:name="_CTVL001b45df16b49e44b5e9760e2798f9cee41"/>
      <w:r w:rsidRPr="006032FF">
        <w:rPr>
          <w:rFonts w:cs="Arial"/>
          <w:sz w:val="20"/>
          <w:szCs w:val="20"/>
        </w:rPr>
        <w:t xml:space="preserve">Antoniou PP, Tjamos EC, Andreou MT, Panagopoulos CG (1995) Effectiveness, modes of action and commercial application of soil solarization for control of </w:t>
      </w:r>
      <w:bookmarkEnd w:id="480"/>
      <w:r w:rsidRPr="006032FF">
        <w:rPr>
          <w:rFonts w:cs="Arial"/>
          <w:i/>
          <w:sz w:val="20"/>
          <w:szCs w:val="20"/>
        </w:rPr>
        <w:t xml:space="preserve">Clavibacter michiganensis </w:t>
      </w:r>
      <w:r w:rsidRPr="006032FF">
        <w:rPr>
          <w:rFonts w:cs="Arial"/>
          <w:sz w:val="20"/>
          <w:szCs w:val="20"/>
        </w:rPr>
        <w:t xml:space="preserve">subsp. </w:t>
      </w:r>
      <w:r w:rsidRPr="006032FF">
        <w:rPr>
          <w:rFonts w:cs="Arial"/>
          <w:i/>
          <w:sz w:val="20"/>
          <w:szCs w:val="20"/>
        </w:rPr>
        <w:t xml:space="preserve">michiganensis </w:t>
      </w:r>
      <w:r w:rsidRPr="006032FF">
        <w:rPr>
          <w:rFonts w:cs="Arial"/>
          <w:sz w:val="20"/>
          <w:szCs w:val="20"/>
        </w:rPr>
        <w:t xml:space="preserve">of tomatoes. Acta Horticulturae 382:118–128. </w:t>
      </w:r>
      <w:hyperlink r:id="rId41" w:history="1">
        <w:r w:rsidR="00010BAE" w:rsidRPr="006032FF">
          <w:rPr>
            <w:rStyle w:val="Hyperlink"/>
            <w:rFonts w:cs="Arial"/>
            <w:sz w:val="20"/>
            <w:szCs w:val="20"/>
          </w:rPr>
          <w:t>https://doi.org/10.17660/ActaHortic.1995.382.12</w:t>
        </w:r>
      </w:hyperlink>
    </w:p>
    <w:p w14:paraId="26044733" w14:textId="0C316A2D" w:rsidR="00657FDB" w:rsidRPr="006032FF" w:rsidRDefault="00657FDB" w:rsidP="006032FF">
      <w:pPr>
        <w:pStyle w:val="CitaviBibliographyEntry"/>
        <w:spacing w:after="120"/>
        <w:ind w:left="0" w:firstLine="0"/>
        <w:rPr>
          <w:rFonts w:cs="Arial"/>
          <w:sz w:val="20"/>
          <w:szCs w:val="20"/>
        </w:rPr>
      </w:pPr>
      <w:bookmarkStart w:id="481" w:name="_CTVL0014e3f64a5ee6c4f41849e6621232b99b4"/>
      <w:r w:rsidRPr="006032FF">
        <w:rPr>
          <w:rFonts w:cs="Arial"/>
          <w:sz w:val="20"/>
          <w:szCs w:val="20"/>
        </w:rPr>
        <w:t xml:space="preserve">APVMA (2017) Permit to allow minor use of an agvet chemical product for control of grey mould and other selected fungal diseases in blueberries, rubus and rubs hybrid crops: Permit number - PER82986. Australian Pesticides and Veterinary Medicines Authority, Canberra. </w:t>
      </w:r>
      <w:hyperlink r:id="rId42" w:history="1">
        <w:r w:rsidR="00010BAE" w:rsidRPr="006032FF">
          <w:rPr>
            <w:rStyle w:val="Hyperlink"/>
            <w:rFonts w:cs="Arial"/>
            <w:sz w:val="20"/>
            <w:szCs w:val="20"/>
          </w:rPr>
          <w:t>http://permits.apvma.gov.au/PER82986.PDF</w:t>
        </w:r>
      </w:hyperlink>
      <w:r w:rsidRPr="006032FF">
        <w:rPr>
          <w:rFonts w:cs="Arial"/>
          <w:sz w:val="20"/>
          <w:szCs w:val="20"/>
        </w:rPr>
        <w:t>. Accessed 21 August 2020</w:t>
      </w:r>
    </w:p>
    <w:p w14:paraId="21AE6876" w14:textId="30CB9203" w:rsidR="00657FDB" w:rsidRPr="006032FF" w:rsidRDefault="00657FDB" w:rsidP="006032FF">
      <w:pPr>
        <w:pStyle w:val="CitaviBibliographyEntry"/>
        <w:spacing w:after="120"/>
        <w:ind w:left="0" w:firstLine="0"/>
        <w:rPr>
          <w:rFonts w:cs="Arial"/>
          <w:sz w:val="20"/>
          <w:szCs w:val="20"/>
        </w:rPr>
      </w:pPr>
      <w:bookmarkStart w:id="482" w:name="_CTVL001baac014b6cab427681c99375909d0e0c"/>
      <w:bookmarkEnd w:id="481"/>
      <w:r w:rsidRPr="006032FF">
        <w:rPr>
          <w:rFonts w:cs="Arial"/>
          <w:sz w:val="20"/>
          <w:szCs w:val="20"/>
        </w:rPr>
        <w:t xml:space="preserve">Arthurson V, Sessitsch A, Jäderlund L (2011) Persistence and spread of </w:t>
      </w:r>
      <w:bookmarkEnd w:id="482"/>
      <w:r w:rsidRPr="006032FF">
        <w:rPr>
          <w:rFonts w:cs="Arial"/>
          <w:i/>
          <w:sz w:val="20"/>
          <w:szCs w:val="20"/>
        </w:rPr>
        <w:t xml:space="preserve">Salmonella enterica </w:t>
      </w:r>
      <w:r w:rsidRPr="006032FF">
        <w:rPr>
          <w:rFonts w:cs="Arial"/>
          <w:sz w:val="20"/>
          <w:szCs w:val="20"/>
        </w:rPr>
        <w:t xml:space="preserve">serovar Weltevreden in soil and on spinach plants. FEMS Microbiology Letters 314:67–74. </w:t>
      </w:r>
      <w:hyperlink r:id="rId43" w:history="1">
        <w:r w:rsidR="00010BAE" w:rsidRPr="006032FF">
          <w:rPr>
            <w:rStyle w:val="Hyperlink"/>
            <w:rFonts w:cs="Arial"/>
            <w:sz w:val="20"/>
            <w:szCs w:val="20"/>
          </w:rPr>
          <w:t>https://doi.org/10.1111/j.1574-6968.2010.02140.x</w:t>
        </w:r>
      </w:hyperlink>
    </w:p>
    <w:p w14:paraId="6F1CD1AF" w14:textId="77777777" w:rsidR="009155E4" w:rsidRDefault="009155E4">
      <w:pPr>
        <w:widowControl/>
        <w:rPr>
          <w:rFonts w:cs="Arial"/>
          <w:color w:val="000000" w:themeColor="text1"/>
          <w:sz w:val="20"/>
          <w:szCs w:val="20"/>
        </w:rPr>
      </w:pPr>
      <w:bookmarkStart w:id="483" w:name="_CTVL00148876fa3980e4091b76a06df0e6532bb"/>
      <w:r>
        <w:rPr>
          <w:rFonts w:cs="Arial"/>
          <w:sz w:val="20"/>
          <w:szCs w:val="20"/>
        </w:rPr>
        <w:br w:type="page"/>
      </w:r>
    </w:p>
    <w:p w14:paraId="6BD6274F" w14:textId="2548A634"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Aryal M, Muriana PM (2019) Efficacy of commercial sanitizers used in food processing facilities for inactivation of </w:t>
      </w:r>
      <w:bookmarkEnd w:id="483"/>
      <w:r w:rsidRPr="006032FF">
        <w:rPr>
          <w:rFonts w:cs="Arial"/>
          <w:i/>
          <w:sz w:val="20"/>
          <w:szCs w:val="20"/>
        </w:rPr>
        <w:t>Listeria monocytogenes</w:t>
      </w:r>
      <w:r w:rsidRPr="006032FF">
        <w:rPr>
          <w:rFonts w:cs="Arial"/>
          <w:sz w:val="20"/>
          <w:szCs w:val="20"/>
        </w:rPr>
        <w:t xml:space="preserve">, </w:t>
      </w:r>
      <w:r w:rsidRPr="006032FF">
        <w:rPr>
          <w:rFonts w:cs="Arial"/>
          <w:i/>
          <w:sz w:val="20"/>
          <w:szCs w:val="20"/>
        </w:rPr>
        <w:t xml:space="preserve">E. coli </w:t>
      </w:r>
      <w:r w:rsidRPr="006032FF">
        <w:rPr>
          <w:rFonts w:cs="Arial"/>
          <w:sz w:val="20"/>
          <w:szCs w:val="20"/>
        </w:rPr>
        <w:t xml:space="preserve">O157:H7, and </w:t>
      </w:r>
      <w:r w:rsidRPr="006032FF">
        <w:rPr>
          <w:rFonts w:cs="Arial"/>
          <w:i/>
          <w:sz w:val="20"/>
          <w:szCs w:val="20"/>
        </w:rPr>
        <w:t>Salmonella</w:t>
      </w:r>
      <w:r w:rsidRPr="006032FF">
        <w:rPr>
          <w:rFonts w:cs="Arial"/>
          <w:sz w:val="20"/>
          <w:szCs w:val="20"/>
        </w:rPr>
        <w:t xml:space="preserve"> biofilms. Foods 8:639. </w:t>
      </w:r>
      <w:hyperlink r:id="rId44" w:history="1">
        <w:r w:rsidR="00010BAE" w:rsidRPr="006032FF">
          <w:rPr>
            <w:rStyle w:val="Hyperlink"/>
            <w:rFonts w:cs="Arial"/>
            <w:sz w:val="20"/>
            <w:szCs w:val="20"/>
          </w:rPr>
          <w:t>https://doi.org/10.3390/foods8120639</w:t>
        </w:r>
      </w:hyperlink>
    </w:p>
    <w:p w14:paraId="70C32EB1" w14:textId="77777777" w:rsidR="00657FDB" w:rsidRPr="006032FF" w:rsidRDefault="00657FDB" w:rsidP="006032FF">
      <w:pPr>
        <w:pStyle w:val="CitaviBibliographyEntry"/>
        <w:spacing w:after="120"/>
        <w:ind w:left="0" w:firstLine="0"/>
        <w:rPr>
          <w:rFonts w:cs="Arial"/>
          <w:sz w:val="20"/>
          <w:szCs w:val="20"/>
        </w:rPr>
      </w:pPr>
      <w:bookmarkStart w:id="484" w:name="_CTVL001614300c7be594598bb74b3ff361b418b"/>
      <w:r w:rsidRPr="006032FF">
        <w:rPr>
          <w:rFonts w:cs="Arial"/>
          <w:sz w:val="20"/>
          <w:szCs w:val="20"/>
        </w:rPr>
        <w:t>Astridge K, McPherson M, Knope K, Gregory J, Kardamanidis K, Bell E, Kirk M (2011) Foodborne disease outbreaks in Australia 2001-2009. Food Australia 63:44–50</w:t>
      </w:r>
    </w:p>
    <w:p w14:paraId="73F95351" w14:textId="0A779C37" w:rsidR="00657FDB" w:rsidRPr="006032FF" w:rsidRDefault="00657FDB" w:rsidP="006032FF">
      <w:pPr>
        <w:pStyle w:val="CitaviBibliographyEntry"/>
        <w:spacing w:after="120"/>
        <w:ind w:left="0" w:firstLine="0"/>
        <w:rPr>
          <w:rFonts w:cs="Arial"/>
          <w:sz w:val="20"/>
          <w:szCs w:val="20"/>
        </w:rPr>
      </w:pPr>
      <w:bookmarkStart w:id="485" w:name="_CTVL001dda20007240846fda006dc60ab6f6780"/>
      <w:bookmarkEnd w:id="484"/>
      <w:r w:rsidRPr="006032FF">
        <w:rPr>
          <w:rFonts w:cs="Arial"/>
          <w:sz w:val="20"/>
          <w:szCs w:val="20"/>
        </w:rPr>
        <w:t xml:space="preserve">Atwill ER, Chase JA, Oryang D, Bond RF, Koike ST, Cahn MD, Anderson M, Mokhtari A, Dennis S (2015) Transfer of </w:t>
      </w:r>
      <w:bookmarkEnd w:id="485"/>
      <w:r w:rsidRPr="006032FF">
        <w:rPr>
          <w:rFonts w:cs="Arial"/>
          <w:i/>
          <w:sz w:val="20"/>
          <w:szCs w:val="20"/>
        </w:rPr>
        <w:t xml:space="preserve">Escherichia coli </w:t>
      </w:r>
      <w:r w:rsidRPr="006032FF">
        <w:rPr>
          <w:rFonts w:cs="Arial"/>
          <w:sz w:val="20"/>
          <w:szCs w:val="20"/>
        </w:rPr>
        <w:t xml:space="preserve">O157:H7 from simulated wildlife scat onto romaine lettuce during foliar irrigation. Journal of Food Protection 78:240–247. </w:t>
      </w:r>
      <w:hyperlink r:id="rId45" w:history="1">
        <w:r w:rsidR="00010BAE" w:rsidRPr="006032FF">
          <w:rPr>
            <w:rStyle w:val="Hyperlink"/>
            <w:rFonts w:cs="Arial"/>
            <w:sz w:val="20"/>
            <w:szCs w:val="20"/>
          </w:rPr>
          <w:t>https://doi.org/10.4315/0362-028X.JFP-14-277</w:t>
        </w:r>
      </w:hyperlink>
    </w:p>
    <w:p w14:paraId="711D6DFD" w14:textId="73039DF2" w:rsidR="00657FDB" w:rsidRPr="006032FF" w:rsidRDefault="00657FDB" w:rsidP="006032FF">
      <w:pPr>
        <w:pStyle w:val="CitaviBibliographyEntry"/>
        <w:spacing w:after="120"/>
        <w:ind w:left="0" w:firstLine="0"/>
        <w:rPr>
          <w:rFonts w:cs="Arial"/>
          <w:sz w:val="20"/>
          <w:szCs w:val="20"/>
        </w:rPr>
      </w:pPr>
      <w:bookmarkStart w:id="486" w:name="_CTVL001933890a5068643deb875630e17bb52b8"/>
      <w:r w:rsidRPr="006032FF">
        <w:rPr>
          <w:rFonts w:cs="Arial"/>
          <w:sz w:val="20"/>
          <w:szCs w:val="20"/>
        </w:rPr>
        <w:t xml:space="preserve">Australian Government Department of Health (2018) Review of published and grey literature on the presence of antimicrobial resistance in food in Australia and New Zealand. </w:t>
      </w:r>
      <w:hyperlink r:id="rId46" w:history="1">
        <w:r w:rsidR="00010BAE" w:rsidRPr="006032FF">
          <w:rPr>
            <w:rStyle w:val="Hyperlink"/>
            <w:rFonts w:cs="Arial"/>
            <w:sz w:val="20"/>
            <w:szCs w:val="20"/>
          </w:rPr>
          <w:t>https://www.amr.gov.au/resources/review-published-and-grey-literature-presence-antimicrobial-resistance-food-australia-and</w:t>
        </w:r>
      </w:hyperlink>
      <w:r w:rsidRPr="006032FF">
        <w:rPr>
          <w:rFonts w:cs="Arial"/>
          <w:sz w:val="20"/>
          <w:szCs w:val="20"/>
        </w:rPr>
        <w:t>. Accessed 9 December 2020</w:t>
      </w:r>
    </w:p>
    <w:p w14:paraId="2429B74A" w14:textId="4929D6F7" w:rsidR="00657FDB" w:rsidRPr="006032FF" w:rsidRDefault="00657FDB" w:rsidP="006032FF">
      <w:pPr>
        <w:pStyle w:val="CitaviBibliographyEntry"/>
        <w:spacing w:after="120"/>
        <w:ind w:left="0" w:firstLine="0"/>
        <w:rPr>
          <w:rFonts w:cs="Arial"/>
          <w:sz w:val="20"/>
          <w:szCs w:val="20"/>
        </w:rPr>
      </w:pPr>
      <w:bookmarkStart w:id="487" w:name="_CTVL00165c53861e6644f85abf0a6264b2efede"/>
      <w:bookmarkEnd w:id="486"/>
      <w:r w:rsidRPr="006032FF">
        <w:rPr>
          <w:rFonts w:cs="Arial"/>
          <w:sz w:val="20"/>
          <w:szCs w:val="20"/>
        </w:rPr>
        <w:t xml:space="preserve">Avery LM, Booth P, Campbell C, Tompkins D, Hough RL (2012) Prevalence and survival of potential pathogens in source-segregated green waste compost. The Science of the Total Environment 431:128–138. </w:t>
      </w:r>
      <w:hyperlink r:id="rId47" w:history="1">
        <w:r w:rsidR="00010BAE" w:rsidRPr="006032FF">
          <w:rPr>
            <w:rStyle w:val="Hyperlink"/>
            <w:rFonts w:cs="Arial"/>
            <w:sz w:val="20"/>
            <w:szCs w:val="20"/>
          </w:rPr>
          <w:t>https://doi.org/10.1016/j.scitotenv.2012.05.020</w:t>
        </w:r>
      </w:hyperlink>
    </w:p>
    <w:p w14:paraId="32BC1823" w14:textId="696B4E9F" w:rsidR="00657FDB" w:rsidRPr="006032FF" w:rsidRDefault="00657FDB" w:rsidP="006032FF">
      <w:pPr>
        <w:pStyle w:val="CitaviBibliographyEntry"/>
        <w:spacing w:after="120"/>
        <w:ind w:left="0" w:firstLine="0"/>
        <w:rPr>
          <w:rFonts w:cs="Arial"/>
          <w:sz w:val="20"/>
          <w:szCs w:val="20"/>
        </w:rPr>
      </w:pPr>
      <w:bookmarkStart w:id="488" w:name="_CTVL001e39a7fee935240adaec337c2cc74276b"/>
      <w:bookmarkEnd w:id="487"/>
      <w:r w:rsidRPr="006032FF">
        <w:rPr>
          <w:rFonts w:cs="Arial"/>
          <w:sz w:val="20"/>
          <w:szCs w:val="20"/>
        </w:rPr>
        <w:t xml:space="preserve">Bae S-C, Park SY, Kim A-N, Oh M-H, Ha S-D (2014) Survival of hepatitis A virus on various food-contact surfaces during 28 days of storage at room temperature. Food Research International 64:849–854. </w:t>
      </w:r>
      <w:hyperlink r:id="rId48" w:history="1">
        <w:r w:rsidR="00010BAE" w:rsidRPr="006032FF">
          <w:rPr>
            <w:rStyle w:val="Hyperlink"/>
            <w:rFonts w:cs="Arial"/>
            <w:sz w:val="20"/>
            <w:szCs w:val="20"/>
          </w:rPr>
          <w:t>https://doi.org/10.1016/j.foodres.2014.08.023</w:t>
        </w:r>
      </w:hyperlink>
    </w:p>
    <w:p w14:paraId="2E3FFE6B" w14:textId="68095F2D" w:rsidR="00657FDB" w:rsidRPr="006032FF" w:rsidRDefault="00657FDB" w:rsidP="006032FF">
      <w:pPr>
        <w:pStyle w:val="CitaviBibliographyEntry"/>
        <w:spacing w:after="120"/>
        <w:ind w:left="0" w:firstLine="0"/>
        <w:rPr>
          <w:rFonts w:cs="Arial"/>
          <w:sz w:val="20"/>
          <w:szCs w:val="20"/>
        </w:rPr>
      </w:pPr>
      <w:bookmarkStart w:id="489" w:name="_CTVL0013ae9e73a11fe47f0b02ae1c75bb30b86"/>
      <w:bookmarkEnd w:id="488"/>
      <w:r w:rsidRPr="006032FF">
        <w:rPr>
          <w:rFonts w:cs="Arial"/>
          <w:sz w:val="20"/>
          <w:szCs w:val="20"/>
        </w:rPr>
        <w:t xml:space="preserve">Balduzzi S, Rücker G, Schwarzer G (2019) How to perform a meta-analysis with R: A practical tutorial. Evidence-Based Mental Health 22:153–160. </w:t>
      </w:r>
      <w:hyperlink r:id="rId49" w:history="1">
        <w:r w:rsidR="00010BAE" w:rsidRPr="006032FF">
          <w:rPr>
            <w:rStyle w:val="Hyperlink"/>
            <w:rFonts w:cs="Arial"/>
            <w:sz w:val="20"/>
            <w:szCs w:val="20"/>
          </w:rPr>
          <w:t>https://doi.org/10.1136/ebmental-2019-300117</w:t>
        </w:r>
      </w:hyperlink>
    </w:p>
    <w:p w14:paraId="788C9B73" w14:textId="5DEE7CEF" w:rsidR="00657FDB" w:rsidRPr="006032FF" w:rsidRDefault="00657FDB" w:rsidP="006032FF">
      <w:pPr>
        <w:pStyle w:val="CitaviBibliographyEntry"/>
        <w:spacing w:after="120"/>
        <w:ind w:left="0" w:firstLine="0"/>
        <w:rPr>
          <w:rFonts w:cs="Arial"/>
          <w:sz w:val="20"/>
          <w:szCs w:val="20"/>
        </w:rPr>
      </w:pPr>
      <w:bookmarkStart w:id="490" w:name="_CTVL001affcabcd25e9495dbb0f86c3ed8a16da"/>
      <w:bookmarkEnd w:id="489"/>
      <w:r w:rsidRPr="006032FF">
        <w:rPr>
          <w:rFonts w:cs="Arial"/>
          <w:sz w:val="20"/>
          <w:szCs w:val="20"/>
        </w:rPr>
        <w:t>Banach JL, van Bokhorst-van de Veen H, van Overbeek LS, van der Zouwen PS, van der Fels</w:t>
      </w:r>
      <w:r w:rsidR="0057637C">
        <w:rPr>
          <w:rFonts w:cs="Arial"/>
          <w:sz w:val="20"/>
          <w:szCs w:val="20"/>
        </w:rPr>
        <w:t>-Klerx </w:t>
      </w:r>
      <w:r w:rsidRPr="006032FF">
        <w:rPr>
          <w:rFonts w:cs="Arial"/>
          <w:sz w:val="20"/>
          <w:szCs w:val="20"/>
        </w:rPr>
        <w:t xml:space="preserve">HJ, Groot MN (2017) The efficacy of chemical sanitizers on the reduction of </w:t>
      </w:r>
      <w:bookmarkEnd w:id="490"/>
      <w:r w:rsidR="00482DC1">
        <w:rPr>
          <w:rFonts w:cs="Arial"/>
          <w:i/>
          <w:sz w:val="20"/>
          <w:szCs w:val="20"/>
        </w:rPr>
        <w:t>Salmonella </w:t>
      </w:r>
      <w:r w:rsidRPr="006032FF">
        <w:rPr>
          <w:rFonts w:cs="Arial"/>
          <w:sz w:val="20"/>
          <w:szCs w:val="20"/>
        </w:rPr>
        <w:t xml:space="preserve">Typhimurium and </w:t>
      </w:r>
      <w:r w:rsidRPr="006032FF">
        <w:rPr>
          <w:rFonts w:cs="Arial"/>
          <w:i/>
          <w:sz w:val="20"/>
          <w:szCs w:val="20"/>
        </w:rPr>
        <w:t xml:space="preserve">Escherichia coli </w:t>
      </w:r>
      <w:r w:rsidRPr="006032FF">
        <w:rPr>
          <w:rFonts w:cs="Arial"/>
          <w:sz w:val="20"/>
          <w:szCs w:val="20"/>
        </w:rPr>
        <w:t xml:space="preserve">affected by bacterial cell history and water quality. Food Control 81:137–146. </w:t>
      </w:r>
      <w:hyperlink r:id="rId50" w:history="1">
        <w:r w:rsidR="00010BAE" w:rsidRPr="006032FF">
          <w:rPr>
            <w:rStyle w:val="Hyperlink"/>
            <w:rFonts w:cs="Arial"/>
            <w:sz w:val="20"/>
            <w:szCs w:val="20"/>
          </w:rPr>
          <w:t>https://doi.org/10.1016/j.foodcont.2017.05.044</w:t>
        </w:r>
      </w:hyperlink>
    </w:p>
    <w:p w14:paraId="429E5253" w14:textId="2B5E6172" w:rsidR="00657FDB" w:rsidRPr="006032FF" w:rsidRDefault="00657FDB" w:rsidP="006032FF">
      <w:pPr>
        <w:pStyle w:val="CitaviBibliographyEntry"/>
        <w:spacing w:after="120"/>
        <w:ind w:left="0" w:firstLine="0"/>
        <w:rPr>
          <w:rFonts w:cs="Arial"/>
          <w:sz w:val="20"/>
          <w:szCs w:val="20"/>
        </w:rPr>
      </w:pPr>
      <w:bookmarkStart w:id="491" w:name="_CTVL001b948ce3fe4e448cd831ad7620db69aa8"/>
      <w:r w:rsidRPr="006032FF">
        <w:rPr>
          <w:rFonts w:cs="Arial"/>
          <w:sz w:val="20"/>
          <w:szCs w:val="20"/>
        </w:rPr>
        <w:t xml:space="preserve">Banach JL, van Overbeek LS, Nierop Groot MN, van der Zouwen PS, van der Fels-Klerx HJ (2018) Efficacy of chlorine dioxide on </w:t>
      </w:r>
      <w:bookmarkEnd w:id="491"/>
      <w:r w:rsidRPr="006032FF">
        <w:rPr>
          <w:rFonts w:cs="Arial"/>
          <w:i/>
          <w:sz w:val="20"/>
          <w:szCs w:val="20"/>
        </w:rPr>
        <w:t xml:space="preserve">Escherichia coli </w:t>
      </w:r>
      <w:r w:rsidRPr="006032FF">
        <w:rPr>
          <w:rFonts w:cs="Arial"/>
          <w:sz w:val="20"/>
          <w:szCs w:val="20"/>
        </w:rPr>
        <w:t xml:space="preserve">inactivation during pilot-scale fresh-cut lettuce processing. International Journal of Food Microbiology 269:128–136. </w:t>
      </w:r>
      <w:hyperlink r:id="rId51" w:history="1">
        <w:r w:rsidR="00010BAE" w:rsidRPr="006032FF">
          <w:rPr>
            <w:rStyle w:val="Hyperlink"/>
            <w:rFonts w:cs="Arial"/>
            <w:sz w:val="20"/>
            <w:szCs w:val="20"/>
          </w:rPr>
          <w:t>https://doi.org/10.1016/j.ijfoodmicro.2018.01.013</w:t>
        </w:r>
      </w:hyperlink>
    </w:p>
    <w:p w14:paraId="2008C31C" w14:textId="59D1009A" w:rsidR="00657FDB" w:rsidRPr="006032FF" w:rsidRDefault="00657FDB" w:rsidP="006032FF">
      <w:pPr>
        <w:pStyle w:val="CitaviBibliographyEntry"/>
        <w:spacing w:after="120"/>
        <w:ind w:left="0" w:firstLine="0"/>
        <w:rPr>
          <w:rFonts w:cs="Arial"/>
          <w:sz w:val="20"/>
          <w:szCs w:val="20"/>
        </w:rPr>
      </w:pPr>
      <w:bookmarkStart w:id="492" w:name="_CTVL00163d190bb00fa4c79be0b09db90f90cce"/>
      <w:r w:rsidRPr="006032FF">
        <w:rPr>
          <w:rFonts w:cs="Arial"/>
          <w:sz w:val="20"/>
          <w:szCs w:val="20"/>
        </w:rPr>
        <w:t>Banach JL, van Bokhorst-van de Veen H, van Overbeek LS, van der Zouwen PS, Z</w:t>
      </w:r>
      <w:r w:rsidR="0057637C">
        <w:rPr>
          <w:rFonts w:cs="Arial"/>
          <w:sz w:val="20"/>
          <w:szCs w:val="20"/>
        </w:rPr>
        <w:t>wietering MH, van </w:t>
      </w:r>
      <w:r w:rsidRPr="006032FF">
        <w:rPr>
          <w:rFonts w:cs="Arial"/>
          <w:sz w:val="20"/>
          <w:szCs w:val="20"/>
        </w:rPr>
        <w:t xml:space="preserve">der Fels-Klerx HJ (2020) Effectiveness of a peracetic acid solution on </w:t>
      </w:r>
      <w:bookmarkEnd w:id="492"/>
      <w:r w:rsidRPr="006032FF">
        <w:rPr>
          <w:rFonts w:cs="Arial"/>
          <w:i/>
          <w:sz w:val="20"/>
          <w:szCs w:val="20"/>
        </w:rPr>
        <w:t xml:space="preserve">Escherichia coli </w:t>
      </w:r>
      <w:r w:rsidRPr="006032FF">
        <w:rPr>
          <w:rFonts w:cs="Arial"/>
          <w:sz w:val="20"/>
          <w:szCs w:val="20"/>
        </w:rPr>
        <w:t xml:space="preserve">reduction during fresh-cut lettuce processing at the laboratory and industrial scales. International Journal of Food Microbiology 321:108537. </w:t>
      </w:r>
      <w:hyperlink r:id="rId52" w:history="1">
        <w:r w:rsidR="00010BAE" w:rsidRPr="006032FF">
          <w:rPr>
            <w:rStyle w:val="Hyperlink"/>
            <w:rFonts w:cs="Arial"/>
            <w:sz w:val="20"/>
            <w:szCs w:val="20"/>
          </w:rPr>
          <w:t>https://doi.org/10.1016/j.ijfoodmicro.2020.108537</w:t>
        </w:r>
      </w:hyperlink>
    </w:p>
    <w:p w14:paraId="53418966" w14:textId="4E8F725F" w:rsidR="00657FDB" w:rsidRPr="006032FF" w:rsidRDefault="00657FDB" w:rsidP="006032FF">
      <w:pPr>
        <w:pStyle w:val="CitaviBibliographyEntry"/>
        <w:spacing w:after="120"/>
        <w:ind w:left="0" w:firstLine="0"/>
        <w:rPr>
          <w:rFonts w:cs="Arial"/>
          <w:sz w:val="20"/>
          <w:szCs w:val="20"/>
        </w:rPr>
      </w:pPr>
      <w:bookmarkStart w:id="493" w:name="_CTVL0015d27a459b8494c9e8e2a994ec4ae7167"/>
      <w:r w:rsidRPr="006032FF">
        <w:rPr>
          <w:rFonts w:cs="Arial"/>
          <w:sz w:val="20"/>
          <w:szCs w:val="20"/>
        </w:rPr>
        <w:t xml:space="preserve">Bank-Wolf BR, Konig M, Thiel H (2010) Zoonotic aspects of infections with noroviruses and sapoviruses. Veterinary Microbiology 140:204–212. </w:t>
      </w:r>
      <w:hyperlink r:id="rId53" w:history="1">
        <w:r w:rsidR="00010BAE" w:rsidRPr="006032FF">
          <w:rPr>
            <w:rStyle w:val="Hyperlink"/>
            <w:rFonts w:cs="Arial"/>
            <w:sz w:val="20"/>
            <w:szCs w:val="20"/>
          </w:rPr>
          <w:t>https://doi.org/10.1016/j.vetmic.2009.08.021</w:t>
        </w:r>
      </w:hyperlink>
    </w:p>
    <w:p w14:paraId="1F25047C" w14:textId="1EBBEE48" w:rsidR="00657FDB" w:rsidRPr="006032FF" w:rsidRDefault="00657FDB" w:rsidP="006032FF">
      <w:pPr>
        <w:pStyle w:val="CitaviBibliographyEntry"/>
        <w:spacing w:after="120"/>
        <w:ind w:left="0" w:firstLine="0"/>
        <w:rPr>
          <w:rFonts w:cs="Arial"/>
          <w:sz w:val="20"/>
          <w:szCs w:val="20"/>
        </w:rPr>
      </w:pPr>
      <w:bookmarkStart w:id="494" w:name="_CTVL001218acce9a94e47899c75938f99e4e0cc"/>
      <w:bookmarkEnd w:id="493"/>
      <w:r w:rsidRPr="006032FF">
        <w:rPr>
          <w:rFonts w:cs="Arial"/>
          <w:sz w:val="20"/>
          <w:szCs w:val="20"/>
        </w:rPr>
        <w:t xml:space="preserve">Barlow R, Gobius KS (2008) Pilot survey for antimicrobial-resistant (AMR) bacteria in Australian food. </w:t>
      </w:r>
      <w:hyperlink r:id="rId54" w:history="1">
        <w:r w:rsidR="00010BAE" w:rsidRPr="006032FF">
          <w:rPr>
            <w:rStyle w:val="Hyperlink"/>
            <w:rFonts w:cs="Arial"/>
            <w:sz w:val="20"/>
            <w:szCs w:val="20"/>
          </w:rPr>
          <w:t>http://foodregulation.gov.au/internet/fr/publishing.nsf/Content/Antimicrobial-Resistance-in-Food</w:t>
        </w:r>
      </w:hyperlink>
      <w:r w:rsidRPr="006032FF">
        <w:rPr>
          <w:rFonts w:cs="Arial"/>
          <w:sz w:val="20"/>
          <w:szCs w:val="20"/>
        </w:rPr>
        <w:t>. Accessed 9 December 2020</w:t>
      </w:r>
    </w:p>
    <w:p w14:paraId="48A58DFC" w14:textId="3DB5A29D" w:rsidR="00657FDB" w:rsidRPr="006032FF" w:rsidRDefault="00657FDB" w:rsidP="006032FF">
      <w:pPr>
        <w:pStyle w:val="CitaviBibliographyEntry"/>
        <w:spacing w:after="120"/>
        <w:ind w:left="0" w:firstLine="0"/>
        <w:rPr>
          <w:rFonts w:cs="Arial"/>
          <w:sz w:val="20"/>
          <w:szCs w:val="20"/>
        </w:rPr>
      </w:pPr>
      <w:bookmarkStart w:id="495" w:name="_CTVL00115bf421d69824dba88bf13cc52e311aa"/>
      <w:bookmarkEnd w:id="494"/>
      <w:r w:rsidRPr="006032FF">
        <w:rPr>
          <w:rFonts w:cs="Arial"/>
          <w:sz w:val="20"/>
          <w:szCs w:val="20"/>
        </w:rPr>
        <w:t xml:space="preserve">Barlow RS, McMillian K, Duffy LL, Fegan N, Jordan D, Mellor GE (2015) Prevalence and antimicrobial resistance of </w:t>
      </w:r>
      <w:bookmarkEnd w:id="495"/>
      <w:r w:rsidRPr="006032FF">
        <w:rPr>
          <w:rFonts w:cs="Arial"/>
          <w:i/>
          <w:sz w:val="20"/>
          <w:szCs w:val="20"/>
        </w:rPr>
        <w:t xml:space="preserve">Salmonella </w:t>
      </w:r>
      <w:r w:rsidRPr="006032FF">
        <w:rPr>
          <w:rFonts w:cs="Arial"/>
          <w:sz w:val="20"/>
          <w:szCs w:val="20"/>
        </w:rPr>
        <w:t xml:space="preserve">and </w:t>
      </w:r>
      <w:r w:rsidRPr="006032FF">
        <w:rPr>
          <w:rFonts w:cs="Arial"/>
          <w:i/>
          <w:sz w:val="20"/>
          <w:szCs w:val="20"/>
        </w:rPr>
        <w:t xml:space="preserve">Escherichia coli </w:t>
      </w:r>
      <w:r w:rsidRPr="006032FF">
        <w:rPr>
          <w:rFonts w:cs="Arial"/>
          <w:sz w:val="20"/>
          <w:szCs w:val="20"/>
        </w:rPr>
        <w:t xml:space="preserve">from Australian cattle populations at slaughter. Journal of Food Protection 78:912–920. </w:t>
      </w:r>
      <w:hyperlink r:id="rId55" w:history="1">
        <w:r w:rsidR="00010BAE" w:rsidRPr="006032FF">
          <w:rPr>
            <w:rStyle w:val="Hyperlink"/>
            <w:rFonts w:cs="Arial"/>
            <w:sz w:val="20"/>
            <w:szCs w:val="20"/>
          </w:rPr>
          <w:t>https://doi.org/10.4315/0362-028X.JFP-14-476</w:t>
        </w:r>
      </w:hyperlink>
    </w:p>
    <w:p w14:paraId="2DCDE4FB" w14:textId="31BB8719" w:rsidR="00657FDB" w:rsidRPr="006032FF" w:rsidRDefault="00657FDB" w:rsidP="006032FF">
      <w:pPr>
        <w:pStyle w:val="CitaviBibliographyEntry"/>
        <w:spacing w:after="120"/>
        <w:ind w:left="0" w:firstLine="0"/>
        <w:rPr>
          <w:rFonts w:cs="Arial"/>
          <w:sz w:val="20"/>
          <w:szCs w:val="20"/>
        </w:rPr>
      </w:pPr>
      <w:bookmarkStart w:id="496" w:name="_CTVL0010821e002e5b54d5d8637f95c7961bc69"/>
      <w:r w:rsidRPr="006032FF">
        <w:rPr>
          <w:rFonts w:cs="Arial"/>
          <w:sz w:val="20"/>
          <w:szCs w:val="20"/>
        </w:rPr>
        <w:t xml:space="preserve">Bartlett Z, Danyluk M, Frankish E, Stanley R, Bowman J, Singh S, Ross T (2020) Technical Report: The effective control of </w:t>
      </w:r>
      <w:bookmarkEnd w:id="496"/>
      <w:r w:rsidRPr="006032FF">
        <w:rPr>
          <w:rFonts w:cs="Arial"/>
          <w:i/>
          <w:sz w:val="20"/>
          <w:szCs w:val="20"/>
        </w:rPr>
        <w:t>Listeria</w:t>
      </w:r>
      <w:r w:rsidRPr="006032FF">
        <w:rPr>
          <w:rFonts w:cs="Arial"/>
          <w:sz w:val="20"/>
          <w:szCs w:val="20"/>
        </w:rPr>
        <w:t xml:space="preserve"> on whole rockmelons through alternative post-harvest treatment methods. </w:t>
      </w:r>
      <w:hyperlink r:id="rId56" w:history="1">
        <w:r w:rsidR="00010BAE" w:rsidRPr="006032FF">
          <w:rPr>
            <w:rStyle w:val="Hyperlink"/>
            <w:rFonts w:cs="Arial"/>
            <w:sz w:val="20"/>
            <w:szCs w:val="20"/>
          </w:rPr>
          <w:t>https://www.horticulture.com.au/growers/help-your-business-grow/research-reports-publications-fact-sheets-and-more/vm19000/</w:t>
        </w:r>
      </w:hyperlink>
      <w:r w:rsidRPr="006032FF">
        <w:rPr>
          <w:rFonts w:cs="Arial"/>
          <w:sz w:val="20"/>
          <w:szCs w:val="20"/>
        </w:rPr>
        <w:t>. Accessed 17 Februray 2021</w:t>
      </w:r>
    </w:p>
    <w:p w14:paraId="3728E918" w14:textId="3CB2BB77" w:rsidR="00657FDB" w:rsidRPr="006032FF" w:rsidRDefault="00657FDB" w:rsidP="006032FF">
      <w:pPr>
        <w:pStyle w:val="CitaviBibliographyEntry"/>
        <w:spacing w:after="120"/>
        <w:ind w:left="0" w:firstLine="0"/>
        <w:rPr>
          <w:rFonts w:cs="Arial"/>
          <w:sz w:val="20"/>
          <w:szCs w:val="20"/>
        </w:rPr>
      </w:pPr>
      <w:bookmarkStart w:id="497" w:name="_CTVL00158cb8256729c4399bb0254684a7e8ac3"/>
      <w:r w:rsidRPr="006032FF">
        <w:rPr>
          <w:rFonts w:cs="Arial"/>
          <w:sz w:val="20"/>
          <w:szCs w:val="20"/>
        </w:rPr>
        <w:t>Bernard H, Faber M, Wilking H, Haller S, Höhle M, Schielke A, Ducomble T, Siffczyk C, Merbecks SS, Fricke G, Hamouda O, Stark K, Werber D (2014) Large multistate outbreak of norovirus gastroenteritis associated with frozen strawber</w:t>
      </w:r>
      <w:r w:rsidR="00BE68BE">
        <w:rPr>
          <w:rFonts w:cs="Arial"/>
          <w:sz w:val="20"/>
          <w:szCs w:val="20"/>
        </w:rPr>
        <w:t>ries, Germany, 2012. Euros</w:t>
      </w:r>
      <w:r w:rsidRPr="006032FF">
        <w:rPr>
          <w:rFonts w:cs="Arial"/>
          <w:sz w:val="20"/>
          <w:szCs w:val="20"/>
        </w:rPr>
        <w:t xml:space="preserve">urveillance 19:20719. </w:t>
      </w:r>
      <w:hyperlink r:id="rId57" w:history="1">
        <w:r w:rsidR="00010BAE" w:rsidRPr="006032FF">
          <w:rPr>
            <w:rStyle w:val="Hyperlink"/>
            <w:rFonts w:cs="Arial"/>
            <w:sz w:val="20"/>
            <w:szCs w:val="20"/>
          </w:rPr>
          <w:t>https://doi.org/10.2807/1560-7917.ES2014.19.8.20719</w:t>
        </w:r>
      </w:hyperlink>
    </w:p>
    <w:p w14:paraId="3BFF7790" w14:textId="148F32DD" w:rsidR="00657FDB" w:rsidRPr="006032FF" w:rsidRDefault="00657FDB" w:rsidP="006032FF">
      <w:pPr>
        <w:pStyle w:val="CitaviBibliographyEntry"/>
        <w:spacing w:after="120"/>
        <w:ind w:left="0" w:firstLine="0"/>
        <w:rPr>
          <w:rFonts w:cs="Arial"/>
          <w:sz w:val="20"/>
          <w:szCs w:val="20"/>
        </w:rPr>
      </w:pPr>
      <w:bookmarkStart w:id="498" w:name="_CTVL001e4a92753f557477382da1fbf1dcc090f"/>
      <w:bookmarkEnd w:id="497"/>
      <w:r w:rsidRPr="006032FF">
        <w:rPr>
          <w:rFonts w:cs="Arial"/>
          <w:sz w:val="20"/>
          <w:szCs w:val="20"/>
        </w:rPr>
        <w:t>Berry ED, Miller DN (2005) Cattle feedlot soil moisture and manure co</w:t>
      </w:r>
      <w:r w:rsidR="0057637C">
        <w:rPr>
          <w:rFonts w:cs="Arial"/>
          <w:sz w:val="20"/>
          <w:szCs w:val="20"/>
        </w:rPr>
        <w:t xml:space="preserve">ntent II. Impact on </w:t>
      </w:r>
      <w:r w:rsidR="0057637C" w:rsidRPr="0057637C">
        <w:rPr>
          <w:rFonts w:cs="Arial"/>
          <w:i/>
          <w:sz w:val="20"/>
          <w:szCs w:val="20"/>
        </w:rPr>
        <w:t>Escherichia </w:t>
      </w:r>
      <w:r w:rsidRPr="0057637C">
        <w:rPr>
          <w:rFonts w:cs="Arial"/>
          <w:i/>
          <w:sz w:val="20"/>
          <w:szCs w:val="20"/>
        </w:rPr>
        <w:t>coli</w:t>
      </w:r>
      <w:r w:rsidRPr="006032FF">
        <w:rPr>
          <w:rFonts w:cs="Arial"/>
          <w:sz w:val="20"/>
          <w:szCs w:val="20"/>
        </w:rPr>
        <w:t xml:space="preserve"> O157. J Environ Qual 34:656–663. </w:t>
      </w:r>
      <w:hyperlink r:id="rId58" w:history="1">
        <w:r w:rsidR="00010BAE" w:rsidRPr="006032FF">
          <w:rPr>
            <w:rStyle w:val="Hyperlink"/>
            <w:rFonts w:cs="Arial"/>
            <w:sz w:val="20"/>
            <w:szCs w:val="20"/>
          </w:rPr>
          <w:t>https://doi.org/10.2134/jeq2005.0656</w:t>
        </w:r>
      </w:hyperlink>
    </w:p>
    <w:p w14:paraId="2FBA6156" w14:textId="77777777" w:rsidR="009155E4" w:rsidRDefault="009155E4">
      <w:pPr>
        <w:widowControl/>
        <w:rPr>
          <w:rFonts w:cs="Arial"/>
          <w:color w:val="000000" w:themeColor="text1"/>
          <w:sz w:val="20"/>
          <w:szCs w:val="20"/>
        </w:rPr>
      </w:pPr>
      <w:bookmarkStart w:id="499" w:name="_CTVL0013208a88f21904b2c832a57edd450ab4f"/>
      <w:bookmarkEnd w:id="498"/>
      <w:r>
        <w:rPr>
          <w:rFonts w:cs="Arial"/>
          <w:sz w:val="20"/>
          <w:szCs w:val="20"/>
        </w:rPr>
        <w:br w:type="page"/>
      </w:r>
    </w:p>
    <w:p w14:paraId="1EF3D6FD" w14:textId="0BAABA51"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Berry ED, Wells JE, Bono JL, Woodbury BL, Kalchayanand N, Norman KN, Suslow TV, López-Velasco G, Millner PD (2015) Effect of proximity to a cattle feedlot on </w:t>
      </w:r>
      <w:bookmarkEnd w:id="499"/>
      <w:r w:rsidRPr="006032FF">
        <w:rPr>
          <w:rFonts w:cs="Arial"/>
          <w:i/>
          <w:sz w:val="20"/>
          <w:szCs w:val="20"/>
        </w:rPr>
        <w:t xml:space="preserve">Escherichia coli </w:t>
      </w:r>
      <w:r w:rsidRPr="006032FF">
        <w:rPr>
          <w:rFonts w:cs="Arial"/>
          <w:sz w:val="20"/>
          <w:szCs w:val="20"/>
        </w:rPr>
        <w:t xml:space="preserve">O157:H7 contamination of leafy greens and evaluation of the potential for airborne transmission. Applied and Environmental Microbiology 81:1101–1110. </w:t>
      </w:r>
      <w:hyperlink r:id="rId59" w:history="1">
        <w:r w:rsidR="00010BAE" w:rsidRPr="006032FF">
          <w:rPr>
            <w:rStyle w:val="Hyperlink"/>
            <w:rFonts w:cs="Arial"/>
            <w:sz w:val="20"/>
            <w:szCs w:val="20"/>
          </w:rPr>
          <w:t>https://doi.org/10.1128/AEM.02998-14</w:t>
        </w:r>
      </w:hyperlink>
    </w:p>
    <w:p w14:paraId="78618775" w14:textId="48D7C064" w:rsidR="00657FDB" w:rsidRPr="006032FF" w:rsidRDefault="00657FDB" w:rsidP="006032FF">
      <w:pPr>
        <w:pStyle w:val="CitaviBibliographyEntry"/>
        <w:spacing w:after="120"/>
        <w:ind w:left="0" w:firstLine="0"/>
        <w:rPr>
          <w:rFonts w:cs="Arial"/>
          <w:sz w:val="20"/>
          <w:szCs w:val="20"/>
        </w:rPr>
      </w:pPr>
      <w:bookmarkStart w:id="500" w:name="_CTVL001758f265f31a74dbcb6ed6f43389b2ba3"/>
      <w:r w:rsidRPr="006032FF">
        <w:rPr>
          <w:rFonts w:cs="Arial"/>
          <w:sz w:val="20"/>
          <w:szCs w:val="20"/>
        </w:rPr>
        <w:t xml:space="preserve">Beuchat LR, Scouten AJ (2004) Factors affecting survival, growth, and retrieval of </w:t>
      </w:r>
      <w:bookmarkEnd w:id="500"/>
      <w:r w:rsidRPr="006032FF">
        <w:rPr>
          <w:rFonts w:cs="Arial"/>
          <w:i/>
          <w:sz w:val="20"/>
          <w:szCs w:val="20"/>
        </w:rPr>
        <w:t xml:space="preserve">Salmonella </w:t>
      </w:r>
      <w:r w:rsidRPr="006032FF">
        <w:rPr>
          <w:rFonts w:cs="Arial"/>
          <w:sz w:val="20"/>
          <w:szCs w:val="20"/>
        </w:rPr>
        <w:t xml:space="preserve">Poona on intact and wounded cantaloupe rind and in stem scar tissue. Food Microbiology 21:683–694. </w:t>
      </w:r>
      <w:hyperlink r:id="rId60" w:history="1">
        <w:r w:rsidR="00010BAE" w:rsidRPr="006032FF">
          <w:rPr>
            <w:rStyle w:val="Hyperlink"/>
            <w:rFonts w:cs="Arial"/>
            <w:sz w:val="20"/>
            <w:szCs w:val="20"/>
          </w:rPr>
          <w:t>https://doi.org/10.1016/j.fm.2004.02.006</w:t>
        </w:r>
      </w:hyperlink>
    </w:p>
    <w:p w14:paraId="77C5D0A5" w14:textId="72002940" w:rsidR="00657FDB" w:rsidRPr="006032FF" w:rsidRDefault="00657FDB" w:rsidP="006032FF">
      <w:pPr>
        <w:pStyle w:val="CitaviBibliographyEntry"/>
        <w:spacing w:after="120"/>
        <w:ind w:left="0" w:firstLine="0"/>
        <w:rPr>
          <w:rFonts w:cs="Arial"/>
          <w:sz w:val="20"/>
          <w:szCs w:val="20"/>
        </w:rPr>
      </w:pPr>
      <w:bookmarkStart w:id="501" w:name="_CTVL00118f6fbcb54b34f7499467a5549f1799a"/>
      <w:r w:rsidRPr="006032FF">
        <w:rPr>
          <w:rFonts w:cs="Arial"/>
          <w:sz w:val="20"/>
          <w:szCs w:val="20"/>
        </w:rPr>
        <w:t xml:space="preserve">Bezanson GS, Delaquis P, Bach S, McKellar R, Topp E, Gill A, Blais B, Gilmour M (2012) Comparative examination of </w:t>
      </w:r>
      <w:bookmarkEnd w:id="501"/>
      <w:r w:rsidRPr="006032FF">
        <w:rPr>
          <w:rFonts w:cs="Arial"/>
          <w:i/>
          <w:sz w:val="20"/>
          <w:szCs w:val="20"/>
        </w:rPr>
        <w:t xml:space="preserve">Escherichia coli </w:t>
      </w:r>
      <w:r w:rsidRPr="006032FF">
        <w:rPr>
          <w:rFonts w:cs="Arial"/>
          <w:sz w:val="20"/>
          <w:szCs w:val="20"/>
        </w:rPr>
        <w:t xml:space="preserve">O157:H7 survival on romaine lettuce and in soil at two independent experimental sites. Journal of Food Protection 75:480–487. </w:t>
      </w:r>
      <w:hyperlink r:id="rId61" w:history="1">
        <w:r w:rsidR="00010BAE" w:rsidRPr="006032FF">
          <w:rPr>
            <w:rStyle w:val="Hyperlink"/>
            <w:rFonts w:cs="Arial"/>
            <w:sz w:val="20"/>
            <w:szCs w:val="20"/>
          </w:rPr>
          <w:t>https://doi.org/10.4315/0362-028X.JFP-11-306</w:t>
        </w:r>
      </w:hyperlink>
    </w:p>
    <w:p w14:paraId="29A7E9E7" w14:textId="7CE65FDC" w:rsidR="00657FDB" w:rsidRPr="006032FF" w:rsidRDefault="00657FDB" w:rsidP="006032FF">
      <w:pPr>
        <w:pStyle w:val="CitaviBibliographyEntry"/>
        <w:spacing w:after="120"/>
        <w:ind w:left="0" w:firstLine="0"/>
        <w:rPr>
          <w:rFonts w:cs="Arial"/>
          <w:sz w:val="20"/>
          <w:szCs w:val="20"/>
        </w:rPr>
      </w:pPr>
      <w:bookmarkStart w:id="502" w:name="_CTVL00139e0e23321dd41d9a9f8d5d92e100608"/>
      <w:r w:rsidRPr="006032FF">
        <w:rPr>
          <w:rFonts w:cs="Arial"/>
          <w:sz w:val="20"/>
          <w:szCs w:val="20"/>
        </w:rPr>
        <w:t xml:space="preserve">Bonsaglia E, Silva N, Fernades Júnior A, Araújo Júnior JP, Tsunemi MH, Rall V (2014) Production of biofilm by </w:t>
      </w:r>
      <w:bookmarkEnd w:id="502"/>
      <w:r w:rsidRPr="006032FF">
        <w:rPr>
          <w:rFonts w:cs="Arial"/>
          <w:i/>
          <w:sz w:val="20"/>
          <w:szCs w:val="20"/>
        </w:rPr>
        <w:t>Listeria monocytogenes</w:t>
      </w:r>
      <w:r w:rsidRPr="006032FF">
        <w:rPr>
          <w:rFonts w:cs="Arial"/>
          <w:sz w:val="20"/>
          <w:szCs w:val="20"/>
        </w:rPr>
        <w:t xml:space="preserve"> in different materials and temperatures. Food Control 35:386–391. </w:t>
      </w:r>
      <w:hyperlink r:id="rId62" w:history="1">
        <w:r w:rsidR="00010BAE" w:rsidRPr="006032FF">
          <w:rPr>
            <w:rStyle w:val="Hyperlink"/>
            <w:rFonts w:cs="Arial"/>
            <w:sz w:val="20"/>
            <w:szCs w:val="20"/>
          </w:rPr>
          <w:t>https://doi.org/10.1016/j.foodcont.2013.07.023</w:t>
        </w:r>
      </w:hyperlink>
    </w:p>
    <w:p w14:paraId="712B63F8" w14:textId="5D729A97" w:rsidR="00657FDB" w:rsidRPr="006032FF" w:rsidRDefault="00657FDB" w:rsidP="006032FF">
      <w:pPr>
        <w:pStyle w:val="CitaviBibliographyEntry"/>
        <w:spacing w:after="120"/>
        <w:ind w:left="0" w:firstLine="0"/>
        <w:rPr>
          <w:rFonts w:cs="Arial"/>
          <w:sz w:val="20"/>
          <w:szCs w:val="20"/>
        </w:rPr>
      </w:pPr>
      <w:bookmarkStart w:id="503" w:name="_CTVL001c38a3728ac3248d6811132ddf9c15aa9"/>
      <w:r w:rsidRPr="006032FF">
        <w:rPr>
          <w:rFonts w:cs="Arial"/>
          <w:sz w:val="20"/>
          <w:szCs w:val="20"/>
        </w:rPr>
        <w:t>Boxall ABA, Hardy A, Beulke S, Boucard T, Burgin L, Falloon PD, Ha</w:t>
      </w:r>
      <w:r w:rsidR="0057637C">
        <w:rPr>
          <w:rFonts w:cs="Arial"/>
          <w:sz w:val="20"/>
          <w:szCs w:val="20"/>
        </w:rPr>
        <w:t>ygarth PM, Hutchinson T, Kovats </w:t>
      </w:r>
      <w:r w:rsidRPr="006032FF">
        <w:rPr>
          <w:rFonts w:cs="Arial"/>
          <w:sz w:val="20"/>
          <w:szCs w:val="20"/>
        </w:rPr>
        <w:t xml:space="preserve">RS, Leonardi G (2009) Impacts of climate change on indirect human exposure to pathogens and chemicals from agriculture. Environmental Health Perspectives 117:508–514. </w:t>
      </w:r>
      <w:hyperlink r:id="rId63" w:history="1">
        <w:r w:rsidR="00010BAE" w:rsidRPr="006032FF">
          <w:rPr>
            <w:rStyle w:val="Hyperlink"/>
            <w:rFonts w:cs="Arial"/>
            <w:sz w:val="20"/>
            <w:szCs w:val="20"/>
          </w:rPr>
          <w:t>https://doi.org/10.1289/ehp.0800084</w:t>
        </w:r>
      </w:hyperlink>
    </w:p>
    <w:p w14:paraId="38EB2BDF" w14:textId="0857EE45" w:rsidR="00657FDB" w:rsidRPr="006032FF" w:rsidRDefault="00657FDB" w:rsidP="006032FF">
      <w:pPr>
        <w:pStyle w:val="CitaviBibliographyEntry"/>
        <w:spacing w:after="120"/>
        <w:ind w:left="0" w:firstLine="0"/>
        <w:rPr>
          <w:rFonts w:cs="Arial"/>
          <w:sz w:val="20"/>
          <w:szCs w:val="20"/>
        </w:rPr>
      </w:pPr>
      <w:bookmarkStart w:id="504" w:name="_CTVL0011cd446257a244bd8b4efe5f45ba07043"/>
      <w:bookmarkEnd w:id="503"/>
      <w:r w:rsidRPr="006032FF">
        <w:rPr>
          <w:rFonts w:cs="Arial"/>
          <w:sz w:val="20"/>
          <w:szCs w:val="20"/>
        </w:rPr>
        <w:t xml:space="preserve">Boyer RR, Sumner SS, Williams RC, Kniel KE, McKinney JM (2011) Role of O-antigen on the </w:t>
      </w:r>
      <w:bookmarkEnd w:id="504"/>
      <w:r w:rsidRPr="006032FF">
        <w:rPr>
          <w:rFonts w:cs="Arial"/>
          <w:i/>
          <w:sz w:val="20"/>
          <w:szCs w:val="20"/>
        </w:rPr>
        <w:t xml:space="preserve">Escherichia coli </w:t>
      </w:r>
      <w:r w:rsidRPr="006032FF">
        <w:rPr>
          <w:rFonts w:cs="Arial"/>
          <w:sz w:val="20"/>
          <w:szCs w:val="20"/>
        </w:rPr>
        <w:t xml:space="preserve">O157:H7 cells hydrophobicity, charge and ability to attach to lettuce. International Journal of Food Microbiology 147:228–232. </w:t>
      </w:r>
      <w:hyperlink r:id="rId64" w:history="1">
        <w:r w:rsidR="00010BAE" w:rsidRPr="006032FF">
          <w:rPr>
            <w:rStyle w:val="Hyperlink"/>
            <w:rFonts w:cs="Arial"/>
            <w:sz w:val="20"/>
            <w:szCs w:val="20"/>
          </w:rPr>
          <w:t>https://doi.org/10.1016/j.ijfoodmicro.2011.04.016</w:t>
        </w:r>
      </w:hyperlink>
    </w:p>
    <w:p w14:paraId="219B42D7" w14:textId="64248EEA" w:rsidR="00657FDB" w:rsidRPr="006032FF" w:rsidRDefault="00657FDB" w:rsidP="006032FF">
      <w:pPr>
        <w:pStyle w:val="CitaviBibliographyEntry"/>
        <w:spacing w:after="120"/>
        <w:ind w:left="0" w:firstLine="0"/>
        <w:rPr>
          <w:rFonts w:cs="Arial"/>
          <w:sz w:val="20"/>
          <w:szCs w:val="20"/>
        </w:rPr>
      </w:pPr>
      <w:bookmarkStart w:id="505" w:name="_CTVL00112d4f07e796d4569b17ae8f0b02526ee"/>
      <w:r w:rsidRPr="006032FF">
        <w:rPr>
          <w:rFonts w:cs="Arial"/>
          <w:sz w:val="20"/>
          <w:szCs w:val="20"/>
        </w:rPr>
        <w:t xml:space="preserve">Bozkurt H, Phan-Thien KY, van Ogtrop F, Bell T, McConchie R (2020) Outbreaks, occurrence, and control of norovirus and hepatitis A virus contamination in berries: A review. Critical Reviews in Food Science &amp; Nutrition:1-23. </w:t>
      </w:r>
      <w:hyperlink r:id="rId65" w:history="1">
        <w:r w:rsidR="00010BAE" w:rsidRPr="006032FF">
          <w:rPr>
            <w:rStyle w:val="Hyperlink"/>
            <w:rFonts w:cs="Arial"/>
            <w:sz w:val="20"/>
            <w:szCs w:val="20"/>
          </w:rPr>
          <w:t>https://doi.org/10.1080/10408398.2020.1719383</w:t>
        </w:r>
      </w:hyperlink>
    </w:p>
    <w:p w14:paraId="1409330E" w14:textId="1CDCEE5E" w:rsidR="00657FDB" w:rsidRPr="006032FF" w:rsidRDefault="00657FDB" w:rsidP="006032FF">
      <w:pPr>
        <w:pStyle w:val="CitaviBibliographyEntry"/>
        <w:spacing w:after="120"/>
        <w:ind w:left="0" w:firstLine="0"/>
        <w:rPr>
          <w:rFonts w:cs="Arial"/>
          <w:sz w:val="20"/>
          <w:szCs w:val="20"/>
        </w:rPr>
      </w:pPr>
      <w:bookmarkStart w:id="506" w:name="_CTVL001480e4cb6dfd74955a656177d693b894e"/>
      <w:bookmarkEnd w:id="505"/>
      <w:r w:rsidRPr="006032FF">
        <w:rPr>
          <w:rFonts w:cs="Arial"/>
          <w:sz w:val="20"/>
          <w:szCs w:val="20"/>
        </w:rPr>
        <w:t xml:space="preserve">Bozkurt H, Bell T, van Ogtrop F, Phan-Thien K-Y, McConchie R (2021) Assessment of microbial risk during Australian industrial practices for </w:t>
      </w:r>
      <w:r w:rsidRPr="00482DC1">
        <w:rPr>
          <w:rFonts w:cs="Arial"/>
          <w:i/>
          <w:sz w:val="20"/>
          <w:szCs w:val="20"/>
        </w:rPr>
        <w:t>Escherichia coli</w:t>
      </w:r>
      <w:r w:rsidRPr="006032FF">
        <w:rPr>
          <w:rFonts w:cs="Arial"/>
          <w:sz w:val="20"/>
          <w:szCs w:val="20"/>
        </w:rPr>
        <w:t xml:space="preserve"> O157:H7 in fresh cut-cos lettuce: A stochastic quantitative approach. Food Microbiology 95:103691. </w:t>
      </w:r>
      <w:hyperlink r:id="rId66" w:history="1">
        <w:r w:rsidR="00010BAE" w:rsidRPr="006032FF">
          <w:rPr>
            <w:rStyle w:val="Hyperlink"/>
            <w:rFonts w:cs="Arial"/>
            <w:sz w:val="20"/>
            <w:szCs w:val="20"/>
          </w:rPr>
          <w:t>https://doi.org/10.1016/j.fm.2020.103691</w:t>
        </w:r>
      </w:hyperlink>
    </w:p>
    <w:p w14:paraId="3103025A" w14:textId="4D1FFDC4" w:rsidR="00657FDB" w:rsidRPr="006032FF" w:rsidRDefault="00657FDB" w:rsidP="006032FF">
      <w:pPr>
        <w:pStyle w:val="CitaviBibliographyEntry"/>
        <w:spacing w:after="120"/>
        <w:ind w:left="0" w:firstLine="0"/>
        <w:rPr>
          <w:rFonts w:cs="Arial"/>
          <w:sz w:val="20"/>
          <w:szCs w:val="20"/>
        </w:rPr>
      </w:pPr>
      <w:bookmarkStart w:id="507" w:name="_CTVL0012ca0def1d4424e7081c6ecb4e0a05876"/>
      <w:bookmarkEnd w:id="506"/>
      <w:r w:rsidRPr="006032FF">
        <w:rPr>
          <w:rFonts w:cs="Arial"/>
          <w:sz w:val="20"/>
          <w:szCs w:val="20"/>
        </w:rPr>
        <w:t xml:space="preserve">Brandl MT, Amundson R (2008) Leaf age as a risk factor in contamination of lettuce with </w:t>
      </w:r>
      <w:bookmarkEnd w:id="507"/>
      <w:r w:rsidR="0057637C">
        <w:rPr>
          <w:rFonts w:cs="Arial"/>
          <w:i/>
          <w:sz w:val="20"/>
          <w:szCs w:val="20"/>
        </w:rPr>
        <w:t>Escherichia </w:t>
      </w:r>
      <w:r w:rsidRPr="006032FF">
        <w:rPr>
          <w:rFonts w:cs="Arial"/>
          <w:i/>
          <w:sz w:val="20"/>
          <w:szCs w:val="20"/>
        </w:rPr>
        <w:t xml:space="preserve">coli </w:t>
      </w:r>
      <w:r w:rsidRPr="006032FF">
        <w:rPr>
          <w:rFonts w:cs="Arial"/>
          <w:sz w:val="20"/>
          <w:szCs w:val="20"/>
        </w:rPr>
        <w:t xml:space="preserve">O157:H7 and </w:t>
      </w:r>
      <w:r w:rsidRPr="006032FF">
        <w:rPr>
          <w:rFonts w:cs="Arial"/>
          <w:i/>
          <w:sz w:val="20"/>
          <w:szCs w:val="20"/>
        </w:rPr>
        <w:t>Salmonella enterica</w:t>
      </w:r>
      <w:r w:rsidRPr="006032FF">
        <w:rPr>
          <w:rFonts w:cs="Arial"/>
          <w:sz w:val="20"/>
          <w:szCs w:val="20"/>
        </w:rPr>
        <w:t xml:space="preserve">. Applied and Environmental Microbiology 74:2298–2306. </w:t>
      </w:r>
      <w:hyperlink r:id="rId67" w:history="1">
        <w:r w:rsidR="00010BAE" w:rsidRPr="006032FF">
          <w:rPr>
            <w:rStyle w:val="Hyperlink"/>
            <w:rFonts w:cs="Arial"/>
            <w:sz w:val="20"/>
            <w:szCs w:val="20"/>
          </w:rPr>
          <w:t>https://doi.org/10.1128/AEM.02459-07</w:t>
        </w:r>
      </w:hyperlink>
    </w:p>
    <w:p w14:paraId="0BC5C70F" w14:textId="20C6112F" w:rsidR="00657FDB" w:rsidRPr="006032FF" w:rsidRDefault="00657FDB" w:rsidP="006032FF">
      <w:pPr>
        <w:pStyle w:val="CitaviBibliographyEntry"/>
        <w:spacing w:after="120"/>
        <w:ind w:left="0" w:firstLine="0"/>
        <w:rPr>
          <w:rFonts w:cs="Arial"/>
          <w:sz w:val="20"/>
          <w:szCs w:val="20"/>
        </w:rPr>
      </w:pPr>
      <w:bookmarkStart w:id="508" w:name="_CTVL001714252a5de65449fb9ab310186790b85"/>
      <w:r w:rsidRPr="006032FF">
        <w:rPr>
          <w:rFonts w:cs="Arial"/>
          <w:sz w:val="20"/>
          <w:szCs w:val="20"/>
        </w:rPr>
        <w:t xml:space="preserve">Buchholz AL, Davidson GR, Marks BP, Todd EC, Ryser ET (2012) Quantitative transfer of </w:t>
      </w:r>
      <w:bookmarkEnd w:id="508"/>
      <w:r w:rsidR="0057637C">
        <w:rPr>
          <w:rFonts w:cs="Arial"/>
          <w:i/>
          <w:sz w:val="20"/>
          <w:szCs w:val="20"/>
        </w:rPr>
        <w:t>Escherchia </w:t>
      </w:r>
      <w:r w:rsidRPr="006032FF">
        <w:rPr>
          <w:rFonts w:cs="Arial"/>
          <w:i/>
          <w:sz w:val="20"/>
          <w:szCs w:val="20"/>
        </w:rPr>
        <w:t xml:space="preserve">coli </w:t>
      </w:r>
      <w:r w:rsidRPr="006032FF">
        <w:rPr>
          <w:rFonts w:cs="Arial"/>
          <w:sz w:val="20"/>
          <w:szCs w:val="20"/>
        </w:rPr>
        <w:t xml:space="preserve">O157:H7 to equipment during small-scale production of fresh-cut leafy greens. Journal of Food Protection 75:1184–1197. </w:t>
      </w:r>
      <w:hyperlink r:id="rId68" w:history="1">
        <w:r w:rsidR="00010BAE" w:rsidRPr="006032FF">
          <w:rPr>
            <w:rStyle w:val="Hyperlink"/>
            <w:rFonts w:cs="Arial"/>
            <w:sz w:val="20"/>
            <w:szCs w:val="20"/>
          </w:rPr>
          <w:t>https://doi.org/10.4315/0362-028X.JFP-11-489</w:t>
        </w:r>
      </w:hyperlink>
    </w:p>
    <w:p w14:paraId="022EEF66" w14:textId="77777777" w:rsidR="00657FDB" w:rsidRPr="006032FF" w:rsidRDefault="00657FDB" w:rsidP="006032FF">
      <w:pPr>
        <w:pStyle w:val="CitaviBibliographyEntry"/>
        <w:spacing w:after="120"/>
        <w:ind w:left="0" w:firstLine="0"/>
        <w:rPr>
          <w:rFonts w:cs="Arial"/>
          <w:sz w:val="20"/>
          <w:szCs w:val="20"/>
        </w:rPr>
      </w:pPr>
      <w:bookmarkStart w:id="509" w:name="_CTVL001cf32befb94af47e38a1daf350df76bb0"/>
      <w:r w:rsidRPr="006032FF">
        <w:rPr>
          <w:rFonts w:cs="Arial"/>
          <w:sz w:val="20"/>
          <w:szCs w:val="20"/>
        </w:rPr>
        <w:t xml:space="preserve">Budzińska K, Wroński G, Szejniuk B (2012) Survival time of bacteria </w:t>
      </w:r>
      <w:bookmarkEnd w:id="509"/>
      <w:r w:rsidRPr="006032FF">
        <w:rPr>
          <w:rFonts w:cs="Arial"/>
          <w:i/>
          <w:sz w:val="20"/>
          <w:szCs w:val="20"/>
        </w:rPr>
        <w:t>Listeria monocytogenes</w:t>
      </w:r>
      <w:r w:rsidRPr="006032FF">
        <w:rPr>
          <w:rFonts w:cs="Arial"/>
          <w:sz w:val="20"/>
          <w:szCs w:val="20"/>
        </w:rPr>
        <w:t xml:space="preserve"> in water environment and sewage. Polish Journal of Environmental Studies 21:31–37</w:t>
      </w:r>
    </w:p>
    <w:p w14:paraId="3D51289F" w14:textId="5BC8AB1C" w:rsidR="00657FDB" w:rsidRPr="006032FF" w:rsidRDefault="00657FDB" w:rsidP="006032FF">
      <w:pPr>
        <w:pStyle w:val="CitaviBibliographyEntry"/>
        <w:spacing w:after="120"/>
        <w:ind w:left="0" w:firstLine="0"/>
        <w:rPr>
          <w:rFonts w:cs="Arial"/>
          <w:sz w:val="20"/>
          <w:szCs w:val="20"/>
        </w:rPr>
      </w:pPr>
      <w:bookmarkStart w:id="510" w:name="_CTVL001c1f837ae4c0946c583d6ba72da6c163f"/>
      <w:r w:rsidRPr="006032FF">
        <w:rPr>
          <w:rFonts w:cs="Arial"/>
          <w:sz w:val="20"/>
          <w:szCs w:val="20"/>
        </w:rPr>
        <w:t>Burris KP, Simmons O, Webb HM, Moore RG, Jaykus L, Zheng J, Reed E, Ferreira CM, Br</w:t>
      </w:r>
      <w:r w:rsidR="0057637C">
        <w:rPr>
          <w:rFonts w:cs="Arial"/>
          <w:sz w:val="20"/>
          <w:szCs w:val="20"/>
        </w:rPr>
        <w:t>own E, Bell </w:t>
      </w:r>
      <w:r w:rsidRPr="006032FF">
        <w:rPr>
          <w:rFonts w:cs="Arial"/>
          <w:sz w:val="20"/>
          <w:szCs w:val="20"/>
        </w:rPr>
        <w:t xml:space="preserve">RL (2018) Colonization and internalization of </w:t>
      </w:r>
      <w:bookmarkEnd w:id="510"/>
      <w:r w:rsidRPr="006032FF">
        <w:rPr>
          <w:rFonts w:cs="Arial"/>
          <w:i/>
          <w:sz w:val="20"/>
          <w:szCs w:val="20"/>
        </w:rPr>
        <w:t xml:space="preserve">Salmonella enterica </w:t>
      </w:r>
      <w:r w:rsidRPr="006032FF">
        <w:rPr>
          <w:rFonts w:cs="Arial"/>
          <w:sz w:val="20"/>
          <w:szCs w:val="20"/>
        </w:rPr>
        <w:t xml:space="preserve">in cantaloupe plants. Journal of Food Protection 81 Suppl. A:127. </w:t>
      </w:r>
      <w:hyperlink r:id="rId69" w:history="1">
        <w:r w:rsidR="00010BAE" w:rsidRPr="006032FF">
          <w:rPr>
            <w:rStyle w:val="Hyperlink"/>
            <w:rFonts w:cs="Arial"/>
            <w:sz w:val="20"/>
            <w:szCs w:val="20"/>
          </w:rPr>
          <w:t>https://doi.org/10.4315/0362-028X-81.sp1.1</w:t>
        </w:r>
      </w:hyperlink>
    </w:p>
    <w:p w14:paraId="783CAF4F" w14:textId="7A49B8F0" w:rsidR="00657FDB" w:rsidRPr="006032FF" w:rsidRDefault="00657FDB" w:rsidP="006032FF">
      <w:pPr>
        <w:pStyle w:val="CitaviBibliographyEntry"/>
        <w:spacing w:after="120"/>
        <w:ind w:left="0" w:firstLine="0"/>
        <w:rPr>
          <w:rFonts w:cs="Arial"/>
          <w:sz w:val="20"/>
          <w:szCs w:val="20"/>
        </w:rPr>
      </w:pPr>
      <w:bookmarkStart w:id="511" w:name="_CTVL001bdef347b1d184d85983c216acacf1239"/>
      <w:r w:rsidRPr="006032FF">
        <w:rPr>
          <w:rFonts w:cs="Arial"/>
          <w:sz w:val="20"/>
          <w:szCs w:val="20"/>
        </w:rPr>
        <w:t xml:space="preserve">Calder L, Simmons G, Thornley C, Taylor P, Pritchard K, Greening G, Bishop J (2007) An outbreak of hepatitis A associated with consumption of raw blueberries. New Zealand Ministry for Primary Industries. Wellington. </w:t>
      </w:r>
      <w:hyperlink r:id="rId70" w:history="1">
        <w:r w:rsidR="00010BAE" w:rsidRPr="006032FF">
          <w:rPr>
            <w:rStyle w:val="Hyperlink"/>
            <w:rFonts w:cs="Arial"/>
            <w:sz w:val="20"/>
            <w:szCs w:val="20"/>
          </w:rPr>
          <w:t>https://www.mpi.govt.nz/dmsdocument/23996-an-outbreak-of-hepatitis-a-associated-with-consumption-of-raw-blueberries</w:t>
        </w:r>
      </w:hyperlink>
      <w:r w:rsidRPr="006032FF">
        <w:rPr>
          <w:rFonts w:cs="Arial"/>
          <w:sz w:val="20"/>
          <w:szCs w:val="20"/>
        </w:rPr>
        <w:t>. Accessed 1 September 2020</w:t>
      </w:r>
    </w:p>
    <w:p w14:paraId="694513EF" w14:textId="12C30F25" w:rsidR="00657FDB" w:rsidRPr="006032FF" w:rsidRDefault="00657FDB" w:rsidP="006032FF">
      <w:pPr>
        <w:pStyle w:val="CitaviBibliographyEntry"/>
        <w:spacing w:after="120"/>
        <w:ind w:left="0" w:firstLine="0"/>
        <w:rPr>
          <w:rFonts w:cs="Arial"/>
          <w:sz w:val="20"/>
          <w:szCs w:val="20"/>
        </w:rPr>
      </w:pPr>
      <w:bookmarkStart w:id="512" w:name="_CTVL001d1ce155c7c664512bc587f9922c6bce8"/>
      <w:bookmarkEnd w:id="511"/>
      <w:r w:rsidRPr="006032FF">
        <w:rPr>
          <w:rFonts w:cs="Arial"/>
          <w:sz w:val="20"/>
          <w:szCs w:val="20"/>
        </w:rPr>
        <w:t xml:space="preserve">CalFERT (2007) Investigation of an </w:t>
      </w:r>
      <w:bookmarkEnd w:id="512"/>
      <w:r w:rsidRPr="006032FF">
        <w:rPr>
          <w:rFonts w:cs="Arial"/>
          <w:i/>
          <w:sz w:val="20"/>
          <w:szCs w:val="20"/>
        </w:rPr>
        <w:t xml:space="preserve">Escherichia coli </w:t>
      </w:r>
      <w:r w:rsidRPr="006032FF">
        <w:rPr>
          <w:rFonts w:cs="Arial"/>
          <w:sz w:val="20"/>
          <w:szCs w:val="20"/>
        </w:rPr>
        <w:t xml:space="preserve">O157:H7 outbreak associated with Dole pre-packaged spinach. California Food Emergency Response Team. </w:t>
      </w:r>
      <w:hyperlink r:id="rId71" w:history="1">
        <w:r w:rsidR="00010BAE" w:rsidRPr="006032FF">
          <w:rPr>
            <w:rStyle w:val="Hyperlink"/>
            <w:rFonts w:cs="Arial"/>
            <w:sz w:val="20"/>
            <w:szCs w:val="20"/>
          </w:rPr>
          <w:t>https://www.marlerblog.com/files/2013/02/2006_Spinach_Report_Final_01.pdf</w:t>
        </w:r>
      </w:hyperlink>
      <w:r w:rsidR="0057637C">
        <w:rPr>
          <w:rFonts w:cs="Arial"/>
          <w:sz w:val="20"/>
          <w:szCs w:val="20"/>
        </w:rPr>
        <w:t>. Accessed 1 </w:t>
      </w:r>
      <w:r w:rsidRPr="006032FF">
        <w:rPr>
          <w:rFonts w:cs="Arial"/>
          <w:sz w:val="20"/>
          <w:szCs w:val="20"/>
        </w:rPr>
        <w:t>September 2020</w:t>
      </w:r>
    </w:p>
    <w:p w14:paraId="503E4601" w14:textId="288A28CC" w:rsidR="00657FDB" w:rsidRPr="006032FF" w:rsidRDefault="00657FDB" w:rsidP="006032FF">
      <w:pPr>
        <w:pStyle w:val="CitaviBibliographyEntry"/>
        <w:spacing w:after="120"/>
        <w:ind w:left="0" w:firstLine="0"/>
        <w:rPr>
          <w:rFonts w:cs="Arial"/>
          <w:sz w:val="20"/>
          <w:szCs w:val="20"/>
        </w:rPr>
      </w:pPr>
      <w:bookmarkStart w:id="513" w:name="_CTVL001fb2841d16d754ef59f2f008beccbcdc8"/>
      <w:r w:rsidRPr="006032FF">
        <w:rPr>
          <w:rFonts w:cs="Arial"/>
          <w:sz w:val="20"/>
          <w:szCs w:val="20"/>
        </w:rPr>
        <w:t xml:space="preserve">California LGMA (2020) Commodity specific food safety guidelines for the production and harvest of lettuce and leafy greens. California Leafy Green Products Handler Marketing Agreement. </w:t>
      </w:r>
      <w:hyperlink r:id="rId72" w:history="1">
        <w:r w:rsidR="00010BAE" w:rsidRPr="006032FF">
          <w:rPr>
            <w:rStyle w:val="Hyperlink"/>
            <w:rFonts w:cs="Arial"/>
            <w:sz w:val="20"/>
            <w:szCs w:val="20"/>
          </w:rPr>
          <w:t>https://lgmatech.com/wp-content/uploads/2020/08/CA-LGMA-Metrics-August-2020_Final_Clean_9-18-20.pdf</w:t>
        </w:r>
      </w:hyperlink>
      <w:r w:rsidRPr="006032FF">
        <w:rPr>
          <w:rFonts w:cs="Arial"/>
          <w:sz w:val="20"/>
          <w:szCs w:val="20"/>
        </w:rPr>
        <w:t>. Accessed 27 November 2020</w:t>
      </w:r>
    </w:p>
    <w:p w14:paraId="42ECDED7" w14:textId="77777777" w:rsidR="009155E4" w:rsidRDefault="009155E4">
      <w:pPr>
        <w:widowControl/>
        <w:rPr>
          <w:rFonts w:cs="Arial"/>
          <w:color w:val="000000" w:themeColor="text1"/>
          <w:sz w:val="20"/>
          <w:szCs w:val="20"/>
        </w:rPr>
      </w:pPr>
      <w:bookmarkStart w:id="514" w:name="_CTVL001870d3f9222c84a019f66a3392a377f82"/>
      <w:bookmarkEnd w:id="513"/>
      <w:r>
        <w:rPr>
          <w:rFonts w:cs="Arial"/>
          <w:sz w:val="20"/>
          <w:szCs w:val="20"/>
        </w:rPr>
        <w:br w:type="page"/>
      </w:r>
    </w:p>
    <w:p w14:paraId="2C317C04" w14:textId="1B91C986"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Carter R, Massel M, Abad F, Hampton J, Gunter C, Perkins-Veazie P, Gutiérrez-Rodríguez E (2016) Microbial community structure and chemical composition of surface waters: Implications for the recreational water standards and microbial safety of strawberries. Journal of Food Protection 79 Suppl. A:72. </w:t>
      </w:r>
      <w:hyperlink r:id="rId73" w:history="1">
        <w:r w:rsidR="00010BAE" w:rsidRPr="006032FF">
          <w:rPr>
            <w:rStyle w:val="Hyperlink"/>
            <w:rFonts w:cs="Arial"/>
            <w:sz w:val="20"/>
            <w:szCs w:val="20"/>
          </w:rPr>
          <w:t>https://doi.org/10.4315/0362-028X-79.sp1.1</w:t>
        </w:r>
      </w:hyperlink>
    </w:p>
    <w:p w14:paraId="7CCAC68F" w14:textId="0240437A" w:rsidR="00657FDB" w:rsidRPr="006032FF" w:rsidRDefault="00657FDB" w:rsidP="006032FF">
      <w:pPr>
        <w:pStyle w:val="CitaviBibliographyEntry"/>
        <w:spacing w:after="120"/>
        <w:ind w:left="0" w:firstLine="0"/>
        <w:rPr>
          <w:rFonts w:cs="Arial"/>
          <w:sz w:val="20"/>
          <w:szCs w:val="20"/>
        </w:rPr>
      </w:pPr>
      <w:bookmarkStart w:id="515" w:name="_CTVL001bf241cf8cb99488fac5266ce738436b2"/>
      <w:bookmarkEnd w:id="514"/>
      <w:r w:rsidRPr="006032FF">
        <w:rPr>
          <w:rFonts w:cs="Arial"/>
          <w:sz w:val="20"/>
          <w:szCs w:val="20"/>
        </w:rPr>
        <w:t xml:space="preserve">Casteel MJ, Sobsey MD, Mueller JP (2006) Fecal contamination of agricultural soils before and after hurricane-associated flooding in North Carolina. Journal of Environmental Science and Health, Part A 41:173–184. </w:t>
      </w:r>
      <w:hyperlink r:id="rId74" w:history="1">
        <w:r w:rsidR="00010BAE" w:rsidRPr="006032FF">
          <w:rPr>
            <w:rStyle w:val="Hyperlink"/>
            <w:rFonts w:cs="Arial"/>
            <w:sz w:val="20"/>
            <w:szCs w:val="20"/>
          </w:rPr>
          <w:t>https://doi.org/10.1080/10934520500351884</w:t>
        </w:r>
      </w:hyperlink>
    </w:p>
    <w:p w14:paraId="4D9C299C" w14:textId="21F94226" w:rsidR="00657FDB" w:rsidRPr="006032FF" w:rsidRDefault="00657FDB" w:rsidP="006032FF">
      <w:pPr>
        <w:pStyle w:val="CitaviBibliographyEntry"/>
        <w:spacing w:after="120"/>
        <w:ind w:left="0" w:firstLine="0"/>
        <w:rPr>
          <w:rFonts w:cs="Arial"/>
          <w:sz w:val="20"/>
          <w:szCs w:val="20"/>
        </w:rPr>
      </w:pPr>
      <w:bookmarkStart w:id="516" w:name="_CTVL001c91eb64dc7cd4a2b8bd866aa2f4013dc"/>
      <w:bookmarkEnd w:id="515"/>
      <w:r w:rsidRPr="006032FF">
        <w:rPr>
          <w:rFonts w:cs="Arial"/>
          <w:sz w:val="20"/>
          <w:szCs w:val="20"/>
        </w:rPr>
        <w:t xml:space="preserve">Castillo A, Mercado I, Lucia LM, Martinez-Ruiz Y, Ponce de Leon J, Murano EA, Acuff GR (2004) </w:t>
      </w:r>
      <w:bookmarkEnd w:id="516"/>
      <w:r w:rsidRPr="006032FF">
        <w:rPr>
          <w:rFonts w:cs="Arial"/>
          <w:i/>
          <w:sz w:val="20"/>
          <w:szCs w:val="20"/>
        </w:rPr>
        <w:t xml:space="preserve">Salmonella </w:t>
      </w:r>
      <w:r w:rsidRPr="006032FF">
        <w:rPr>
          <w:rFonts w:cs="Arial"/>
          <w:sz w:val="20"/>
          <w:szCs w:val="20"/>
        </w:rPr>
        <w:t xml:space="preserve">contamination during production of cantaloupe: A binational study. Journal of Food Protection 67:713–720. </w:t>
      </w:r>
      <w:hyperlink r:id="rId75" w:history="1">
        <w:r w:rsidR="00010BAE" w:rsidRPr="006032FF">
          <w:rPr>
            <w:rStyle w:val="Hyperlink"/>
            <w:rFonts w:cs="Arial"/>
            <w:sz w:val="20"/>
            <w:szCs w:val="20"/>
          </w:rPr>
          <w:t>https://doi.org/10.4315/0362-028X-67.4.713</w:t>
        </w:r>
      </w:hyperlink>
    </w:p>
    <w:p w14:paraId="1AB31AA4" w14:textId="24506286" w:rsidR="00657FDB" w:rsidRPr="006032FF" w:rsidRDefault="00657FDB" w:rsidP="006032FF">
      <w:pPr>
        <w:pStyle w:val="CitaviBibliographyEntry"/>
        <w:spacing w:after="120"/>
        <w:ind w:left="0" w:firstLine="0"/>
        <w:rPr>
          <w:rFonts w:cs="Arial"/>
          <w:sz w:val="20"/>
          <w:szCs w:val="20"/>
        </w:rPr>
      </w:pPr>
      <w:bookmarkStart w:id="517" w:name="_CTVL001ff7b0c38128c4c3698d7866735a3a581"/>
      <w:r w:rsidRPr="006032FF">
        <w:rPr>
          <w:rFonts w:cs="Arial"/>
          <w:sz w:val="20"/>
          <w:szCs w:val="20"/>
        </w:rPr>
        <w:t xml:space="preserve">Castro-Ibáñez I, Gil MI, Tudela JA, Allende A (2015) Microbial safety considerations of flooding in primary production of leafy greens: A case study. Food Research International 68:62–69. </w:t>
      </w:r>
      <w:hyperlink r:id="rId76" w:history="1">
        <w:r w:rsidR="00010BAE" w:rsidRPr="006032FF">
          <w:rPr>
            <w:rStyle w:val="Hyperlink"/>
            <w:rFonts w:cs="Arial"/>
            <w:sz w:val="20"/>
            <w:szCs w:val="20"/>
          </w:rPr>
          <w:t>https://doi.org/10.1016/j.foodres.2014.05.065</w:t>
        </w:r>
      </w:hyperlink>
    </w:p>
    <w:p w14:paraId="5BB0ED1E" w14:textId="14786400" w:rsidR="00657FDB" w:rsidRPr="006032FF" w:rsidRDefault="00657FDB" w:rsidP="006032FF">
      <w:pPr>
        <w:pStyle w:val="CitaviBibliographyEntry"/>
        <w:spacing w:after="120"/>
        <w:ind w:left="0" w:firstLine="0"/>
        <w:rPr>
          <w:rFonts w:cs="Arial"/>
          <w:sz w:val="20"/>
          <w:szCs w:val="20"/>
        </w:rPr>
      </w:pPr>
      <w:bookmarkStart w:id="518" w:name="_CTVL0015b000b9fd9aa4549800081f681878bf1"/>
      <w:bookmarkEnd w:id="517"/>
      <w:r w:rsidRPr="006032FF">
        <w:rPr>
          <w:rFonts w:cs="Arial"/>
          <w:sz w:val="20"/>
          <w:szCs w:val="20"/>
        </w:rPr>
        <w:t xml:space="preserve">CDC (2012) Multistate outbreak of </w:t>
      </w:r>
      <w:bookmarkEnd w:id="518"/>
      <w:r w:rsidRPr="006032FF">
        <w:rPr>
          <w:rFonts w:cs="Arial"/>
          <w:i/>
          <w:sz w:val="20"/>
          <w:szCs w:val="20"/>
        </w:rPr>
        <w:t>Salmonella</w:t>
      </w:r>
      <w:r w:rsidRPr="006032FF">
        <w:rPr>
          <w:rFonts w:cs="Arial"/>
          <w:sz w:val="20"/>
          <w:szCs w:val="20"/>
        </w:rPr>
        <w:t xml:space="preserve"> Typhimurium and </w:t>
      </w:r>
      <w:r w:rsidRPr="006032FF">
        <w:rPr>
          <w:rFonts w:cs="Arial"/>
          <w:i/>
          <w:sz w:val="20"/>
          <w:szCs w:val="20"/>
        </w:rPr>
        <w:t xml:space="preserve">Salmonella </w:t>
      </w:r>
      <w:r w:rsidRPr="006032FF">
        <w:rPr>
          <w:rFonts w:cs="Arial"/>
          <w:sz w:val="20"/>
          <w:szCs w:val="20"/>
        </w:rPr>
        <w:t xml:space="preserve">Newport infections linked to cantaloupe (Final Update). Centers for Disease Control and Prevention, Atlanta. </w:t>
      </w:r>
      <w:hyperlink r:id="rId77" w:history="1">
        <w:r w:rsidR="00010BAE" w:rsidRPr="006032FF">
          <w:rPr>
            <w:rStyle w:val="Hyperlink"/>
            <w:rFonts w:cs="Arial"/>
            <w:sz w:val="20"/>
            <w:szCs w:val="20"/>
          </w:rPr>
          <w:t>https://www.cdc.gov/salmonella/typhimurium-cantaloupe-08-12/index.html</w:t>
        </w:r>
      </w:hyperlink>
      <w:r w:rsidR="0057637C">
        <w:rPr>
          <w:rFonts w:cs="Arial"/>
          <w:sz w:val="20"/>
          <w:szCs w:val="20"/>
        </w:rPr>
        <w:t>. Accessed 11 December </w:t>
      </w:r>
      <w:r w:rsidRPr="006032FF">
        <w:rPr>
          <w:rFonts w:cs="Arial"/>
          <w:sz w:val="20"/>
          <w:szCs w:val="20"/>
        </w:rPr>
        <w:t>2019</w:t>
      </w:r>
    </w:p>
    <w:p w14:paraId="2F772CAA" w14:textId="7FEDA31C" w:rsidR="00657FDB" w:rsidRPr="006032FF" w:rsidRDefault="00657FDB" w:rsidP="006032FF">
      <w:pPr>
        <w:pStyle w:val="CitaviBibliographyEntry"/>
        <w:spacing w:after="120"/>
        <w:ind w:left="0" w:firstLine="0"/>
        <w:rPr>
          <w:rFonts w:cs="Arial"/>
          <w:sz w:val="20"/>
          <w:szCs w:val="20"/>
        </w:rPr>
      </w:pPr>
      <w:bookmarkStart w:id="519" w:name="_CTVL00193c44466608242e7928b38a48a3c298c"/>
      <w:r w:rsidRPr="006032FF">
        <w:rPr>
          <w:rFonts w:cs="Arial"/>
          <w:sz w:val="20"/>
          <w:szCs w:val="20"/>
        </w:rPr>
        <w:t xml:space="preserve">Ceuppens S, Hessel CT, Quadros Rodrigues R de, Bartz S, Tondo EC, Uyttendaele M (2014) Microbiological quality and safety assessment of lettuce production in Brazil. International Journal of Food Microbiology 181:67–76. </w:t>
      </w:r>
      <w:hyperlink r:id="rId78" w:history="1">
        <w:r w:rsidR="00010BAE" w:rsidRPr="006032FF">
          <w:rPr>
            <w:rStyle w:val="Hyperlink"/>
            <w:rFonts w:cs="Arial"/>
            <w:sz w:val="20"/>
            <w:szCs w:val="20"/>
          </w:rPr>
          <w:t>https://doi.org/10.1016/j.ijfoodmicro.2014.04.025</w:t>
        </w:r>
      </w:hyperlink>
    </w:p>
    <w:p w14:paraId="1665113F" w14:textId="3FC8DFDC" w:rsidR="00657FDB" w:rsidRPr="006032FF" w:rsidRDefault="00657FDB" w:rsidP="006032FF">
      <w:pPr>
        <w:pStyle w:val="CitaviBibliographyEntry"/>
        <w:spacing w:after="120"/>
        <w:ind w:left="0" w:firstLine="0"/>
        <w:rPr>
          <w:rFonts w:cs="Arial"/>
          <w:sz w:val="20"/>
          <w:szCs w:val="20"/>
        </w:rPr>
      </w:pPr>
      <w:bookmarkStart w:id="520" w:name="_CTVL0013d1ae749825f4feba752703a1fa8edca"/>
      <w:bookmarkEnd w:id="519"/>
      <w:r w:rsidRPr="006032FF">
        <w:rPr>
          <w:rFonts w:cs="Arial"/>
          <w:sz w:val="20"/>
          <w:szCs w:val="20"/>
        </w:rPr>
        <w:t xml:space="preserve">Ceuppens S, Johannessen GS, Allende A, Tondo EC, El-Tahan F, Sampers I, Jacxsens L, Uyttendaele M (2015) Risk factors for </w:t>
      </w:r>
      <w:bookmarkEnd w:id="520"/>
      <w:r w:rsidRPr="006032FF">
        <w:rPr>
          <w:rFonts w:cs="Arial"/>
          <w:i/>
          <w:sz w:val="20"/>
          <w:szCs w:val="20"/>
        </w:rPr>
        <w:t>Salmonella</w:t>
      </w:r>
      <w:r w:rsidRPr="006032FF">
        <w:rPr>
          <w:rFonts w:cs="Arial"/>
          <w:sz w:val="20"/>
          <w:szCs w:val="20"/>
        </w:rPr>
        <w:t xml:space="preserve">, shiga toxin-producing </w:t>
      </w:r>
      <w:r w:rsidRPr="006032FF">
        <w:rPr>
          <w:rFonts w:cs="Arial"/>
          <w:i/>
          <w:sz w:val="20"/>
          <w:szCs w:val="20"/>
        </w:rPr>
        <w:t xml:space="preserve">Escherichia coli </w:t>
      </w:r>
      <w:r w:rsidRPr="006032FF">
        <w:rPr>
          <w:rFonts w:cs="Arial"/>
          <w:sz w:val="20"/>
          <w:szCs w:val="20"/>
        </w:rPr>
        <w:t xml:space="preserve">and </w:t>
      </w:r>
      <w:r w:rsidRPr="006032FF">
        <w:rPr>
          <w:rFonts w:cs="Arial"/>
          <w:i/>
          <w:sz w:val="20"/>
          <w:szCs w:val="20"/>
        </w:rPr>
        <w:t xml:space="preserve">Campylobacter </w:t>
      </w:r>
      <w:r w:rsidRPr="006032FF">
        <w:rPr>
          <w:rFonts w:cs="Arial"/>
          <w:sz w:val="20"/>
          <w:szCs w:val="20"/>
        </w:rPr>
        <w:t xml:space="preserve">occurrence in primary production of leafy greens and strawberries. International Journal of Environmental Research and Public Health 12:9809–9831. </w:t>
      </w:r>
      <w:hyperlink r:id="rId79" w:history="1">
        <w:r w:rsidR="00010BAE" w:rsidRPr="006032FF">
          <w:rPr>
            <w:rStyle w:val="Hyperlink"/>
            <w:rFonts w:cs="Arial"/>
            <w:sz w:val="20"/>
            <w:szCs w:val="20"/>
          </w:rPr>
          <w:t>https://doi.org/10.3390/ijerph120809809</w:t>
        </w:r>
      </w:hyperlink>
    </w:p>
    <w:p w14:paraId="2529B02B" w14:textId="0C31C4D7" w:rsidR="00657FDB" w:rsidRPr="006032FF" w:rsidRDefault="00657FDB" w:rsidP="006032FF">
      <w:pPr>
        <w:pStyle w:val="CitaviBibliographyEntry"/>
        <w:spacing w:after="120"/>
        <w:ind w:left="0" w:firstLine="0"/>
        <w:rPr>
          <w:rFonts w:cs="Arial"/>
          <w:sz w:val="20"/>
          <w:szCs w:val="20"/>
        </w:rPr>
      </w:pPr>
      <w:bookmarkStart w:id="521" w:name="_CTVL0019e97a5ee0e5d41e7a31d5378a72ffff6"/>
      <w:r w:rsidRPr="006032FF">
        <w:rPr>
          <w:rFonts w:cs="Arial"/>
          <w:sz w:val="20"/>
          <w:szCs w:val="20"/>
        </w:rPr>
        <w:t xml:space="preserve">Charkowski AO, Barak JD, Sarreal CZ, Mandrell RE (2002) Differences in growth of </w:t>
      </w:r>
      <w:bookmarkEnd w:id="521"/>
      <w:r w:rsidR="0057637C">
        <w:rPr>
          <w:rFonts w:cs="Arial"/>
          <w:i/>
          <w:sz w:val="20"/>
          <w:szCs w:val="20"/>
        </w:rPr>
        <w:t>Salmonella </w:t>
      </w:r>
      <w:r w:rsidRPr="006032FF">
        <w:rPr>
          <w:rFonts w:cs="Arial"/>
          <w:i/>
          <w:sz w:val="20"/>
          <w:szCs w:val="20"/>
        </w:rPr>
        <w:t xml:space="preserve">enterica </w:t>
      </w:r>
      <w:r w:rsidRPr="006032FF">
        <w:rPr>
          <w:rFonts w:cs="Arial"/>
          <w:sz w:val="20"/>
          <w:szCs w:val="20"/>
        </w:rPr>
        <w:t xml:space="preserve">and </w:t>
      </w:r>
      <w:r w:rsidRPr="006032FF">
        <w:rPr>
          <w:rFonts w:cs="Arial"/>
          <w:i/>
          <w:sz w:val="20"/>
          <w:szCs w:val="20"/>
        </w:rPr>
        <w:t xml:space="preserve">Escherichia coli </w:t>
      </w:r>
      <w:r w:rsidRPr="006032FF">
        <w:rPr>
          <w:rFonts w:cs="Arial"/>
          <w:sz w:val="20"/>
          <w:szCs w:val="20"/>
        </w:rPr>
        <w:t xml:space="preserve">O157:H7 on alfalfa sprouts. Applied and Environmental Microbiology 68:3114–3120. </w:t>
      </w:r>
      <w:hyperlink r:id="rId80" w:history="1">
        <w:r w:rsidR="00010BAE" w:rsidRPr="006032FF">
          <w:rPr>
            <w:rStyle w:val="Hyperlink"/>
            <w:rFonts w:cs="Arial"/>
            <w:sz w:val="20"/>
            <w:szCs w:val="20"/>
          </w:rPr>
          <w:t>https://doi.org/10.1128/aem.68.6.3114-3120.2002</w:t>
        </w:r>
      </w:hyperlink>
    </w:p>
    <w:p w14:paraId="37757538" w14:textId="45F5AD78" w:rsidR="00657FDB" w:rsidRPr="006032FF" w:rsidRDefault="00657FDB" w:rsidP="006032FF">
      <w:pPr>
        <w:pStyle w:val="CitaviBibliographyEntry"/>
        <w:spacing w:after="120"/>
        <w:ind w:left="0" w:firstLine="0"/>
        <w:rPr>
          <w:rFonts w:cs="Arial"/>
          <w:sz w:val="20"/>
          <w:szCs w:val="20"/>
        </w:rPr>
      </w:pPr>
      <w:bookmarkStart w:id="522" w:name="_CTVL001b87c94e689d5491483cee82cad898e03"/>
      <w:r w:rsidRPr="006032FF">
        <w:rPr>
          <w:rFonts w:cs="Arial"/>
          <w:sz w:val="20"/>
          <w:szCs w:val="20"/>
        </w:rPr>
        <w:t xml:space="preserve">Codex (2011) Guidelines for risk analysis of foodborne antimicrobial resistance (CAC/GL 77-2011). Codex Alimentarius Commission, Rome. </w:t>
      </w:r>
      <w:hyperlink r:id="rId81" w:history="1">
        <w:r w:rsidR="00010BAE" w:rsidRPr="006032FF">
          <w:rPr>
            <w:rStyle w:val="Hyperlink"/>
            <w:rFonts w:cs="Arial"/>
            <w:sz w:val="20"/>
            <w:szCs w:val="20"/>
          </w:rPr>
          <w:t>http://www.fao.org/fao-who-codexalimentarius/sh-proxy/en/?lnk=1&amp;url=https%253A%252F%252Fworkspace.fao.org%252Fsites%252Fcodex%252FStandards%252FCXG%2B77-2011%252FCXG_077e.pdf</w:t>
        </w:r>
      </w:hyperlink>
      <w:r w:rsidRPr="006032FF">
        <w:rPr>
          <w:rFonts w:cs="Arial"/>
          <w:sz w:val="20"/>
          <w:szCs w:val="20"/>
        </w:rPr>
        <w:t>. Accessed 9 December 2020</w:t>
      </w:r>
    </w:p>
    <w:p w14:paraId="66E6FDBD" w14:textId="50F1C5FA" w:rsidR="00657FDB" w:rsidRPr="006032FF" w:rsidRDefault="00657FDB" w:rsidP="006032FF">
      <w:pPr>
        <w:pStyle w:val="CitaviBibliographyEntry"/>
        <w:spacing w:after="120"/>
        <w:ind w:left="0" w:firstLine="0"/>
        <w:rPr>
          <w:rFonts w:cs="Arial"/>
          <w:sz w:val="20"/>
          <w:szCs w:val="20"/>
        </w:rPr>
      </w:pPr>
      <w:bookmarkStart w:id="523" w:name="_CTVL0017c52b394e6a54d9ba507002d7a2c081d"/>
      <w:bookmarkEnd w:id="522"/>
      <w:r w:rsidRPr="006032FF">
        <w:rPr>
          <w:rFonts w:cs="Arial"/>
          <w:sz w:val="20"/>
          <w:szCs w:val="20"/>
        </w:rPr>
        <w:t xml:space="preserve">Codex (2012) Guidelines on the application of general principles of food hygiene to the control of viruses in food (CAC/GL 79-2012). Codex Alimentarius Commission, Rome. </w:t>
      </w:r>
      <w:hyperlink r:id="rId82" w:history="1">
        <w:r w:rsidR="00010BAE" w:rsidRPr="006032FF">
          <w:rPr>
            <w:rStyle w:val="Hyperlink"/>
            <w:rFonts w:cs="Arial"/>
            <w:sz w:val="20"/>
            <w:szCs w:val="20"/>
          </w:rPr>
          <w:t>http://www.fao.org/fao-who-codexalimentarius/sh-proxy/en/?lnk=1&amp;url=https%253A%252F%252Fworkspace.fao.org%252Fsites%252Fcodex%252FStandards%252FCXG%2B79-2012%252FCXG_079e.pdf</w:t>
        </w:r>
      </w:hyperlink>
      <w:r w:rsidRPr="006032FF">
        <w:rPr>
          <w:rFonts w:cs="Arial"/>
          <w:sz w:val="20"/>
          <w:szCs w:val="20"/>
        </w:rPr>
        <w:t>. Accessed 9 December 2020</w:t>
      </w:r>
    </w:p>
    <w:p w14:paraId="51B82723" w14:textId="390BFE5A" w:rsidR="00657FDB" w:rsidRPr="006032FF" w:rsidRDefault="00657FDB" w:rsidP="006032FF">
      <w:pPr>
        <w:pStyle w:val="CitaviBibliographyEntry"/>
        <w:spacing w:after="120"/>
        <w:ind w:left="0" w:firstLine="0"/>
        <w:rPr>
          <w:rFonts w:cs="Arial"/>
          <w:sz w:val="20"/>
          <w:szCs w:val="20"/>
        </w:rPr>
      </w:pPr>
      <w:bookmarkStart w:id="524" w:name="_CTVL001e1bba7136fdb4f68b919236c763b3cec"/>
      <w:bookmarkEnd w:id="523"/>
      <w:r w:rsidRPr="006032FF">
        <w:rPr>
          <w:rFonts w:cs="Arial"/>
          <w:sz w:val="20"/>
          <w:szCs w:val="20"/>
        </w:rPr>
        <w:t xml:space="preserve">Codex (2017) Code of hygienic practice for fresh fruits and </w:t>
      </w:r>
      <w:r w:rsidR="009155E4">
        <w:rPr>
          <w:rFonts w:cs="Arial"/>
          <w:sz w:val="20"/>
          <w:szCs w:val="20"/>
        </w:rPr>
        <w:t>vegetables (CXC 53-2003). Codex </w:t>
      </w:r>
      <w:r w:rsidRPr="006032FF">
        <w:rPr>
          <w:rFonts w:cs="Arial"/>
          <w:sz w:val="20"/>
          <w:szCs w:val="20"/>
        </w:rPr>
        <w:t xml:space="preserve">Alimentarius Commission, Rome. </w:t>
      </w:r>
      <w:hyperlink r:id="rId83" w:history="1">
        <w:r w:rsidR="00010BAE" w:rsidRPr="006032FF">
          <w:rPr>
            <w:rStyle w:val="Hyperlink"/>
            <w:rFonts w:cs="Arial"/>
            <w:sz w:val="20"/>
            <w:szCs w:val="20"/>
          </w:rPr>
          <w:t>http://www.fao.org/fao-who-codexalimentarius/sh-proxy/en/?lnk=1&amp;url=https%253A%252F%252Fworkspace.fao.org%252Fsites%252Fcodex%252FStandards%252FCXC%2B53-2003%252FCXC_053e.pdf</w:t>
        </w:r>
      </w:hyperlink>
      <w:r w:rsidRPr="006032FF">
        <w:rPr>
          <w:rFonts w:cs="Arial"/>
          <w:sz w:val="20"/>
          <w:szCs w:val="20"/>
        </w:rPr>
        <w:t>. Accessed 5 March 2021</w:t>
      </w:r>
    </w:p>
    <w:p w14:paraId="1554BA27" w14:textId="77777777" w:rsidR="00657FDB" w:rsidRPr="006032FF" w:rsidRDefault="00657FDB" w:rsidP="006032FF">
      <w:pPr>
        <w:pStyle w:val="CitaviBibliographyEntry"/>
        <w:spacing w:after="120"/>
        <w:ind w:left="0" w:firstLine="0"/>
        <w:rPr>
          <w:rFonts w:cs="Arial"/>
          <w:sz w:val="20"/>
          <w:szCs w:val="20"/>
        </w:rPr>
      </w:pPr>
      <w:bookmarkStart w:id="525" w:name="_CTVL0013b6dd3c1df21489e8b29cf775f28cb3c"/>
      <w:bookmarkEnd w:id="524"/>
      <w:r w:rsidRPr="006032FF">
        <w:rPr>
          <w:rFonts w:cs="Arial"/>
          <w:sz w:val="20"/>
          <w:szCs w:val="20"/>
        </w:rPr>
        <w:t>Conlan E, Borisova T, Smith E, Williamson J, Olstead M (2018) The use of irrigation for frost protection for blueberry in the southeastern United States. HortTechnology 28:660–667</w:t>
      </w:r>
    </w:p>
    <w:p w14:paraId="6AD49F96" w14:textId="66D6AEF6" w:rsidR="00657FDB" w:rsidRPr="006032FF" w:rsidRDefault="00657FDB" w:rsidP="006032FF">
      <w:pPr>
        <w:pStyle w:val="CitaviBibliographyEntry"/>
        <w:spacing w:after="120"/>
        <w:ind w:left="0" w:firstLine="0"/>
        <w:rPr>
          <w:rFonts w:cs="Arial"/>
          <w:sz w:val="20"/>
          <w:szCs w:val="20"/>
        </w:rPr>
      </w:pPr>
      <w:bookmarkStart w:id="526" w:name="_CTVL0019e3b38c9ccaf489aa873db101f4b0955"/>
      <w:bookmarkEnd w:id="525"/>
      <w:r w:rsidRPr="006032FF">
        <w:rPr>
          <w:rFonts w:cs="Arial"/>
          <w:sz w:val="20"/>
          <w:szCs w:val="20"/>
        </w:rPr>
        <w:t xml:space="preserve">Cooney K, Carter R, Massel M, Hampton J, Gutierrez-Rodriguez E (2016) Persistence of generic </w:t>
      </w:r>
      <w:bookmarkEnd w:id="526"/>
      <w:r w:rsidR="0057637C">
        <w:rPr>
          <w:rFonts w:cs="Arial"/>
          <w:i/>
          <w:sz w:val="20"/>
          <w:szCs w:val="20"/>
        </w:rPr>
        <w:t>E. </w:t>
      </w:r>
      <w:r w:rsidRPr="006032FF">
        <w:rPr>
          <w:rFonts w:cs="Arial"/>
          <w:i/>
          <w:sz w:val="20"/>
          <w:szCs w:val="20"/>
        </w:rPr>
        <w:t xml:space="preserve">coli </w:t>
      </w:r>
      <w:r w:rsidRPr="006032FF">
        <w:rPr>
          <w:rFonts w:cs="Arial"/>
          <w:sz w:val="20"/>
          <w:szCs w:val="20"/>
        </w:rPr>
        <w:t xml:space="preserve">and surrogate pathogens on strawberry plants during frost protection events: Challenges for the implementation of the newly adopted FMSA microbial water quality standards. Journal of Food Protection 79 Suppl. A:90. </w:t>
      </w:r>
      <w:hyperlink r:id="rId84" w:history="1">
        <w:r w:rsidR="00010BAE" w:rsidRPr="006032FF">
          <w:rPr>
            <w:rStyle w:val="Hyperlink"/>
            <w:rFonts w:cs="Arial"/>
            <w:sz w:val="20"/>
            <w:szCs w:val="20"/>
          </w:rPr>
          <w:t>https://doi.org/10.4315/0362-028X-79.sp1.1</w:t>
        </w:r>
      </w:hyperlink>
    </w:p>
    <w:p w14:paraId="7EEA2C2C" w14:textId="5CFB1712" w:rsidR="00657FDB" w:rsidRPr="006032FF" w:rsidRDefault="00657FDB" w:rsidP="006032FF">
      <w:pPr>
        <w:pStyle w:val="CitaviBibliographyEntry"/>
        <w:spacing w:after="120"/>
        <w:ind w:left="0" w:firstLine="0"/>
        <w:rPr>
          <w:rFonts w:cs="Arial"/>
          <w:sz w:val="20"/>
          <w:szCs w:val="20"/>
        </w:rPr>
      </w:pPr>
      <w:bookmarkStart w:id="527" w:name="_CTVL00196acb1c81f8c4180ad565e15e986c132"/>
      <w:r w:rsidRPr="006032FF">
        <w:rPr>
          <w:rFonts w:cs="Arial"/>
          <w:sz w:val="20"/>
          <w:szCs w:val="20"/>
        </w:rPr>
        <w:t xml:space="preserve">Cui Y, Walcott R, Chen J (2017) Differential attachment of </w:t>
      </w:r>
      <w:bookmarkEnd w:id="527"/>
      <w:r w:rsidRPr="006032FF">
        <w:rPr>
          <w:rFonts w:cs="Arial"/>
          <w:i/>
          <w:sz w:val="20"/>
          <w:szCs w:val="20"/>
        </w:rPr>
        <w:t xml:space="preserve">Salmonella enterica </w:t>
      </w:r>
      <w:r w:rsidRPr="006032FF">
        <w:rPr>
          <w:rFonts w:cs="Arial"/>
          <w:sz w:val="20"/>
          <w:szCs w:val="20"/>
        </w:rPr>
        <w:t xml:space="preserve">and enterohemorrhagic </w:t>
      </w:r>
      <w:r w:rsidRPr="006032FF">
        <w:rPr>
          <w:rFonts w:cs="Arial"/>
          <w:i/>
          <w:sz w:val="20"/>
          <w:szCs w:val="20"/>
        </w:rPr>
        <w:t xml:space="preserve">Escherichia coli </w:t>
      </w:r>
      <w:r w:rsidRPr="006032FF">
        <w:rPr>
          <w:rFonts w:cs="Arial"/>
          <w:sz w:val="20"/>
          <w:szCs w:val="20"/>
        </w:rPr>
        <w:t xml:space="preserve">to alfalfa, fenugreek, lettuce, and tomato seeds. Applied and Environmental Microbiology 83:e03170-16. </w:t>
      </w:r>
      <w:hyperlink r:id="rId85" w:history="1">
        <w:r w:rsidR="00010BAE" w:rsidRPr="006032FF">
          <w:rPr>
            <w:rStyle w:val="Hyperlink"/>
            <w:rFonts w:cs="Arial"/>
            <w:sz w:val="20"/>
            <w:szCs w:val="20"/>
          </w:rPr>
          <w:t>https://doi.org/10.1128/AEM.03170-16</w:t>
        </w:r>
      </w:hyperlink>
    </w:p>
    <w:p w14:paraId="45200F92" w14:textId="20A8BFFC" w:rsidR="00657FDB" w:rsidRPr="006032FF" w:rsidRDefault="00657FDB" w:rsidP="006032FF">
      <w:pPr>
        <w:pStyle w:val="CitaviBibliographyEntry"/>
        <w:spacing w:after="120"/>
        <w:ind w:left="0" w:firstLine="0"/>
        <w:rPr>
          <w:rFonts w:cs="Arial"/>
          <w:sz w:val="20"/>
          <w:szCs w:val="20"/>
        </w:rPr>
      </w:pPr>
      <w:bookmarkStart w:id="528" w:name="_CTVL001a92dba587e7d4711b9d5e7d5a5814046"/>
      <w:r w:rsidRPr="006032FF">
        <w:rPr>
          <w:rFonts w:cs="Arial"/>
          <w:sz w:val="20"/>
          <w:szCs w:val="20"/>
        </w:rPr>
        <w:t xml:space="preserve">Cui Y, Liu D, Chen J (2018) Fate of various </w:t>
      </w:r>
      <w:bookmarkEnd w:id="528"/>
      <w:r w:rsidRPr="006032FF">
        <w:rPr>
          <w:rFonts w:cs="Arial"/>
          <w:i/>
          <w:sz w:val="20"/>
          <w:szCs w:val="20"/>
        </w:rPr>
        <w:t xml:space="preserve">Salmonella enterica </w:t>
      </w:r>
      <w:r w:rsidRPr="006032FF">
        <w:rPr>
          <w:rFonts w:cs="Arial"/>
          <w:sz w:val="20"/>
          <w:szCs w:val="20"/>
        </w:rPr>
        <w:t xml:space="preserve">and enterohemorrhagic </w:t>
      </w:r>
      <w:r w:rsidR="0057637C">
        <w:rPr>
          <w:rFonts w:cs="Arial"/>
          <w:i/>
          <w:sz w:val="20"/>
          <w:szCs w:val="20"/>
        </w:rPr>
        <w:t>Escherichia </w:t>
      </w:r>
      <w:r w:rsidRPr="006032FF">
        <w:rPr>
          <w:rFonts w:cs="Arial"/>
          <w:i/>
          <w:sz w:val="20"/>
          <w:szCs w:val="20"/>
        </w:rPr>
        <w:t xml:space="preserve">coli </w:t>
      </w:r>
      <w:r w:rsidRPr="006032FF">
        <w:rPr>
          <w:rFonts w:cs="Arial"/>
          <w:sz w:val="20"/>
          <w:szCs w:val="20"/>
        </w:rPr>
        <w:t xml:space="preserve">cells attached to alfalfa, fenugreek, lettuce, and tomato seeds during germination. Food Control 88:229–235. </w:t>
      </w:r>
      <w:hyperlink r:id="rId86" w:history="1">
        <w:r w:rsidR="00010BAE" w:rsidRPr="006032FF">
          <w:rPr>
            <w:rStyle w:val="Hyperlink"/>
            <w:rFonts w:cs="Arial"/>
            <w:sz w:val="20"/>
            <w:szCs w:val="20"/>
          </w:rPr>
          <w:t>https://doi.org/10.1016/j.foodcont.2018.01.011</w:t>
        </w:r>
      </w:hyperlink>
    </w:p>
    <w:p w14:paraId="337E57B4" w14:textId="2DEB8DFF" w:rsidR="00657FDB" w:rsidRPr="006032FF" w:rsidRDefault="00657FDB" w:rsidP="006032FF">
      <w:pPr>
        <w:pStyle w:val="CitaviBibliographyEntry"/>
        <w:spacing w:after="120"/>
        <w:ind w:left="0" w:firstLine="0"/>
        <w:rPr>
          <w:rFonts w:cs="Arial"/>
          <w:sz w:val="20"/>
          <w:szCs w:val="20"/>
        </w:rPr>
      </w:pPr>
      <w:bookmarkStart w:id="529" w:name="_CTVL001341bea63c9a645a486c382ab71ef2fb7"/>
      <w:r w:rsidRPr="006032FF">
        <w:rPr>
          <w:rFonts w:cs="Arial"/>
          <w:sz w:val="20"/>
          <w:szCs w:val="20"/>
        </w:rPr>
        <w:t xml:space="preserve">DAF QLD (2014) Strawberry land and climate requirements. Department of Agriculture and Fisheries, Queensland Government, Brisbane. </w:t>
      </w:r>
      <w:hyperlink r:id="rId87" w:history="1">
        <w:r w:rsidR="00010BAE" w:rsidRPr="006032FF">
          <w:rPr>
            <w:rStyle w:val="Hyperlink"/>
            <w:rFonts w:cs="Arial"/>
            <w:sz w:val="20"/>
            <w:szCs w:val="20"/>
          </w:rPr>
          <w:t>https://www.daf.qld.gov.au/business-priorities/agriculture/plants/fruit-vegetable/fruit-vegetable-crops/strawberries/land-and-climate-requirements</w:t>
        </w:r>
      </w:hyperlink>
      <w:r w:rsidRPr="006032FF">
        <w:rPr>
          <w:rFonts w:cs="Arial"/>
          <w:sz w:val="20"/>
          <w:szCs w:val="20"/>
        </w:rPr>
        <w:t>. Accessed 15 July 2020</w:t>
      </w:r>
    </w:p>
    <w:p w14:paraId="716E2822" w14:textId="4412A293" w:rsidR="00657FDB" w:rsidRPr="006032FF" w:rsidRDefault="00657FDB" w:rsidP="006032FF">
      <w:pPr>
        <w:pStyle w:val="CitaviBibliographyEntry"/>
        <w:spacing w:after="120"/>
        <w:ind w:left="0" w:firstLine="0"/>
        <w:rPr>
          <w:rFonts w:cs="Arial"/>
          <w:sz w:val="20"/>
          <w:szCs w:val="20"/>
        </w:rPr>
      </w:pPr>
      <w:bookmarkStart w:id="530" w:name="_CTVL001e3f16e3b91f24c799da9edd885fbffb0"/>
      <w:bookmarkEnd w:id="529"/>
      <w:r w:rsidRPr="006032FF">
        <w:rPr>
          <w:rFonts w:cs="Arial"/>
          <w:sz w:val="20"/>
          <w:szCs w:val="20"/>
        </w:rPr>
        <w:t xml:space="preserve">DAF QLD (2016) Managing cucurbits, including melons, pumpkins, cucumber, zucchini and button squash during wet weather. The Department of Agriculture and Fisheries Queensland Government. </w:t>
      </w:r>
      <w:hyperlink r:id="rId88" w:history="1">
        <w:r w:rsidR="00010BAE" w:rsidRPr="006032FF">
          <w:rPr>
            <w:rStyle w:val="Hyperlink"/>
            <w:rFonts w:cs="Arial"/>
            <w:sz w:val="20"/>
            <w:szCs w:val="20"/>
          </w:rPr>
          <w:t>https://www.daf.qld.gov.au/__data/assets/pdf_file/0008/74591/factsheet-cucurbit-and-wet-weather.pdf</w:t>
        </w:r>
      </w:hyperlink>
      <w:r w:rsidRPr="006032FF">
        <w:rPr>
          <w:rFonts w:cs="Arial"/>
          <w:sz w:val="20"/>
          <w:szCs w:val="20"/>
        </w:rPr>
        <w:t>. Accessed accessed 10 October 2019</w:t>
      </w:r>
    </w:p>
    <w:p w14:paraId="57C48B8C" w14:textId="48F4C363" w:rsidR="00657FDB" w:rsidRPr="006032FF" w:rsidRDefault="00657FDB" w:rsidP="006032FF">
      <w:pPr>
        <w:pStyle w:val="CitaviBibliographyEntry"/>
        <w:spacing w:after="120"/>
        <w:ind w:left="0" w:firstLine="0"/>
        <w:rPr>
          <w:rFonts w:cs="Arial"/>
          <w:sz w:val="20"/>
          <w:szCs w:val="20"/>
        </w:rPr>
      </w:pPr>
      <w:bookmarkStart w:id="531" w:name="_CTVL0011e89f1878d8c4e0ba2595a1676d43141"/>
      <w:bookmarkEnd w:id="530"/>
      <w:r w:rsidRPr="006032FF">
        <w:rPr>
          <w:rFonts w:cs="Arial"/>
          <w:sz w:val="20"/>
          <w:szCs w:val="20"/>
        </w:rPr>
        <w:t xml:space="preserve">Danyluk MD, Nozawa-Inoue M, Hristova KR, Scow KM, Lampinen B, Harris LJ (2008) Survival and growth of </w:t>
      </w:r>
      <w:bookmarkEnd w:id="531"/>
      <w:r w:rsidRPr="006032FF">
        <w:rPr>
          <w:rFonts w:cs="Arial"/>
          <w:i/>
          <w:sz w:val="20"/>
          <w:szCs w:val="20"/>
        </w:rPr>
        <w:t xml:space="preserve">Salmonella </w:t>
      </w:r>
      <w:r w:rsidRPr="006032FF">
        <w:rPr>
          <w:rFonts w:cs="Arial"/>
          <w:sz w:val="20"/>
          <w:szCs w:val="20"/>
        </w:rPr>
        <w:t xml:space="preserve">Enteritidis PT 30 in almond orchard soils. Journal of Applied Microbiology 104:1391–1399. </w:t>
      </w:r>
      <w:hyperlink r:id="rId89" w:history="1">
        <w:r w:rsidR="00010BAE" w:rsidRPr="006032FF">
          <w:rPr>
            <w:rStyle w:val="Hyperlink"/>
            <w:rFonts w:cs="Arial"/>
            <w:sz w:val="20"/>
            <w:szCs w:val="20"/>
          </w:rPr>
          <w:t>https://doi.org/10.1111/j.1365-2672.2007.03662.x</w:t>
        </w:r>
      </w:hyperlink>
    </w:p>
    <w:p w14:paraId="1EBD2EB2" w14:textId="3260066E" w:rsidR="00657FDB" w:rsidRPr="006032FF" w:rsidRDefault="00657FDB" w:rsidP="006032FF">
      <w:pPr>
        <w:pStyle w:val="CitaviBibliographyEntry"/>
        <w:spacing w:after="120"/>
        <w:ind w:left="0" w:firstLine="0"/>
        <w:rPr>
          <w:rFonts w:cs="Arial"/>
          <w:sz w:val="20"/>
          <w:szCs w:val="20"/>
        </w:rPr>
      </w:pPr>
      <w:bookmarkStart w:id="532" w:name="_CTVL0016f55c7ecc71e4a6e8d7cb9ac71b57e72"/>
      <w:r w:rsidRPr="006032FF">
        <w:rPr>
          <w:rFonts w:cs="Arial"/>
          <w:sz w:val="20"/>
          <w:szCs w:val="20"/>
        </w:rPr>
        <w:t xml:space="preserve">Danyluk MD, Friedrich LM, Schaffner DW (2014) Modeling the growth of </w:t>
      </w:r>
      <w:bookmarkEnd w:id="532"/>
      <w:r w:rsidRPr="006032FF">
        <w:rPr>
          <w:rFonts w:cs="Arial"/>
          <w:i/>
          <w:sz w:val="20"/>
          <w:szCs w:val="20"/>
        </w:rPr>
        <w:t>Listeria monocytogenes</w:t>
      </w:r>
      <w:r w:rsidRPr="006032FF">
        <w:rPr>
          <w:rFonts w:cs="Arial"/>
          <w:sz w:val="20"/>
          <w:szCs w:val="20"/>
        </w:rPr>
        <w:t xml:space="preserve"> on cut cantaloupe, honeydew and watermelon. Food Microbiology 38:52–55. </w:t>
      </w:r>
      <w:hyperlink r:id="rId90" w:history="1">
        <w:r w:rsidR="00010BAE" w:rsidRPr="006032FF">
          <w:rPr>
            <w:rStyle w:val="Hyperlink"/>
            <w:rFonts w:cs="Arial"/>
            <w:sz w:val="20"/>
            <w:szCs w:val="20"/>
          </w:rPr>
          <w:t>https://doi.org/10.1016/j.fm.2013.08.001</w:t>
        </w:r>
      </w:hyperlink>
    </w:p>
    <w:p w14:paraId="38E88E8E" w14:textId="31FFC207" w:rsidR="00657FDB" w:rsidRPr="006032FF" w:rsidRDefault="00657FDB" w:rsidP="006032FF">
      <w:pPr>
        <w:pStyle w:val="CitaviBibliographyEntry"/>
        <w:spacing w:after="120"/>
        <w:ind w:left="0" w:firstLine="0"/>
        <w:rPr>
          <w:rFonts w:cs="Arial"/>
          <w:sz w:val="20"/>
          <w:szCs w:val="20"/>
        </w:rPr>
      </w:pPr>
      <w:bookmarkStart w:id="533" w:name="_CTVL0016a70e16c5c6a4832b55e1ecf18e4582c"/>
      <w:r w:rsidRPr="006032FF">
        <w:rPr>
          <w:rFonts w:cs="Arial"/>
          <w:sz w:val="20"/>
          <w:szCs w:val="20"/>
        </w:rPr>
        <w:t xml:space="preserve">Davidson G, Kaminski-Davidson CN, Ryser ET (2017) Persistence of </w:t>
      </w:r>
      <w:bookmarkEnd w:id="533"/>
      <w:r w:rsidRPr="006032FF">
        <w:rPr>
          <w:rFonts w:cs="Arial"/>
          <w:i/>
          <w:sz w:val="20"/>
          <w:szCs w:val="20"/>
        </w:rPr>
        <w:t xml:space="preserve">Escherichia coli </w:t>
      </w:r>
      <w:r w:rsidRPr="006032FF">
        <w:rPr>
          <w:rFonts w:cs="Arial"/>
          <w:sz w:val="20"/>
          <w:szCs w:val="20"/>
        </w:rPr>
        <w:t xml:space="preserve">O157:H7 during pilot-scale processing of iceberg lettuce using flume water containing peroxyacetic acid-based sanitizers and various organic loads. International Journal of Food Microbiology 248:22–31. </w:t>
      </w:r>
      <w:hyperlink r:id="rId91" w:history="1">
        <w:r w:rsidR="00010BAE" w:rsidRPr="006032FF">
          <w:rPr>
            <w:rStyle w:val="Hyperlink"/>
            <w:rFonts w:cs="Arial"/>
            <w:sz w:val="20"/>
            <w:szCs w:val="20"/>
          </w:rPr>
          <w:t>https://doi.org/10.1016/j.ijfoodmicro.2017.02.006</w:t>
        </w:r>
      </w:hyperlink>
    </w:p>
    <w:p w14:paraId="7BE1B980" w14:textId="50C735AA" w:rsidR="00657FDB" w:rsidRPr="006032FF" w:rsidRDefault="00657FDB" w:rsidP="006032FF">
      <w:pPr>
        <w:pStyle w:val="CitaviBibliographyEntry"/>
        <w:spacing w:after="120"/>
        <w:ind w:left="0" w:firstLine="0"/>
        <w:rPr>
          <w:rFonts w:cs="Arial"/>
          <w:sz w:val="20"/>
          <w:szCs w:val="20"/>
        </w:rPr>
      </w:pPr>
      <w:bookmarkStart w:id="534" w:name="_CTVL00140c27f11e83941f2b01cc0fb45c0e3ec"/>
      <w:r w:rsidRPr="006032FF">
        <w:rPr>
          <w:rFonts w:cs="Arial"/>
          <w:sz w:val="20"/>
          <w:szCs w:val="20"/>
        </w:rPr>
        <w:t xml:space="preserve">Deboosere N, Pinon A, Caudrelier Y, Delobel A, Merle G, Perelle S, Temmam S, Loutreul J, Morin T, Estienney M, Belliot G, Pothier P, Gantzer C, Vialette M (2012) Adhesion of human pathogenic enteric viruses and surrogate viruses to inert and vegetal food surfaces. Food Microbiology 32:48–56. </w:t>
      </w:r>
      <w:hyperlink r:id="rId92" w:history="1">
        <w:r w:rsidR="00010BAE" w:rsidRPr="006032FF">
          <w:rPr>
            <w:rStyle w:val="Hyperlink"/>
            <w:rFonts w:cs="Arial"/>
            <w:sz w:val="20"/>
            <w:szCs w:val="20"/>
          </w:rPr>
          <w:t>https://doi.org/10.1016/j.fm.2012.04.007</w:t>
        </w:r>
      </w:hyperlink>
    </w:p>
    <w:p w14:paraId="2B5EC9FA" w14:textId="70942BB4" w:rsidR="00657FDB" w:rsidRPr="006032FF" w:rsidRDefault="00657FDB" w:rsidP="006032FF">
      <w:pPr>
        <w:pStyle w:val="CitaviBibliographyEntry"/>
        <w:spacing w:after="120"/>
        <w:ind w:left="0" w:firstLine="0"/>
        <w:rPr>
          <w:rFonts w:cs="Arial"/>
          <w:sz w:val="20"/>
          <w:szCs w:val="20"/>
        </w:rPr>
      </w:pPr>
      <w:bookmarkStart w:id="535" w:name="_CTVL0013bfcd8f05f9b4658a63d88d92d3f2e7b"/>
      <w:bookmarkEnd w:id="534"/>
      <w:r w:rsidRPr="006032FF">
        <w:rPr>
          <w:rFonts w:cs="Arial"/>
          <w:sz w:val="20"/>
          <w:szCs w:val="20"/>
        </w:rPr>
        <w:t>DEDJTR, FSANZ (2016) On-farm food safety practices survey of strawberry growing in</w:t>
      </w:r>
      <w:r w:rsidR="009155E4">
        <w:rPr>
          <w:rFonts w:cs="Arial"/>
          <w:sz w:val="20"/>
          <w:szCs w:val="20"/>
        </w:rPr>
        <w:t xml:space="preserve"> Victoria. Food </w:t>
      </w:r>
      <w:r w:rsidRPr="006032FF">
        <w:rPr>
          <w:rFonts w:cs="Arial"/>
          <w:sz w:val="20"/>
          <w:szCs w:val="20"/>
        </w:rPr>
        <w:t xml:space="preserve">Standards Australia New Zealand, Canberra. </w:t>
      </w:r>
      <w:hyperlink r:id="rId93" w:history="1">
        <w:r w:rsidR="00010BAE" w:rsidRPr="006032FF">
          <w:rPr>
            <w:rStyle w:val="Hyperlink"/>
            <w:rFonts w:cs="Arial"/>
            <w:sz w:val="20"/>
            <w:szCs w:val="20"/>
          </w:rPr>
          <w:t>https://www.foodstandards.gov.au/publications/Documents/Strawberry%20report.pdf</w:t>
        </w:r>
      </w:hyperlink>
      <w:r w:rsidR="0057637C">
        <w:rPr>
          <w:rFonts w:cs="Arial"/>
          <w:sz w:val="20"/>
          <w:szCs w:val="20"/>
        </w:rPr>
        <w:t>. Accessed 7 </w:t>
      </w:r>
      <w:r w:rsidRPr="006032FF">
        <w:rPr>
          <w:rFonts w:cs="Arial"/>
          <w:sz w:val="20"/>
          <w:szCs w:val="20"/>
        </w:rPr>
        <w:t>August 2020</w:t>
      </w:r>
    </w:p>
    <w:p w14:paraId="31168835" w14:textId="108D7B54" w:rsidR="00657FDB" w:rsidRPr="006032FF" w:rsidRDefault="00657FDB" w:rsidP="006032FF">
      <w:pPr>
        <w:pStyle w:val="CitaviBibliographyEntry"/>
        <w:spacing w:after="120"/>
        <w:ind w:left="0" w:firstLine="0"/>
        <w:rPr>
          <w:rFonts w:cs="Arial"/>
          <w:sz w:val="20"/>
          <w:szCs w:val="20"/>
        </w:rPr>
      </w:pPr>
      <w:bookmarkStart w:id="536" w:name="_CTVL0010b6c16f5605e44c6868eba0efe815e8f"/>
      <w:bookmarkEnd w:id="535"/>
      <w:r w:rsidRPr="006032FF">
        <w:rPr>
          <w:rFonts w:cs="Arial"/>
          <w:sz w:val="20"/>
          <w:szCs w:val="20"/>
        </w:rPr>
        <w:t xml:space="preserve">Delbeke S, Ceuppens S, Hessel CT, Castro I, Jacxsens L, Zutter Ld, Uyttendaele M (2015) Microbial safety and sanitary quality of strawberry primary production in Belgium: Risk factors for </w:t>
      </w:r>
      <w:bookmarkEnd w:id="536"/>
      <w:r w:rsidRPr="006032FF">
        <w:rPr>
          <w:rFonts w:cs="Arial"/>
          <w:i/>
          <w:sz w:val="20"/>
          <w:szCs w:val="20"/>
        </w:rPr>
        <w:t xml:space="preserve">Salmonella </w:t>
      </w:r>
      <w:r w:rsidRPr="006032FF">
        <w:rPr>
          <w:rFonts w:cs="Arial"/>
          <w:sz w:val="20"/>
          <w:szCs w:val="20"/>
        </w:rPr>
        <w:t xml:space="preserve">and Shiga toxin-producing </w:t>
      </w:r>
      <w:r w:rsidRPr="006032FF">
        <w:rPr>
          <w:rFonts w:cs="Arial"/>
          <w:i/>
          <w:sz w:val="20"/>
          <w:szCs w:val="20"/>
        </w:rPr>
        <w:t xml:space="preserve">Escherichia coli </w:t>
      </w:r>
      <w:r w:rsidRPr="006032FF">
        <w:rPr>
          <w:rFonts w:cs="Arial"/>
          <w:sz w:val="20"/>
          <w:szCs w:val="20"/>
        </w:rPr>
        <w:t xml:space="preserve">contamination. Applied and Environmental Microbiology 81:2562–2570. </w:t>
      </w:r>
      <w:hyperlink r:id="rId94" w:history="1">
        <w:r w:rsidR="00010BAE" w:rsidRPr="006032FF">
          <w:rPr>
            <w:rStyle w:val="Hyperlink"/>
            <w:rFonts w:cs="Arial"/>
            <w:sz w:val="20"/>
            <w:szCs w:val="20"/>
          </w:rPr>
          <w:t>https://doi.org/10.1128/AEM.03930-14</w:t>
        </w:r>
      </w:hyperlink>
    </w:p>
    <w:p w14:paraId="7B4D5C30" w14:textId="77777777" w:rsidR="00657FDB" w:rsidRPr="006032FF" w:rsidRDefault="00657FDB" w:rsidP="006032FF">
      <w:pPr>
        <w:pStyle w:val="CitaviBibliographyEntry"/>
        <w:spacing w:after="120"/>
        <w:ind w:left="0" w:firstLine="0"/>
        <w:rPr>
          <w:rFonts w:cs="Arial"/>
          <w:sz w:val="20"/>
          <w:szCs w:val="20"/>
        </w:rPr>
      </w:pPr>
      <w:bookmarkStart w:id="537" w:name="_CTVL001e44ed3c2262d475c8039ac960e1ed12a"/>
      <w:r w:rsidRPr="006032FF">
        <w:rPr>
          <w:rFonts w:cs="Arial"/>
          <w:sz w:val="20"/>
          <w:szCs w:val="20"/>
        </w:rPr>
        <w:t xml:space="preserve">Dev Kumar G, Pinzon-Avila J, Suslow T, Ravishankar S (2015) Baseline assessment of the prevalence of </w:t>
      </w:r>
      <w:bookmarkEnd w:id="537"/>
      <w:r w:rsidRPr="006032FF">
        <w:rPr>
          <w:rFonts w:cs="Arial"/>
          <w:i/>
          <w:sz w:val="20"/>
          <w:szCs w:val="20"/>
        </w:rPr>
        <w:t xml:space="preserve">Salmonella </w:t>
      </w:r>
      <w:r w:rsidRPr="006032FF">
        <w:rPr>
          <w:rFonts w:cs="Arial"/>
          <w:sz w:val="20"/>
          <w:szCs w:val="20"/>
        </w:rPr>
        <w:t xml:space="preserve">and </w:t>
      </w:r>
      <w:r w:rsidRPr="006032FF">
        <w:rPr>
          <w:rFonts w:cs="Arial"/>
          <w:i/>
          <w:sz w:val="20"/>
          <w:szCs w:val="20"/>
        </w:rPr>
        <w:t xml:space="preserve">Listeria </w:t>
      </w:r>
      <w:r w:rsidRPr="006032FF">
        <w:rPr>
          <w:rFonts w:cs="Arial"/>
          <w:sz w:val="20"/>
          <w:szCs w:val="20"/>
        </w:rPr>
        <w:t>on cantaloupe and in select melon production environments in Arizona. Journal of Food Protection 78 Suppl. A:51</w:t>
      </w:r>
    </w:p>
    <w:p w14:paraId="65AFD81C" w14:textId="30625FBD" w:rsidR="00657FDB" w:rsidRPr="006032FF" w:rsidRDefault="00657FDB" w:rsidP="006032FF">
      <w:pPr>
        <w:pStyle w:val="CitaviBibliographyEntry"/>
        <w:spacing w:after="120"/>
        <w:ind w:left="0" w:firstLine="0"/>
        <w:rPr>
          <w:rFonts w:cs="Arial"/>
          <w:sz w:val="20"/>
          <w:szCs w:val="20"/>
        </w:rPr>
      </w:pPr>
      <w:bookmarkStart w:id="538" w:name="_CTVL0010bb63bbd4c00469586f5557e40d5aafc"/>
      <w:r w:rsidRPr="006032FF">
        <w:rPr>
          <w:rFonts w:cs="Arial"/>
          <w:sz w:val="20"/>
          <w:szCs w:val="20"/>
        </w:rPr>
        <w:t xml:space="preserve">DHHS Victoria (2017) Hepatitis A oubreak associated with frozen berries. Department of Health and Human Services, Victoria State Government, Melbourne. </w:t>
      </w:r>
      <w:hyperlink r:id="rId95" w:history="1">
        <w:r w:rsidR="00010BAE" w:rsidRPr="006032FF">
          <w:rPr>
            <w:rStyle w:val="Hyperlink"/>
            <w:rFonts w:cs="Arial"/>
            <w:sz w:val="20"/>
            <w:szCs w:val="20"/>
          </w:rPr>
          <w:t>https://www2.health.vic.gov.au/about/news-and-events/healthalerts/alert-hepatitis-a-berries-2-june-2017</w:t>
        </w:r>
      </w:hyperlink>
      <w:r w:rsidRPr="006032FF">
        <w:rPr>
          <w:rFonts w:cs="Arial"/>
          <w:sz w:val="20"/>
          <w:szCs w:val="20"/>
        </w:rPr>
        <w:t>. Accessed 31 July 2019</w:t>
      </w:r>
    </w:p>
    <w:p w14:paraId="223506FF" w14:textId="55C78747" w:rsidR="00657FDB" w:rsidRPr="006032FF" w:rsidRDefault="00657FDB" w:rsidP="006032FF">
      <w:pPr>
        <w:pStyle w:val="CitaviBibliographyEntry"/>
        <w:spacing w:after="120"/>
        <w:ind w:left="0" w:firstLine="0"/>
        <w:rPr>
          <w:rFonts w:cs="Arial"/>
          <w:sz w:val="20"/>
          <w:szCs w:val="20"/>
        </w:rPr>
      </w:pPr>
      <w:bookmarkStart w:id="539" w:name="_CTVL00165d108c730814576b1e6854710655ea1"/>
      <w:bookmarkEnd w:id="538"/>
      <w:r w:rsidRPr="006032FF">
        <w:rPr>
          <w:rFonts w:cs="Arial"/>
          <w:sz w:val="20"/>
          <w:szCs w:val="20"/>
        </w:rPr>
        <w:t xml:space="preserve">DiCaprio E, Culbertson D, Li J (2015) Evidence of the internalization of animal calciviruses via the roots of growing strawberry plants and dissemination to the fruit. Applied and Environmental Microbiology 81:2727–2734. </w:t>
      </w:r>
      <w:hyperlink r:id="rId96" w:history="1">
        <w:r w:rsidR="00010BAE" w:rsidRPr="006032FF">
          <w:rPr>
            <w:rStyle w:val="Hyperlink"/>
            <w:rFonts w:cs="Arial"/>
            <w:sz w:val="20"/>
            <w:szCs w:val="20"/>
          </w:rPr>
          <w:t>https://doi.org/10.1128/AEM.03867-14</w:t>
        </w:r>
      </w:hyperlink>
    </w:p>
    <w:p w14:paraId="2FAD0FF7" w14:textId="2C67A34E" w:rsidR="00657FDB" w:rsidRPr="006032FF" w:rsidRDefault="00657FDB" w:rsidP="006032FF">
      <w:pPr>
        <w:pStyle w:val="CitaviBibliographyEntry"/>
        <w:spacing w:after="120"/>
        <w:ind w:left="0" w:firstLine="0"/>
        <w:rPr>
          <w:rFonts w:cs="Arial"/>
          <w:sz w:val="20"/>
          <w:szCs w:val="20"/>
        </w:rPr>
      </w:pPr>
      <w:bookmarkStart w:id="540" w:name="_CTVL0010280047eb4cd47dbbfe458a125740dc8"/>
      <w:bookmarkEnd w:id="539"/>
      <w:r w:rsidRPr="006032FF">
        <w:rPr>
          <w:rFonts w:cs="Arial"/>
          <w:sz w:val="20"/>
          <w:szCs w:val="20"/>
        </w:rPr>
        <w:t xml:space="preserve">Doan HK, Antequera-Gómez ML, Parikh AN, Leveau JHJ (2020) Leaf surface topography contributes to the ability of </w:t>
      </w:r>
      <w:bookmarkEnd w:id="540"/>
      <w:r w:rsidRPr="006032FF">
        <w:rPr>
          <w:rFonts w:cs="Arial"/>
          <w:i/>
          <w:sz w:val="20"/>
          <w:szCs w:val="20"/>
        </w:rPr>
        <w:t xml:space="preserve">Escherichia coli </w:t>
      </w:r>
      <w:r w:rsidRPr="006032FF">
        <w:rPr>
          <w:rFonts w:cs="Arial"/>
          <w:sz w:val="20"/>
          <w:szCs w:val="20"/>
        </w:rPr>
        <w:t xml:space="preserve">on leafy greens to resist removal by washing, escape disinfection with chlorine, and disperse through splash. Frontiers in Microbiology 11:1485. </w:t>
      </w:r>
      <w:hyperlink r:id="rId97" w:history="1">
        <w:r w:rsidR="00010BAE" w:rsidRPr="006032FF">
          <w:rPr>
            <w:rStyle w:val="Hyperlink"/>
            <w:rFonts w:cs="Arial"/>
            <w:sz w:val="20"/>
            <w:szCs w:val="20"/>
          </w:rPr>
          <w:t>https://doi.org/10.3389/fmicb.2020.01485</w:t>
        </w:r>
      </w:hyperlink>
    </w:p>
    <w:p w14:paraId="237EC554" w14:textId="7FDF59DB" w:rsidR="00657FDB" w:rsidRPr="006032FF" w:rsidRDefault="00657FDB" w:rsidP="006032FF">
      <w:pPr>
        <w:pStyle w:val="CitaviBibliographyEntry"/>
        <w:spacing w:after="120"/>
        <w:ind w:left="0" w:firstLine="0"/>
        <w:rPr>
          <w:rFonts w:cs="Arial"/>
          <w:sz w:val="20"/>
          <w:szCs w:val="20"/>
        </w:rPr>
      </w:pPr>
      <w:bookmarkStart w:id="541" w:name="_CTVL0012e9cb0823e6a436286af0c669fe48913"/>
      <w:r w:rsidRPr="006032FF">
        <w:rPr>
          <w:rFonts w:cs="Arial"/>
          <w:sz w:val="20"/>
          <w:szCs w:val="20"/>
        </w:rPr>
        <w:t xml:space="preserve">Dobhal S, Zhang G, Royer T, Damicone J, Ma LM (2014) Survival and growth of foodborne pathogens in pesticide solutions routinely used in leafy green vegetables and tomato production. Journal of the Science of Food &amp; Agriculture 94:2958–2964. </w:t>
      </w:r>
      <w:hyperlink r:id="rId98" w:history="1">
        <w:r w:rsidR="00010BAE" w:rsidRPr="006032FF">
          <w:rPr>
            <w:rStyle w:val="Hyperlink"/>
            <w:rFonts w:cs="Arial"/>
            <w:sz w:val="20"/>
            <w:szCs w:val="20"/>
          </w:rPr>
          <w:t>https://doi.org/10.1002/jsfa.6640</w:t>
        </w:r>
      </w:hyperlink>
    </w:p>
    <w:p w14:paraId="292471D8" w14:textId="653E8314" w:rsidR="00657FDB" w:rsidRPr="006032FF" w:rsidRDefault="00657FDB" w:rsidP="006032FF">
      <w:pPr>
        <w:pStyle w:val="CitaviBibliographyEntry"/>
        <w:spacing w:after="120"/>
        <w:ind w:left="0" w:firstLine="0"/>
        <w:rPr>
          <w:rFonts w:cs="Arial"/>
          <w:sz w:val="20"/>
          <w:szCs w:val="20"/>
        </w:rPr>
      </w:pPr>
      <w:bookmarkStart w:id="542" w:name="_CTVL0017822c31167cb40deb55a54f73c742639"/>
      <w:bookmarkEnd w:id="541"/>
      <w:r w:rsidRPr="006032FF">
        <w:rPr>
          <w:rFonts w:cs="Arial"/>
          <w:sz w:val="20"/>
          <w:szCs w:val="20"/>
        </w:rPr>
        <w:t xml:space="preserve">Donnan EJ, Fielding JE, Gregory JE, Lalor K, Rowe S, Goldsmith P, </w:t>
      </w:r>
      <w:r w:rsidR="0057637C">
        <w:rPr>
          <w:rFonts w:cs="Arial"/>
          <w:sz w:val="20"/>
          <w:szCs w:val="20"/>
        </w:rPr>
        <w:t>Antoniou M, Fullerton KE, Knope </w:t>
      </w:r>
      <w:r w:rsidRPr="006032FF">
        <w:rPr>
          <w:rFonts w:cs="Arial"/>
          <w:sz w:val="20"/>
          <w:szCs w:val="20"/>
        </w:rPr>
        <w:t xml:space="preserve">K, Copland JG, Bowden DS, Tracy SL, Hogg GG, Tan A, Adamopoulos J, Gaston J, Vally H (2012) A multistate outbreak of hepatitis A associated with semidried tomatoes in Australia, 2009. Clinical Infectious Diseases 54:775–781. </w:t>
      </w:r>
      <w:hyperlink r:id="rId99" w:history="1">
        <w:r w:rsidR="00010BAE" w:rsidRPr="006032FF">
          <w:rPr>
            <w:rStyle w:val="Hyperlink"/>
            <w:rFonts w:cs="Arial"/>
            <w:sz w:val="20"/>
            <w:szCs w:val="20"/>
          </w:rPr>
          <w:t>https://doi.org/10.1093/cid/cir949</w:t>
        </w:r>
      </w:hyperlink>
    </w:p>
    <w:p w14:paraId="349D7445" w14:textId="39BA9F0A" w:rsidR="00657FDB" w:rsidRPr="006032FF" w:rsidRDefault="00657FDB" w:rsidP="006032FF">
      <w:pPr>
        <w:pStyle w:val="CitaviBibliographyEntry"/>
        <w:spacing w:after="120"/>
        <w:ind w:left="0" w:firstLine="0"/>
        <w:rPr>
          <w:rFonts w:cs="Arial"/>
          <w:sz w:val="20"/>
          <w:szCs w:val="20"/>
        </w:rPr>
      </w:pPr>
      <w:bookmarkStart w:id="543" w:name="_CTVL001dbb72ca07a50455384059ce5c342b4c3"/>
      <w:bookmarkEnd w:id="542"/>
      <w:r w:rsidRPr="006032FF">
        <w:rPr>
          <w:rFonts w:cs="Arial"/>
          <w:sz w:val="20"/>
          <w:szCs w:val="20"/>
        </w:rPr>
        <w:t xml:space="preserve">Dowe MJ, Jackson ED, Mori JG, Bell CR (1997) </w:t>
      </w:r>
      <w:bookmarkEnd w:id="543"/>
      <w:r w:rsidRPr="006032FF">
        <w:rPr>
          <w:rFonts w:cs="Arial"/>
          <w:i/>
          <w:sz w:val="20"/>
          <w:szCs w:val="20"/>
        </w:rPr>
        <w:t xml:space="preserve">Listeria monocytogenes </w:t>
      </w:r>
      <w:r w:rsidRPr="006032FF">
        <w:rPr>
          <w:rFonts w:cs="Arial"/>
          <w:sz w:val="20"/>
          <w:szCs w:val="20"/>
        </w:rPr>
        <w:t xml:space="preserve">survival in soil and incidence in agricultural soils. Journal of Food Protection 60:1201–1207. </w:t>
      </w:r>
      <w:hyperlink r:id="rId100" w:history="1">
        <w:r w:rsidR="00010BAE" w:rsidRPr="006032FF">
          <w:rPr>
            <w:rStyle w:val="Hyperlink"/>
            <w:rFonts w:cs="Arial"/>
            <w:sz w:val="20"/>
            <w:szCs w:val="20"/>
          </w:rPr>
          <w:t>https://doi.org/10.4315/0362-028X-60.10.1201</w:t>
        </w:r>
      </w:hyperlink>
    </w:p>
    <w:p w14:paraId="0FE75662" w14:textId="3F408D09" w:rsidR="00657FDB" w:rsidRPr="006032FF" w:rsidRDefault="00657FDB" w:rsidP="006032FF">
      <w:pPr>
        <w:pStyle w:val="CitaviBibliographyEntry"/>
        <w:spacing w:after="120"/>
        <w:ind w:left="0" w:firstLine="0"/>
        <w:rPr>
          <w:rFonts w:cs="Arial"/>
          <w:sz w:val="20"/>
          <w:szCs w:val="20"/>
        </w:rPr>
      </w:pPr>
      <w:bookmarkStart w:id="544" w:name="_CTVL001d98325cf8edd4d9db875c8c07bf2a543"/>
      <w:r w:rsidRPr="006032FF">
        <w:rPr>
          <w:rFonts w:cs="Arial"/>
          <w:sz w:val="20"/>
          <w:szCs w:val="20"/>
        </w:rPr>
        <w:t xml:space="preserve">DPIRD WA (2015) Using pesticides in strawberry production - your responsibilities as a grower. Department of Primary Industries and Regional Development, Government of Western Australia, Perth. </w:t>
      </w:r>
      <w:hyperlink r:id="rId101" w:history="1">
        <w:r w:rsidR="00010BAE" w:rsidRPr="006032FF">
          <w:rPr>
            <w:rStyle w:val="Hyperlink"/>
            <w:rFonts w:cs="Arial"/>
            <w:sz w:val="20"/>
            <w:szCs w:val="20"/>
          </w:rPr>
          <w:t>https://www.agric.wa.gov.au/strawberries/using-pesticides-strawberry-production-%E2%80%93-your-responsibilities-grower?page=0%2C1</w:t>
        </w:r>
      </w:hyperlink>
      <w:r w:rsidRPr="006032FF">
        <w:rPr>
          <w:rFonts w:cs="Arial"/>
          <w:sz w:val="20"/>
          <w:szCs w:val="20"/>
        </w:rPr>
        <w:t>. Accessed 21 August 2020</w:t>
      </w:r>
    </w:p>
    <w:p w14:paraId="5E9EEB2F" w14:textId="2FA426FE" w:rsidR="00657FDB" w:rsidRPr="006032FF" w:rsidRDefault="00657FDB" w:rsidP="006032FF">
      <w:pPr>
        <w:pStyle w:val="CitaviBibliographyEntry"/>
        <w:spacing w:after="120"/>
        <w:ind w:left="0" w:firstLine="0"/>
        <w:rPr>
          <w:rFonts w:cs="Arial"/>
          <w:sz w:val="20"/>
          <w:szCs w:val="20"/>
        </w:rPr>
      </w:pPr>
      <w:bookmarkStart w:id="545" w:name="_CTVL0018cea22fece0743538f16b3e69ca7af4f"/>
      <w:bookmarkEnd w:id="544"/>
      <w:r w:rsidRPr="006032FF">
        <w:rPr>
          <w:rFonts w:cs="Arial"/>
          <w:sz w:val="20"/>
          <w:szCs w:val="20"/>
        </w:rPr>
        <w:t xml:space="preserve">DPIRD WA (2016a) Growing blueberries in Westerrn Australia. Department of Primary Industries and Regional Development, Government of Western Australia, Perth. </w:t>
      </w:r>
      <w:hyperlink r:id="rId102" w:history="1">
        <w:r w:rsidR="00010BAE" w:rsidRPr="006032FF">
          <w:rPr>
            <w:rStyle w:val="Hyperlink"/>
            <w:rFonts w:cs="Arial"/>
            <w:sz w:val="20"/>
            <w:szCs w:val="20"/>
          </w:rPr>
          <w:t>https://www.agric.wa.gov.au/minor-fruits/growing-blueberries-western-australia?nopaging=1</w:t>
        </w:r>
      </w:hyperlink>
      <w:r w:rsidRPr="006032FF">
        <w:rPr>
          <w:rFonts w:cs="Arial"/>
          <w:sz w:val="20"/>
          <w:szCs w:val="20"/>
        </w:rPr>
        <w:t>. Accessed 24 August 2020</w:t>
      </w:r>
    </w:p>
    <w:p w14:paraId="02626CFB" w14:textId="51A07D09" w:rsidR="00657FDB" w:rsidRPr="006032FF" w:rsidRDefault="00657FDB" w:rsidP="006032FF">
      <w:pPr>
        <w:pStyle w:val="CitaviBibliographyEntry"/>
        <w:spacing w:after="120"/>
        <w:ind w:left="0" w:firstLine="0"/>
        <w:rPr>
          <w:rFonts w:cs="Arial"/>
          <w:sz w:val="20"/>
          <w:szCs w:val="20"/>
        </w:rPr>
      </w:pPr>
      <w:bookmarkStart w:id="546" w:name="_CTVL00157bd0460f68a4d73ae5707ccbac7144d"/>
      <w:bookmarkEnd w:id="545"/>
      <w:r w:rsidRPr="006032FF">
        <w:rPr>
          <w:rFonts w:cs="Arial"/>
          <w:sz w:val="20"/>
          <w:szCs w:val="20"/>
        </w:rPr>
        <w:t xml:space="preserve">DPIRD WA (2016b) Irrigation and fertiliser guidelines for strawberries. Department of Primary Industries and Regional Development, Government of Western Australia, Perth. </w:t>
      </w:r>
      <w:hyperlink r:id="rId103" w:history="1">
        <w:r w:rsidR="00010BAE" w:rsidRPr="006032FF">
          <w:rPr>
            <w:rStyle w:val="Hyperlink"/>
            <w:rFonts w:cs="Arial"/>
            <w:sz w:val="20"/>
            <w:szCs w:val="20"/>
          </w:rPr>
          <w:t>https://www.agric.wa.gov.au/strawberries/irrigation-and-fertiliser-guidelines-strawberries?nopaging=1</w:t>
        </w:r>
      </w:hyperlink>
      <w:r w:rsidRPr="006032FF">
        <w:rPr>
          <w:rFonts w:cs="Arial"/>
          <w:sz w:val="20"/>
          <w:szCs w:val="20"/>
        </w:rPr>
        <w:t>. Accessed 24 August 2020</w:t>
      </w:r>
    </w:p>
    <w:p w14:paraId="5ACD37CE" w14:textId="34B1AF7A" w:rsidR="00657FDB" w:rsidRPr="006032FF" w:rsidRDefault="00657FDB" w:rsidP="006032FF">
      <w:pPr>
        <w:pStyle w:val="CitaviBibliographyEntry"/>
        <w:spacing w:after="120"/>
        <w:ind w:left="0" w:firstLine="0"/>
        <w:rPr>
          <w:rFonts w:cs="Arial"/>
          <w:sz w:val="20"/>
          <w:szCs w:val="20"/>
        </w:rPr>
      </w:pPr>
      <w:bookmarkStart w:id="547" w:name="_CTVL001d1f6e71acd4941639e441e5cbfafd812"/>
      <w:bookmarkEnd w:id="546"/>
      <w:r w:rsidRPr="006032FF">
        <w:rPr>
          <w:rFonts w:cs="Arial"/>
          <w:sz w:val="20"/>
          <w:szCs w:val="20"/>
        </w:rPr>
        <w:t xml:space="preserve">DPIRD WA (2016c) Preparing to grow strawberries. Department of Primary Industries and Regional Development, Government of Western Australia, Perth. </w:t>
      </w:r>
      <w:hyperlink r:id="rId104" w:history="1">
        <w:r w:rsidR="00010BAE" w:rsidRPr="006032FF">
          <w:rPr>
            <w:rStyle w:val="Hyperlink"/>
            <w:rFonts w:cs="Arial"/>
            <w:sz w:val="20"/>
            <w:szCs w:val="20"/>
          </w:rPr>
          <w:t>https://www.agric.wa.gov.au/strawberries/preparing-grow-strawberries</w:t>
        </w:r>
      </w:hyperlink>
      <w:r w:rsidRPr="006032FF">
        <w:rPr>
          <w:rFonts w:cs="Arial"/>
          <w:sz w:val="20"/>
          <w:szCs w:val="20"/>
        </w:rPr>
        <w:t>. Accessed 24 August 2020</w:t>
      </w:r>
    </w:p>
    <w:p w14:paraId="12480612" w14:textId="61D94B29" w:rsidR="00657FDB" w:rsidRPr="006032FF" w:rsidRDefault="00657FDB" w:rsidP="006032FF">
      <w:pPr>
        <w:pStyle w:val="CitaviBibliographyEntry"/>
        <w:spacing w:after="120"/>
        <w:ind w:left="0" w:firstLine="0"/>
        <w:rPr>
          <w:rFonts w:cs="Arial"/>
          <w:sz w:val="20"/>
          <w:szCs w:val="20"/>
        </w:rPr>
      </w:pPr>
      <w:bookmarkStart w:id="548" w:name="_CTVL0017d31993d5e0e46b3820d9b8020cb18a7"/>
      <w:bookmarkEnd w:id="547"/>
      <w:r w:rsidRPr="006032FF">
        <w:rPr>
          <w:rFonts w:cs="Arial"/>
          <w:sz w:val="20"/>
          <w:szCs w:val="20"/>
        </w:rPr>
        <w:t xml:space="preserve">DPIRD WA (2016d) Strawberries - growing the crop. Department of Primary Industries and Regional Development, Government of Western Australia, Perth. </w:t>
      </w:r>
      <w:hyperlink r:id="rId105" w:history="1">
        <w:r w:rsidR="00010BAE" w:rsidRPr="006032FF">
          <w:rPr>
            <w:rStyle w:val="Hyperlink"/>
            <w:rFonts w:cs="Arial"/>
            <w:sz w:val="20"/>
            <w:szCs w:val="20"/>
          </w:rPr>
          <w:t>https://www.agric.wa.gov.au/strawberries/strawberries-growing-crop?nopaging=1</w:t>
        </w:r>
      </w:hyperlink>
      <w:r w:rsidR="0057637C">
        <w:rPr>
          <w:rFonts w:cs="Arial"/>
          <w:sz w:val="20"/>
          <w:szCs w:val="20"/>
        </w:rPr>
        <w:t>. Accessed 24 </w:t>
      </w:r>
      <w:r w:rsidRPr="006032FF">
        <w:rPr>
          <w:rFonts w:cs="Arial"/>
          <w:sz w:val="20"/>
          <w:szCs w:val="20"/>
        </w:rPr>
        <w:t>August 2020</w:t>
      </w:r>
    </w:p>
    <w:p w14:paraId="2DC39072" w14:textId="3E756D18" w:rsidR="00657FDB" w:rsidRPr="006032FF" w:rsidRDefault="00657FDB" w:rsidP="006032FF">
      <w:pPr>
        <w:pStyle w:val="CitaviBibliographyEntry"/>
        <w:spacing w:after="120"/>
        <w:ind w:left="0" w:firstLine="0"/>
        <w:rPr>
          <w:rFonts w:cs="Arial"/>
          <w:sz w:val="20"/>
          <w:szCs w:val="20"/>
        </w:rPr>
      </w:pPr>
      <w:bookmarkStart w:id="549" w:name="_CTVL001783bd27185304db2afdfb05307158ebc"/>
      <w:bookmarkEnd w:id="548"/>
      <w:r w:rsidRPr="006032FF">
        <w:rPr>
          <w:rFonts w:cs="Arial"/>
          <w:sz w:val="20"/>
          <w:szCs w:val="20"/>
        </w:rPr>
        <w:t xml:space="preserve">Duffy EA, Lucia LM, Kells JM, Castillo A, Pillai SD, Acuff GR (2005a) Concentrations of </w:t>
      </w:r>
      <w:bookmarkEnd w:id="549"/>
      <w:r w:rsidR="0057637C">
        <w:rPr>
          <w:rFonts w:cs="Arial"/>
          <w:i/>
          <w:sz w:val="20"/>
          <w:szCs w:val="20"/>
        </w:rPr>
        <w:t>Escherichia </w:t>
      </w:r>
      <w:r w:rsidRPr="006032FF">
        <w:rPr>
          <w:rFonts w:cs="Arial"/>
          <w:i/>
          <w:sz w:val="20"/>
          <w:szCs w:val="20"/>
        </w:rPr>
        <w:t xml:space="preserve">coli </w:t>
      </w:r>
      <w:r w:rsidRPr="006032FF">
        <w:rPr>
          <w:rFonts w:cs="Arial"/>
          <w:sz w:val="20"/>
          <w:szCs w:val="20"/>
        </w:rPr>
        <w:t xml:space="preserve">and genetic diversity and antibiotic resistance profiling of </w:t>
      </w:r>
      <w:r w:rsidRPr="006032FF">
        <w:rPr>
          <w:rFonts w:cs="Arial"/>
          <w:i/>
          <w:sz w:val="20"/>
          <w:szCs w:val="20"/>
        </w:rPr>
        <w:t xml:space="preserve">Salmonella </w:t>
      </w:r>
      <w:r w:rsidRPr="006032FF">
        <w:rPr>
          <w:rFonts w:cs="Arial"/>
          <w:sz w:val="20"/>
          <w:szCs w:val="20"/>
        </w:rPr>
        <w:t xml:space="preserve">isolated from irrigation water, packing shed equipment, and fresh produce in Texas. Journal of Food Protection 68:70–79. </w:t>
      </w:r>
      <w:hyperlink r:id="rId106" w:history="1">
        <w:r w:rsidR="00010BAE" w:rsidRPr="006032FF">
          <w:rPr>
            <w:rStyle w:val="Hyperlink"/>
            <w:rFonts w:cs="Arial"/>
            <w:sz w:val="20"/>
            <w:szCs w:val="20"/>
          </w:rPr>
          <w:t>https://doi.org/10.4315/0362-028x-68.1.70</w:t>
        </w:r>
      </w:hyperlink>
    </w:p>
    <w:p w14:paraId="66B51919" w14:textId="7D05C43F" w:rsidR="00657FDB" w:rsidRPr="006032FF" w:rsidRDefault="00657FDB" w:rsidP="006032FF">
      <w:pPr>
        <w:pStyle w:val="CitaviBibliographyEntry"/>
        <w:spacing w:after="120"/>
        <w:ind w:left="0" w:firstLine="0"/>
        <w:rPr>
          <w:rFonts w:cs="Arial"/>
          <w:sz w:val="20"/>
          <w:szCs w:val="20"/>
        </w:rPr>
      </w:pPr>
      <w:bookmarkStart w:id="550" w:name="_CTVL0018e39e846d133403dab371d83071b779e"/>
      <w:r w:rsidRPr="006032FF">
        <w:rPr>
          <w:rFonts w:cs="Arial"/>
          <w:sz w:val="20"/>
          <w:szCs w:val="20"/>
        </w:rPr>
        <w:t xml:space="preserve">Duffy EA, Cisneros-Zevallos L, Castillo A, Pillai SD, Ricke SC, Acuff GR (2005b) Survival of </w:t>
      </w:r>
      <w:bookmarkEnd w:id="550"/>
      <w:r w:rsidRPr="006032FF">
        <w:rPr>
          <w:rFonts w:cs="Arial"/>
          <w:i/>
          <w:sz w:val="20"/>
          <w:szCs w:val="20"/>
        </w:rPr>
        <w:t xml:space="preserve">Salmonella </w:t>
      </w:r>
      <w:r w:rsidRPr="006032FF">
        <w:rPr>
          <w:rFonts w:cs="Arial"/>
          <w:sz w:val="20"/>
          <w:szCs w:val="20"/>
        </w:rPr>
        <w:t xml:space="preserve">transformed to express green fluorescent protein on Italian parsley as affected by processing and storage. Journal of Food Protection 68:687–695. </w:t>
      </w:r>
      <w:hyperlink r:id="rId107" w:history="1">
        <w:r w:rsidR="00010BAE" w:rsidRPr="006032FF">
          <w:rPr>
            <w:rStyle w:val="Hyperlink"/>
            <w:rFonts w:cs="Arial"/>
            <w:sz w:val="20"/>
            <w:szCs w:val="20"/>
          </w:rPr>
          <w:t>https://doi.org/10.4315/0362-028X-68.4.687</w:t>
        </w:r>
      </w:hyperlink>
    </w:p>
    <w:p w14:paraId="7A5E93E1" w14:textId="7B08B87E" w:rsidR="00657FDB" w:rsidRPr="006032FF" w:rsidRDefault="00657FDB" w:rsidP="006032FF">
      <w:pPr>
        <w:pStyle w:val="CitaviBibliographyEntry"/>
        <w:spacing w:after="120"/>
        <w:ind w:left="0" w:firstLine="0"/>
        <w:rPr>
          <w:rFonts w:cs="Arial"/>
          <w:sz w:val="20"/>
          <w:szCs w:val="20"/>
        </w:rPr>
      </w:pPr>
      <w:bookmarkStart w:id="551" w:name="_CTVL0018d4a80c691fd476c9e07f46c4e722c4d"/>
      <w:r w:rsidRPr="006032FF">
        <w:rPr>
          <w:rFonts w:cs="Arial"/>
          <w:sz w:val="20"/>
          <w:szCs w:val="20"/>
        </w:rPr>
        <w:t xml:space="preserve">Dziedzinska R, Vasickova P, Hrdy J, Slany M, Babak V, Moravkova M (2018) Foodborne bacterial, viral, and protozoan pathogens in field and market strawberries and environment of strawberry farms. Journal of Food Science 83:3069–3075. </w:t>
      </w:r>
      <w:hyperlink r:id="rId108" w:history="1">
        <w:r w:rsidR="00010BAE" w:rsidRPr="006032FF">
          <w:rPr>
            <w:rStyle w:val="Hyperlink"/>
            <w:rFonts w:cs="Arial"/>
            <w:sz w:val="20"/>
            <w:szCs w:val="20"/>
          </w:rPr>
          <w:t>https://doi.org/10.1111/1750-3841.14401</w:t>
        </w:r>
      </w:hyperlink>
    </w:p>
    <w:p w14:paraId="7D173C35" w14:textId="37BE8316" w:rsidR="00657FDB" w:rsidRPr="006032FF" w:rsidRDefault="00657FDB" w:rsidP="006032FF">
      <w:pPr>
        <w:pStyle w:val="CitaviBibliographyEntry"/>
        <w:spacing w:after="120"/>
        <w:ind w:left="0" w:firstLine="0"/>
        <w:rPr>
          <w:rFonts w:cs="Arial"/>
          <w:sz w:val="20"/>
          <w:szCs w:val="20"/>
        </w:rPr>
      </w:pPr>
      <w:bookmarkStart w:id="552" w:name="_CTVL001c712cdd7eb3540bda1438acff3f5e808"/>
      <w:bookmarkEnd w:id="551"/>
      <w:r w:rsidRPr="006032FF">
        <w:rPr>
          <w:rFonts w:cs="Arial"/>
          <w:sz w:val="20"/>
          <w:szCs w:val="20"/>
        </w:rPr>
        <w:t xml:space="preserve">Eamens GJ, Hornitzky MA, Walker KH, Hum SI, Vanselow BA, Bailey </w:t>
      </w:r>
      <w:r w:rsidR="0057637C">
        <w:rPr>
          <w:rFonts w:cs="Arial"/>
          <w:sz w:val="20"/>
          <w:szCs w:val="20"/>
        </w:rPr>
        <w:t>GD, Cronin JP, Gill PA (2003) A </w:t>
      </w:r>
      <w:r w:rsidRPr="006032FF">
        <w:rPr>
          <w:rFonts w:cs="Arial"/>
          <w:sz w:val="20"/>
          <w:szCs w:val="20"/>
        </w:rPr>
        <w:t xml:space="preserve">study of the foodborne pathogens: </w:t>
      </w:r>
      <w:bookmarkEnd w:id="552"/>
      <w:r w:rsidRPr="006032FF">
        <w:rPr>
          <w:rFonts w:cs="Arial"/>
          <w:i/>
          <w:sz w:val="20"/>
          <w:szCs w:val="20"/>
        </w:rPr>
        <w:t>Campylobacter</w:t>
      </w:r>
      <w:r w:rsidRPr="006032FF">
        <w:rPr>
          <w:rFonts w:cs="Arial"/>
          <w:sz w:val="20"/>
          <w:szCs w:val="20"/>
        </w:rPr>
        <w:t xml:space="preserve">, </w:t>
      </w:r>
      <w:r w:rsidRPr="006032FF">
        <w:rPr>
          <w:rFonts w:cs="Arial"/>
          <w:i/>
          <w:sz w:val="20"/>
          <w:szCs w:val="20"/>
        </w:rPr>
        <w:t xml:space="preserve">Listeria </w:t>
      </w:r>
      <w:r w:rsidRPr="006032FF">
        <w:rPr>
          <w:rFonts w:cs="Arial"/>
          <w:sz w:val="20"/>
          <w:szCs w:val="20"/>
        </w:rPr>
        <w:t xml:space="preserve">and </w:t>
      </w:r>
      <w:r w:rsidRPr="006032FF">
        <w:rPr>
          <w:rFonts w:cs="Arial"/>
          <w:i/>
          <w:sz w:val="20"/>
          <w:szCs w:val="20"/>
        </w:rPr>
        <w:t xml:space="preserve">Yersinia </w:t>
      </w:r>
      <w:r w:rsidRPr="006032FF">
        <w:rPr>
          <w:rFonts w:cs="Arial"/>
          <w:sz w:val="20"/>
          <w:szCs w:val="20"/>
        </w:rPr>
        <w:t>in faeces from slaughter-age cattle and sheep in Australia. Communicable Diseases Intelligence Quarterly Report 27:249</w:t>
      </w:r>
    </w:p>
    <w:p w14:paraId="0F04213C" w14:textId="5FFDF177" w:rsidR="00657FDB" w:rsidRPr="006032FF" w:rsidRDefault="00657FDB" w:rsidP="006032FF">
      <w:pPr>
        <w:pStyle w:val="CitaviBibliographyEntry"/>
        <w:spacing w:after="120"/>
        <w:ind w:left="0" w:firstLine="0"/>
        <w:rPr>
          <w:rFonts w:cs="Arial"/>
          <w:sz w:val="20"/>
          <w:szCs w:val="20"/>
        </w:rPr>
      </w:pPr>
      <w:bookmarkStart w:id="553" w:name="_CTVL001b110a60ad502443ab7f8f83f9b8709f8"/>
      <w:r w:rsidRPr="006032FF">
        <w:rPr>
          <w:rFonts w:cs="Arial"/>
          <w:sz w:val="20"/>
          <w:szCs w:val="20"/>
        </w:rPr>
        <w:t>EFSA Panel on Biological Hazards (2014a) Scientific opinion on the risk posed by pathogens in food of non-animal origin: Part 2 (</w:t>
      </w:r>
      <w:bookmarkEnd w:id="553"/>
      <w:r w:rsidRPr="006032FF">
        <w:rPr>
          <w:rFonts w:cs="Arial"/>
          <w:i/>
          <w:sz w:val="20"/>
          <w:szCs w:val="20"/>
        </w:rPr>
        <w:t>Salmonella</w:t>
      </w:r>
      <w:r w:rsidRPr="006032FF">
        <w:rPr>
          <w:rFonts w:cs="Arial"/>
          <w:sz w:val="20"/>
          <w:szCs w:val="20"/>
        </w:rPr>
        <w:t xml:space="preserve"> and norovirus in leafy gr</w:t>
      </w:r>
      <w:r w:rsidR="009155E4">
        <w:rPr>
          <w:rFonts w:cs="Arial"/>
          <w:sz w:val="20"/>
          <w:szCs w:val="20"/>
        </w:rPr>
        <w:t>eens eaten raw as salads). EFSA </w:t>
      </w:r>
      <w:r w:rsidRPr="006032FF">
        <w:rPr>
          <w:rFonts w:cs="Arial"/>
          <w:sz w:val="20"/>
          <w:szCs w:val="20"/>
        </w:rPr>
        <w:t xml:space="preserve">Journal 12:3600. </w:t>
      </w:r>
      <w:hyperlink r:id="rId109" w:history="1">
        <w:r w:rsidR="00010BAE" w:rsidRPr="006032FF">
          <w:rPr>
            <w:rStyle w:val="Hyperlink"/>
            <w:rFonts w:cs="Arial"/>
            <w:sz w:val="20"/>
            <w:szCs w:val="20"/>
          </w:rPr>
          <w:t>https://doi.org/10.2903/j.efsa.2014.3600</w:t>
        </w:r>
      </w:hyperlink>
    </w:p>
    <w:p w14:paraId="34A97A3C" w14:textId="27B5666A" w:rsidR="00657FDB" w:rsidRPr="006032FF" w:rsidRDefault="00657FDB" w:rsidP="006032FF">
      <w:pPr>
        <w:pStyle w:val="CitaviBibliographyEntry"/>
        <w:spacing w:after="120"/>
        <w:ind w:left="0" w:firstLine="0"/>
        <w:rPr>
          <w:rFonts w:cs="Arial"/>
          <w:sz w:val="20"/>
          <w:szCs w:val="20"/>
        </w:rPr>
      </w:pPr>
      <w:bookmarkStart w:id="554" w:name="_CTVL00126289f588211427c83179a1550e7ef8c"/>
      <w:r w:rsidRPr="006032FF">
        <w:rPr>
          <w:rFonts w:cs="Arial"/>
          <w:sz w:val="20"/>
          <w:szCs w:val="20"/>
        </w:rPr>
        <w:t>EFSA Panel on Biological Hazards (2014b) Scientific Opinion on the risk posed by pathogens in food of non-animal origin: Part 2 (</w:t>
      </w:r>
      <w:bookmarkEnd w:id="554"/>
      <w:r w:rsidRPr="006032FF">
        <w:rPr>
          <w:rFonts w:cs="Arial"/>
          <w:i/>
          <w:sz w:val="20"/>
          <w:szCs w:val="20"/>
        </w:rPr>
        <w:t xml:space="preserve">Salmonella </w:t>
      </w:r>
      <w:r w:rsidRPr="006032FF">
        <w:rPr>
          <w:rFonts w:cs="Arial"/>
          <w:sz w:val="20"/>
          <w:szCs w:val="20"/>
        </w:rPr>
        <w:t xml:space="preserve">and norovirus in berries). EFSA Journal 12:3706. </w:t>
      </w:r>
      <w:hyperlink r:id="rId110" w:history="1">
        <w:r w:rsidR="00010BAE" w:rsidRPr="006032FF">
          <w:rPr>
            <w:rStyle w:val="Hyperlink"/>
            <w:rFonts w:cs="Arial"/>
            <w:sz w:val="20"/>
            <w:szCs w:val="20"/>
          </w:rPr>
          <w:t>https://doi.org/10.2903/j.efsa.2014.3706</w:t>
        </w:r>
      </w:hyperlink>
    </w:p>
    <w:p w14:paraId="1FB81F17" w14:textId="294B69F8" w:rsidR="00657FDB" w:rsidRPr="006032FF" w:rsidRDefault="00657FDB" w:rsidP="006032FF">
      <w:pPr>
        <w:pStyle w:val="CitaviBibliographyEntry"/>
        <w:spacing w:after="120"/>
        <w:ind w:left="0" w:firstLine="0"/>
        <w:rPr>
          <w:rFonts w:cs="Arial"/>
          <w:sz w:val="20"/>
          <w:szCs w:val="20"/>
        </w:rPr>
      </w:pPr>
      <w:bookmarkStart w:id="555" w:name="_CTVL001e29f68cdd54048019476bfddd7d8fdf8"/>
      <w:r w:rsidRPr="006032FF">
        <w:rPr>
          <w:rFonts w:cs="Arial"/>
          <w:sz w:val="20"/>
          <w:szCs w:val="20"/>
        </w:rPr>
        <w:t>EFSA Panel on Biological Hazards (2014c) Scientific Opinion on the risk posed by pathogens in food of non-animal origin.: Part 2 (</w:t>
      </w:r>
      <w:bookmarkEnd w:id="555"/>
      <w:r w:rsidRPr="006032FF">
        <w:rPr>
          <w:rFonts w:cs="Arial"/>
          <w:i/>
          <w:sz w:val="20"/>
          <w:szCs w:val="20"/>
        </w:rPr>
        <w:t xml:space="preserve">Salmonella </w:t>
      </w:r>
      <w:r w:rsidRPr="006032FF">
        <w:rPr>
          <w:rFonts w:cs="Arial"/>
          <w:sz w:val="20"/>
          <w:szCs w:val="20"/>
        </w:rPr>
        <w:t xml:space="preserve">in melons). EFSA Journal 12:3831. </w:t>
      </w:r>
      <w:hyperlink r:id="rId111" w:history="1">
        <w:r w:rsidR="00010BAE" w:rsidRPr="006032FF">
          <w:rPr>
            <w:rStyle w:val="Hyperlink"/>
            <w:rFonts w:cs="Arial"/>
            <w:sz w:val="20"/>
            <w:szCs w:val="20"/>
          </w:rPr>
          <w:t>https://doi.org/10.2903/j.efsa.2014.3831</w:t>
        </w:r>
      </w:hyperlink>
    </w:p>
    <w:p w14:paraId="74C98D42" w14:textId="0A67E3DB" w:rsidR="00657FDB" w:rsidRPr="006032FF" w:rsidRDefault="00657FDB" w:rsidP="006032FF">
      <w:pPr>
        <w:pStyle w:val="CitaviBibliographyEntry"/>
        <w:spacing w:after="120"/>
        <w:ind w:left="0" w:firstLine="0"/>
        <w:rPr>
          <w:rFonts w:cs="Arial"/>
          <w:sz w:val="20"/>
          <w:szCs w:val="20"/>
        </w:rPr>
      </w:pPr>
      <w:bookmarkStart w:id="556" w:name="_CTVL0016d0a5b4eff254281ad5050dcaa15f47f"/>
      <w:r w:rsidRPr="006032FF">
        <w:rPr>
          <w:rFonts w:cs="Arial"/>
          <w:sz w:val="20"/>
          <w:szCs w:val="20"/>
        </w:rPr>
        <w:t xml:space="preserve">Eissenberger K, Drissner D, Walsh F, Weiss A, Schmidt H (2020) Plant variety and soil type influence </w:t>
      </w:r>
      <w:bookmarkEnd w:id="556"/>
      <w:r w:rsidRPr="006032FF">
        <w:rPr>
          <w:rFonts w:cs="Arial"/>
          <w:i/>
          <w:sz w:val="20"/>
          <w:szCs w:val="20"/>
        </w:rPr>
        <w:t xml:space="preserve">Escherichia coli </w:t>
      </w:r>
      <w:r w:rsidRPr="006032FF">
        <w:rPr>
          <w:rFonts w:cs="Arial"/>
          <w:sz w:val="20"/>
          <w:szCs w:val="20"/>
        </w:rPr>
        <w:t xml:space="preserve">O104:H4 strain C227/11ϕcu adherence to and internalization into the roots of lettuce plants. Food Microbiology 86. </w:t>
      </w:r>
      <w:hyperlink r:id="rId112" w:history="1">
        <w:r w:rsidR="00010BAE" w:rsidRPr="006032FF">
          <w:rPr>
            <w:rStyle w:val="Hyperlink"/>
            <w:rFonts w:cs="Arial"/>
            <w:sz w:val="20"/>
            <w:szCs w:val="20"/>
          </w:rPr>
          <w:t>https://doi.org/10.1016/j.fm.2019.103316</w:t>
        </w:r>
      </w:hyperlink>
    </w:p>
    <w:p w14:paraId="5F62C365" w14:textId="51EBAF31" w:rsidR="00657FDB" w:rsidRPr="006032FF" w:rsidRDefault="00657FDB" w:rsidP="006032FF">
      <w:pPr>
        <w:pStyle w:val="CitaviBibliographyEntry"/>
        <w:spacing w:after="120"/>
        <w:ind w:left="0" w:firstLine="0"/>
        <w:rPr>
          <w:rFonts w:cs="Arial"/>
          <w:sz w:val="20"/>
          <w:szCs w:val="20"/>
        </w:rPr>
      </w:pPr>
      <w:bookmarkStart w:id="557" w:name="_CTVL0012873922bdb604503b6f095139411a615"/>
      <w:r w:rsidRPr="006032FF">
        <w:rPr>
          <w:rFonts w:cs="Arial"/>
          <w:sz w:val="20"/>
          <w:szCs w:val="20"/>
        </w:rPr>
        <w:t xml:space="preserve">Engels C, Weiss A, Carle R, Schmidt H, Schieber A, Gänzle MG (2012) Effects of gallotannin treatment on attachment, growth, and survival of </w:t>
      </w:r>
      <w:r w:rsidRPr="00482DC1">
        <w:rPr>
          <w:rFonts w:cs="Arial"/>
          <w:i/>
          <w:sz w:val="20"/>
          <w:szCs w:val="20"/>
        </w:rPr>
        <w:t>Escherichia coli</w:t>
      </w:r>
      <w:r w:rsidRPr="006032FF">
        <w:rPr>
          <w:rFonts w:cs="Arial"/>
          <w:sz w:val="20"/>
          <w:szCs w:val="20"/>
        </w:rPr>
        <w:t xml:space="preserve"> O157: H7 and </w:t>
      </w:r>
      <w:r w:rsidRPr="00482DC1">
        <w:rPr>
          <w:rFonts w:cs="Arial"/>
          <w:i/>
          <w:sz w:val="20"/>
          <w:szCs w:val="20"/>
        </w:rPr>
        <w:t>Listeria</w:t>
      </w:r>
      <w:r w:rsidR="00482DC1">
        <w:rPr>
          <w:rFonts w:cs="Arial"/>
          <w:sz w:val="20"/>
          <w:szCs w:val="20"/>
        </w:rPr>
        <w:t> </w:t>
      </w:r>
      <w:r w:rsidRPr="00482DC1">
        <w:rPr>
          <w:rFonts w:cs="Arial"/>
          <w:i/>
          <w:sz w:val="20"/>
          <w:szCs w:val="20"/>
        </w:rPr>
        <w:t>monocytogenes</w:t>
      </w:r>
      <w:r w:rsidRPr="006032FF">
        <w:rPr>
          <w:rFonts w:cs="Arial"/>
          <w:sz w:val="20"/>
          <w:szCs w:val="20"/>
        </w:rPr>
        <w:t xml:space="preserve"> on spinach and lettuce. Eur Food Res Technol 234:1081–1090. </w:t>
      </w:r>
      <w:hyperlink r:id="rId113" w:history="1">
        <w:r w:rsidR="00010BAE" w:rsidRPr="006032FF">
          <w:rPr>
            <w:rStyle w:val="Hyperlink"/>
            <w:rFonts w:cs="Arial"/>
            <w:sz w:val="20"/>
            <w:szCs w:val="20"/>
          </w:rPr>
          <w:t>https://doi.org/10.1007/s00217-012-1727-6</w:t>
        </w:r>
      </w:hyperlink>
    </w:p>
    <w:p w14:paraId="42CC8D11" w14:textId="09DABB91" w:rsidR="00657FDB" w:rsidRPr="006032FF" w:rsidRDefault="00657FDB" w:rsidP="006032FF">
      <w:pPr>
        <w:pStyle w:val="CitaviBibliographyEntry"/>
        <w:spacing w:after="120"/>
        <w:ind w:left="0" w:firstLine="0"/>
        <w:rPr>
          <w:rFonts w:cs="Arial"/>
          <w:sz w:val="20"/>
          <w:szCs w:val="20"/>
        </w:rPr>
      </w:pPr>
      <w:bookmarkStart w:id="558" w:name="_CTVL0013fa2200baea8486da61e6664cb470af1"/>
      <w:bookmarkEnd w:id="557"/>
      <w:r w:rsidRPr="006032FF">
        <w:rPr>
          <w:rFonts w:cs="Arial"/>
          <w:sz w:val="20"/>
          <w:szCs w:val="20"/>
        </w:rPr>
        <w:t xml:space="preserve">Erickson MC, Critzer F, Doyle MP (2010) Composting criteria for animal manure. </w:t>
      </w:r>
      <w:hyperlink r:id="rId114" w:history="1">
        <w:r w:rsidR="00010BAE" w:rsidRPr="006032FF">
          <w:rPr>
            <w:rStyle w:val="Hyperlink"/>
            <w:rFonts w:cs="Arial"/>
            <w:sz w:val="20"/>
            <w:szCs w:val="20"/>
          </w:rPr>
          <w:t>https://onfarmfoodsafety.rutgers.edu/wp-content/uploads/2018/02/PSP-Erikson-Composting-Manure.pdf</w:t>
        </w:r>
      </w:hyperlink>
      <w:r w:rsidRPr="006032FF">
        <w:rPr>
          <w:rFonts w:cs="Arial"/>
          <w:sz w:val="20"/>
          <w:szCs w:val="20"/>
        </w:rPr>
        <w:t>. Accessed 22 September 2020</w:t>
      </w:r>
    </w:p>
    <w:p w14:paraId="0C609571" w14:textId="77777777" w:rsidR="009155E4" w:rsidRDefault="009155E4">
      <w:pPr>
        <w:widowControl/>
        <w:rPr>
          <w:rFonts w:cs="Arial"/>
          <w:color w:val="000000" w:themeColor="text1"/>
          <w:sz w:val="20"/>
          <w:szCs w:val="20"/>
        </w:rPr>
      </w:pPr>
      <w:bookmarkStart w:id="559" w:name="_CTVL0012329e060c3e14d23a06ee0959be09adf"/>
      <w:bookmarkEnd w:id="558"/>
      <w:r>
        <w:rPr>
          <w:rFonts w:cs="Arial"/>
          <w:sz w:val="20"/>
          <w:szCs w:val="20"/>
        </w:rPr>
        <w:br w:type="page"/>
      </w:r>
    </w:p>
    <w:p w14:paraId="3042C076" w14:textId="402952F7"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Erickson MC, Webb CC, Díaz-Pérez JC, Davey LE, Payton AS, Flitcroft ID, Phatak SC, Doyle MP (2014a) Absence of internalization of </w:t>
      </w:r>
      <w:bookmarkEnd w:id="559"/>
      <w:r w:rsidRPr="006032FF">
        <w:rPr>
          <w:rFonts w:cs="Arial"/>
          <w:i/>
          <w:sz w:val="20"/>
          <w:szCs w:val="20"/>
        </w:rPr>
        <w:t xml:space="preserve">Escherichia coli </w:t>
      </w:r>
      <w:r w:rsidRPr="006032FF">
        <w:rPr>
          <w:rFonts w:cs="Arial"/>
          <w:sz w:val="20"/>
          <w:szCs w:val="20"/>
        </w:rPr>
        <w:t xml:space="preserve">O157:H7 into germinating tissue of field-grown leafy greens. Journal of Food Protection 77:189–196. </w:t>
      </w:r>
      <w:hyperlink r:id="rId115" w:history="1">
        <w:r w:rsidR="00010BAE" w:rsidRPr="006032FF">
          <w:rPr>
            <w:rStyle w:val="Hyperlink"/>
            <w:rFonts w:cs="Arial"/>
            <w:sz w:val="20"/>
            <w:szCs w:val="20"/>
          </w:rPr>
          <w:t>https://doi.org/10.4315/0362-028X.JFP-13-216</w:t>
        </w:r>
      </w:hyperlink>
    </w:p>
    <w:p w14:paraId="40C0403A" w14:textId="44D8AACB" w:rsidR="00657FDB" w:rsidRPr="006032FF" w:rsidRDefault="00657FDB" w:rsidP="006032FF">
      <w:pPr>
        <w:pStyle w:val="CitaviBibliographyEntry"/>
        <w:spacing w:after="120"/>
        <w:ind w:left="0" w:firstLine="0"/>
        <w:rPr>
          <w:rFonts w:cs="Arial"/>
          <w:sz w:val="20"/>
          <w:szCs w:val="20"/>
        </w:rPr>
      </w:pPr>
      <w:bookmarkStart w:id="560" w:name="_CTVL001375aca3608ae46a6bb4cf9616c9ec012"/>
      <w:r w:rsidRPr="006032FF">
        <w:rPr>
          <w:rFonts w:cs="Arial"/>
          <w:sz w:val="20"/>
          <w:szCs w:val="20"/>
        </w:rPr>
        <w:t xml:space="preserve">Erickson MC, Webb CC, Davey LE, Payton AS, Flitcroft ID, Doyle MP (2014b) Biotic and abiotic variables affecting internalization and fate of </w:t>
      </w:r>
      <w:bookmarkEnd w:id="560"/>
      <w:r w:rsidRPr="006032FF">
        <w:rPr>
          <w:rFonts w:cs="Arial"/>
          <w:i/>
          <w:sz w:val="20"/>
          <w:szCs w:val="20"/>
        </w:rPr>
        <w:t xml:space="preserve">Escherichia coli </w:t>
      </w:r>
      <w:r w:rsidRPr="006032FF">
        <w:rPr>
          <w:rFonts w:cs="Arial"/>
          <w:sz w:val="20"/>
          <w:szCs w:val="20"/>
        </w:rPr>
        <w:t xml:space="preserve">O157:H7 isolates in leafy green roots. Journal of Food Protection 77:872–879. </w:t>
      </w:r>
      <w:hyperlink r:id="rId116" w:history="1">
        <w:r w:rsidR="00010BAE" w:rsidRPr="006032FF">
          <w:rPr>
            <w:rStyle w:val="Hyperlink"/>
            <w:rFonts w:cs="Arial"/>
            <w:sz w:val="20"/>
            <w:szCs w:val="20"/>
          </w:rPr>
          <w:t>https://doi.org/10.4315/0362-028X.JFP-13-432</w:t>
        </w:r>
      </w:hyperlink>
    </w:p>
    <w:p w14:paraId="5449E2A1" w14:textId="0B29E069" w:rsidR="00657FDB" w:rsidRPr="006032FF" w:rsidRDefault="00657FDB" w:rsidP="006032FF">
      <w:pPr>
        <w:pStyle w:val="CitaviBibliographyEntry"/>
        <w:spacing w:after="120"/>
        <w:ind w:left="0" w:firstLine="0"/>
        <w:rPr>
          <w:rFonts w:cs="Arial"/>
          <w:sz w:val="20"/>
          <w:szCs w:val="20"/>
        </w:rPr>
      </w:pPr>
      <w:bookmarkStart w:id="561" w:name="_CTVL0015708e5fda4ee412281e54b609de05fe7"/>
      <w:r w:rsidRPr="006032FF">
        <w:rPr>
          <w:rFonts w:cs="Arial"/>
          <w:sz w:val="20"/>
          <w:szCs w:val="20"/>
        </w:rPr>
        <w:t xml:space="preserve">Erickson MC, Smith C, Jiang X, Flitcroft ID, Doyle MP (2015a) Manure source and age affect survival of zoonotic pathogens during aerobic composting at sublethal temperatures. Journal of Food Protection 78:302–310. </w:t>
      </w:r>
      <w:hyperlink r:id="rId117" w:history="1">
        <w:r w:rsidR="00010BAE" w:rsidRPr="006032FF">
          <w:rPr>
            <w:rStyle w:val="Hyperlink"/>
            <w:rFonts w:cs="Arial"/>
            <w:sz w:val="20"/>
            <w:szCs w:val="20"/>
          </w:rPr>
          <w:t>https://doi.org/10.4315/0362-028X.JFP-14-288</w:t>
        </w:r>
      </w:hyperlink>
    </w:p>
    <w:p w14:paraId="4DF15AB1" w14:textId="2DC951E0" w:rsidR="00657FDB" w:rsidRPr="006032FF" w:rsidRDefault="00657FDB" w:rsidP="006032FF">
      <w:pPr>
        <w:pStyle w:val="CitaviBibliographyEntry"/>
        <w:spacing w:after="120"/>
        <w:ind w:left="0" w:firstLine="0"/>
        <w:rPr>
          <w:rFonts w:cs="Arial"/>
          <w:sz w:val="20"/>
          <w:szCs w:val="20"/>
        </w:rPr>
      </w:pPr>
      <w:bookmarkStart w:id="562" w:name="_CTVL001efee7e1a278d45bfa0af35575d2e6435"/>
      <w:bookmarkEnd w:id="561"/>
      <w:r w:rsidRPr="006032FF">
        <w:rPr>
          <w:rFonts w:cs="Arial"/>
          <w:sz w:val="20"/>
          <w:szCs w:val="20"/>
        </w:rPr>
        <w:t xml:space="preserve">Erickson MC, Smith C, Jiang X, Flitcroft ID, Doyle MP (2015b) Survival of </w:t>
      </w:r>
      <w:bookmarkEnd w:id="562"/>
      <w:r w:rsidRPr="006032FF">
        <w:rPr>
          <w:rFonts w:cs="Arial"/>
          <w:i/>
          <w:sz w:val="20"/>
          <w:szCs w:val="20"/>
        </w:rPr>
        <w:t>Salmonella</w:t>
      </w:r>
      <w:r w:rsidRPr="006032FF">
        <w:rPr>
          <w:rFonts w:cs="Arial"/>
          <w:sz w:val="20"/>
          <w:szCs w:val="20"/>
        </w:rPr>
        <w:t xml:space="preserve"> or </w:t>
      </w:r>
      <w:r w:rsidR="0057637C">
        <w:rPr>
          <w:rFonts w:cs="Arial"/>
          <w:i/>
          <w:sz w:val="20"/>
          <w:szCs w:val="20"/>
        </w:rPr>
        <w:t>Escherichia </w:t>
      </w:r>
      <w:r w:rsidRPr="006032FF">
        <w:rPr>
          <w:rFonts w:cs="Arial"/>
          <w:i/>
          <w:sz w:val="20"/>
          <w:szCs w:val="20"/>
        </w:rPr>
        <w:t xml:space="preserve">coli </w:t>
      </w:r>
      <w:r w:rsidRPr="006032FF">
        <w:rPr>
          <w:rFonts w:cs="Arial"/>
          <w:sz w:val="20"/>
          <w:szCs w:val="20"/>
        </w:rPr>
        <w:t xml:space="preserve">O157:H7 during holding of manure-based compost mixtures at sublethal temperatures as influenced by the carbon amendment. Journal of Food Protection 78:248–255. </w:t>
      </w:r>
      <w:hyperlink r:id="rId118" w:history="1">
        <w:r w:rsidR="00010BAE" w:rsidRPr="006032FF">
          <w:rPr>
            <w:rStyle w:val="Hyperlink"/>
            <w:rFonts w:cs="Arial"/>
            <w:sz w:val="20"/>
            <w:szCs w:val="20"/>
          </w:rPr>
          <w:t>https://doi.org/10.4315/0362-028X.JFP-14-289</w:t>
        </w:r>
      </w:hyperlink>
    </w:p>
    <w:p w14:paraId="1C69BB62" w14:textId="0FCBF25E" w:rsidR="00657FDB" w:rsidRPr="006032FF" w:rsidRDefault="00657FDB" w:rsidP="006032FF">
      <w:pPr>
        <w:pStyle w:val="CitaviBibliographyEntry"/>
        <w:spacing w:after="120"/>
        <w:ind w:left="0" w:firstLine="0"/>
        <w:rPr>
          <w:rFonts w:cs="Arial"/>
          <w:sz w:val="20"/>
          <w:szCs w:val="20"/>
        </w:rPr>
      </w:pPr>
      <w:bookmarkStart w:id="563" w:name="_CTVL0010d149d833a0e44cabf4c858430cf326d"/>
      <w:r w:rsidRPr="006032FF">
        <w:rPr>
          <w:rFonts w:cs="Arial"/>
          <w:sz w:val="20"/>
          <w:szCs w:val="20"/>
        </w:rPr>
        <w:t xml:space="preserve">Erickson MC, Liao J-Y, Payton AS, Cook PW, Adhikari K, Wang S, Bautista J, Pérez JCD (2019a) Efficacy of acetic acid or chitosan for reducing the prevalence of </w:t>
      </w:r>
      <w:bookmarkEnd w:id="563"/>
      <w:r w:rsidRPr="006032FF">
        <w:rPr>
          <w:rFonts w:cs="Arial"/>
          <w:i/>
          <w:sz w:val="20"/>
          <w:szCs w:val="20"/>
        </w:rPr>
        <w:t>Salmonella</w:t>
      </w:r>
      <w:r w:rsidRPr="006032FF">
        <w:rPr>
          <w:rFonts w:cs="Arial"/>
          <w:sz w:val="20"/>
          <w:szCs w:val="20"/>
        </w:rPr>
        <w:t xml:space="preserve">- and </w:t>
      </w:r>
      <w:r w:rsidR="0057637C">
        <w:rPr>
          <w:rFonts w:cs="Arial"/>
          <w:i/>
          <w:sz w:val="20"/>
          <w:szCs w:val="20"/>
        </w:rPr>
        <w:t>Escherichia coli </w:t>
      </w:r>
      <w:r w:rsidRPr="006032FF">
        <w:rPr>
          <w:rFonts w:cs="Arial"/>
          <w:sz w:val="20"/>
          <w:szCs w:val="20"/>
        </w:rPr>
        <w:t xml:space="preserve">O157:H7-contaminated leafy green plants in field systems. Journal of Food Protection 82:854–861. </w:t>
      </w:r>
      <w:hyperlink r:id="rId119" w:history="1">
        <w:r w:rsidR="00010BAE" w:rsidRPr="006032FF">
          <w:rPr>
            <w:rStyle w:val="Hyperlink"/>
            <w:rFonts w:cs="Arial"/>
            <w:sz w:val="20"/>
            <w:szCs w:val="20"/>
          </w:rPr>
          <w:t>https://doi.org/10.4315/0362-028X.JFP-18-347</w:t>
        </w:r>
      </w:hyperlink>
    </w:p>
    <w:p w14:paraId="36B5F232" w14:textId="51D07987" w:rsidR="00657FDB" w:rsidRPr="006032FF" w:rsidRDefault="00657FDB" w:rsidP="006032FF">
      <w:pPr>
        <w:pStyle w:val="CitaviBibliographyEntry"/>
        <w:spacing w:after="120"/>
        <w:ind w:left="0" w:firstLine="0"/>
        <w:rPr>
          <w:rFonts w:cs="Arial"/>
          <w:sz w:val="20"/>
          <w:szCs w:val="20"/>
        </w:rPr>
      </w:pPr>
      <w:bookmarkStart w:id="564" w:name="_CTVL001bd3816be0cf242bdadc447b17ec70387"/>
      <w:r w:rsidRPr="006032FF">
        <w:rPr>
          <w:rFonts w:cs="Arial"/>
          <w:sz w:val="20"/>
          <w:szCs w:val="20"/>
        </w:rPr>
        <w:t xml:space="preserve">Erickson MC, Liao J-Y, Payton AS, Cook PW, Den Bakker HC, Bautista J, Pérez JCD (2019b) Pre-harvest internalization and surface survival of </w:t>
      </w:r>
      <w:bookmarkEnd w:id="564"/>
      <w:r w:rsidRPr="006032FF">
        <w:rPr>
          <w:rFonts w:cs="Arial"/>
          <w:i/>
          <w:sz w:val="20"/>
          <w:szCs w:val="20"/>
        </w:rPr>
        <w:t xml:space="preserve">Salmonella </w:t>
      </w:r>
      <w:r w:rsidRPr="006032FF">
        <w:rPr>
          <w:rFonts w:cs="Arial"/>
          <w:sz w:val="20"/>
          <w:szCs w:val="20"/>
        </w:rPr>
        <w:t xml:space="preserve">and </w:t>
      </w:r>
      <w:r w:rsidRPr="006032FF">
        <w:rPr>
          <w:rFonts w:cs="Arial"/>
          <w:i/>
          <w:sz w:val="20"/>
          <w:szCs w:val="20"/>
        </w:rPr>
        <w:t xml:space="preserve">Escherichia coli </w:t>
      </w:r>
      <w:r w:rsidRPr="006032FF">
        <w:rPr>
          <w:rFonts w:cs="Arial"/>
          <w:sz w:val="20"/>
          <w:szCs w:val="20"/>
        </w:rPr>
        <w:t xml:space="preserve">O157:H7 sprayed onto different lettuce cultivars under field and growth chamber conditions. International Journal of Food Microbiology 291:197–204. </w:t>
      </w:r>
      <w:hyperlink r:id="rId120" w:history="1">
        <w:r w:rsidR="00010BAE" w:rsidRPr="006032FF">
          <w:rPr>
            <w:rStyle w:val="Hyperlink"/>
            <w:rFonts w:cs="Arial"/>
            <w:sz w:val="20"/>
            <w:szCs w:val="20"/>
          </w:rPr>
          <w:t>https://doi.org/10.1016/j.ijfoodmicro.2018.12.001</w:t>
        </w:r>
      </w:hyperlink>
    </w:p>
    <w:p w14:paraId="3342C578" w14:textId="77777777" w:rsidR="00657FDB" w:rsidRPr="006032FF" w:rsidRDefault="00657FDB" w:rsidP="006032FF">
      <w:pPr>
        <w:pStyle w:val="CitaviBibliographyEntry"/>
        <w:spacing w:after="120"/>
        <w:ind w:left="0" w:firstLine="0"/>
        <w:rPr>
          <w:rFonts w:cs="Arial"/>
          <w:sz w:val="20"/>
          <w:szCs w:val="20"/>
        </w:rPr>
      </w:pPr>
      <w:bookmarkStart w:id="565" w:name="_CTVL00127b402d0fbb646c7a2c7bdf549760701"/>
      <w:r w:rsidRPr="006032FF">
        <w:rPr>
          <w:rFonts w:cs="Arial"/>
          <w:sz w:val="20"/>
          <w:szCs w:val="20"/>
        </w:rPr>
        <w:t>Espigol AMD, Del Carmen DR, Esguerra EB, Lualhati RAO, Alcantara GAP (2018) Microbiological quality of selected organically-grown fruits and vegetables in Luzon, Philippines. International Food Research Journal 25:2337–2344</w:t>
      </w:r>
    </w:p>
    <w:p w14:paraId="05BF4652" w14:textId="03616E84" w:rsidR="00657FDB" w:rsidRPr="006032FF" w:rsidRDefault="00657FDB" w:rsidP="006032FF">
      <w:pPr>
        <w:pStyle w:val="CitaviBibliographyEntry"/>
        <w:spacing w:after="120"/>
        <w:ind w:left="0" w:firstLine="0"/>
        <w:rPr>
          <w:rFonts w:cs="Arial"/>
          <w:sz w:val="20"/>
          <w:szCs w:val="20"/>
        </w:rPr>
      </w:pPr>
      <w:bookmarkStart w:id="566" w:name="_CTVL001e1d9796ab95e420fbafc05d95a07177b"/>
      <w:bookmarkEnd w:id="565"/>
      <w:r w:rsidRPr="006032FF">
        <w:rPr>
          <w:rFonts w:cs="Arial"/>
          <w:sz w:val="20"/>
          <w:szCs w:val="20"/>
        </w:rPr>
        <w:t xml:space="preserve">Espinoza-Medina IE, Rodríguez-Leyva FJ, Vargas-Arispuro I, Islas-Osuna MA, Acedo-Félix E, Martínez-Téellez MA (2006) PCR identification of </w:t>
      </w:r>
      <w:bookmarkEnd w:id="566"/>
      <w:r w:rsidRPr="006032FF">
        <w:rPr>
          <w:rFonts w:cs="Arial"/>
          <w:i/>
          <w:sz w:val="20"/>
          <w:szCs w:val="20"/>
        </w:rPr>
        <w:t>Salmonella</w:t>
      </w:r>
      <w:r w:rsidRPr="006032FF">
        <w:rPr>
          <w:rFonts w:cs="Arial"/>
          <w:sz w:val="20"/>
          <w:szCs w:val="20"/>
        </w:rPr>
        <w:t xml:space="preserve">: Potential contamination sources from production and postharvest handling of cantaloupes. Journal of Food Protection 69:1422. </w:t>
      </w:r>
      <w:hyperlink r:id="rId121" w:history="1">
        <w:r w:rsidR="00010BAE" w:rsidRPr="006032FF">
          <w:rPr>
            <w:rStyle w:val="Hyperlink"/>
            <w:rFonts w:cs="Arial"/>
            <w:sz w:val="20"/>
            <w:szCs w:val="20"/>
          </w:rPr>
          <w:t>https://doi.org/10.4315/0362-028X-69.6.1422</w:t>
        </w:r>
      </w:hyperlink>
    </w:p>
    <w:p w14:paraId="5350930D" w14:textId="77777777" w:rsidR="00657FDB" w:rsidRPr="006032FF" w:rsidRDefault="00657FDB" w:rsidP="006032FF">
      <w:pPr>
        <w:pStyle w:val="CitaviBibliographyEntry"/>
        <w:spacing w:after="120"/>
        <w:ind w:left="0" w:firstLine="0"/>
        <w:rPr>
          <w:rFonts w:cs="Arial"/>
          <w:sz w:val="20"/>
          <w:szCs w:val="20"/>
        </w:rPr>
      </w:pPr>
      <w:bookmarkStart w:id="567" w:name="_CTVL001128ad28f9aba41c2bd4415f3702dcd68"/>
      <w:r w:rsidRPr="006032FF">
        <w:rPr>
          <w:rFonts w:cs="Arial"/>
          <w:sz w:val="20"/>
          <w:szCs w:val="20"/>
        </w:rPr>
        <w:t>European Commission (2017) Commission notice on guidance document on addressing microbiological risks in fresh fruits and vegetables at primary production through good hygiene (2017/C 163/01). Official Journal of the European Union 163:1–40</w:t>
      </w:r>
    </w:p>
    <w:p w14:paraId="03EFA389" w14:textId="71BD0DA9" w:rsidR="00657FDB" w:rsidRPr="006032FF" w:rsidRDefault="00657FDB" w:rsidP="006032FF">
      <w:pPr>
        <w:pStyle w:val="CitaviBibliographyEntry"/>
        <w:spacing w:after="120"/>
        <w:ind w:left="0" w:firstLine="0"/>
        <w:rPr>
          <w:rFonts w:cs="Arial"/>
          <w:sz w:val="20"/>
          <w:szCs w:val="20"/>
        </w:rPr>
      </w:pPr>
      <w:bookmarkStart w:id="568" w:name="_CTVL0017c7973b9a2c24080963f9512f66bb0e6"/>
      <w:bookmarkEnd w:id="567"/>
      <w:r w:rsidRPr="006032FF">
        <w:rPr>
          <w:rFonts w:cs="Arial"/>
          <w:sz w:val="20"/>
          <w:szCs w:val="20"/>
        </w:rPr>
        <w:t xml:space="preserve">European Food Safety Authority (2006) Opinion of the Scientific Panel Animal Health and Welfare (AHAW) related with the migratory birds and their possible role in the spread of highly pathogenic avian influenza. EFSA Journal 4:357. </w:t>
      </w:r>
      <w:hyperlink r:id="rId122" w:history="1">
        <w:r w:rsidR="00010BAE" w:rsidRPr="006032FF">
          <w:rPr>
            <w:rStyle w:val="Hyperlink"/>
            <w:rFonts w:cs="Arial"/>
            <w:sz w:val="20"/>
            <w:szCs w:val="20"/>
          </w:rPr>
          <w:t>https://doi.org/10.2903/j.efsa.2006.357</w:t>
        </w:r>
      </w:hyperlink>
    </w:p>
    <w:p w14:paraId="2D776E8D" w14:textId="2C8E7CA8" w:rsidR="00657FDB" w:rsidRPr="006032FF" w:rsidRDefault="00657FDB" w:rsidP="006032FF">
      <w:pPr>
        <w:pStyle w:val="CitaviBibliographyEntry"/>
        <w:spacing w:after="120"/>
        <w:ind w:left="0" w:firstLine="0"/>
        <w:rPr>
          <w:rFonts w:cs="Arial"/>
          <w:sz w:val="20"/>
          <w:szCs w:val="20"/>
        </w:rPr>
      </w:pPr>
      <w:bookmarkStart w:id="569" w:name="_CTVL001de0069dec8784d6ea6086e4c96465c2f"/>
      <w:bookmarkEnd w:id="568"/>
      <w:r w:rsidRPr="006032FF">
        <w:rPr>
          <w:rFonts w:cs="Arial"/>
          <w:sz w:val="20"/>
          <w:szCs w:val="20"/>
        </w:rPr>
        <w:t>Falardeau J, Johnson RP, Pagotto F, Wang S (2017) Occurrence, characterization, and potential predictors of verotoxigenic</w:t>
      </w:r>
      <w:bookmarkEnd w:id="569"/>
      <w:r w:rsidRPr="006032FF">
        <w:rPr>
          <w:rFonts w:cs="Arial"/>
          <w:i/>
          <w:sz w:val="20"/>
          <w:szCs w:val="20"/>
        </w:rPr>
        <w:t xml:space="preserve"> Escherichia coli, Listeria monocytogenes</w:t>
      </w:r>
      <w:r w:rsidRPr="006032FF">
        <w:rPr>
          <w:rFonts w:cs="Arial"/>
          <w:sz w:val="20"/>
          <w:szCs w:val="20"/>
        </w:rPr>
        <w:t xml:space="preserve">, and </w:t>
      </w:r>
      <w:r w:rsidRPr="006032FF">
        <w:rPr>
          <w:rFonts w:cs="Arial"/>
          <w:i/>
          <w:sz w:val="20"/>
          <w:szCs w:val="20"/>
        </w:rPr>
        <w:t xml:space="preserve">Salmonella </w:t>
      </w:r>
      <w:r w:rsidRPr="006032FF">
        <w:rPr>
          <w:rFonts w:cs="Arial"/>
          <w:sz w:val="20"/>
          <w:szCs w:val="20"/>
        </w:rPr>
        <w:t xml:space="preserve">in surface water used for produce irrigation in the lower mainland of British Columbia, Canada. PLoS ONE 12:e0185437. </w:t>
      </w:r>
      <w:hyperlink r:id="rId123" w:history="1">
        <w:r w:rsidR="00010BAE" w:rsidRPr="006032FF">
          <w:rPr>
            <w:rStyle w:val="Hyperlink"/>
            <w:rFonts w:cs="Arial"/>
            <w:sz w:val="20"/>
            <w:szCs w:val="20"/>
          </w:rPr>
          <w:t>https://doi.org/10.1371/journal.pone.0185437</w:t>
        </w:r>
      </w:hyperlink>
    </w:p>
    <w:p w14:paraId="69396397" w14:textId="7FA3E151" w:rsidR="00657FDB" w:rsidRPr="006032FF" w:rsidRDefault="00657FDB" w:rsidP="006032FF">
      <w:pPr>
        <w:pStyle w:val="CitaviBibliographyEntry"/>
        <w:spacing w:after="120"/>
        <w:ind w:left="0" w:firstLine="0"/>
        <w:rPr>
          <w:rFonts w:cs="Arial"/>
          <w:sz w:val="20"/>
          <w:szCs w:val="20"/>
        </w:rPr>
      </w:pPr>
      <w:bookmarkStart w:id="570" w:name="_CTVL0016fd185bf7fd0458a895041a795b4f691"/>
      <w:r w:rsidRPr="006032FF">
        <w:rPr>
          <w:rFonts w:cs="Arial"/>
          <w:sz w:val="20"/>
          <w:szCs w:val="20"/>
        </w:rPr>
        <w:t xml:space="preserve">Falkenhorst G, Krusell L, Lisby M, Madsen SB, Bottiger BE, Mølbak K (2005) Imported frozen raspberries cause a series of norovirus outbreaks in Denmark, 2005. Eurosurveillance 10:2795. </w:t>
      </w:r>
      <w:hyperlink r:id="rId124" w:history="1">
        <w:r w:rsidR="00010BAE" w:rsidRPr="006032FF">
          <w:rPr>
            <w:rStyle w:val="Hyperlink"/>
            <w:rFonts w:cs="Arial"/>
            <w:sz w:val="20"/>
            <w:szCs w:val="20"/>
          </w:rPr>
          <w:t>https://doi.org/10.2807/esw.10.38.02795-en</w:t>
        </w:r>
      </w:hyperlink>
    </w:p>
    <w:p w14:paraId="69584B16" w14:textId="151C1372" w:rsidR="00657FDB" w:rsidRPr="006032FF" w:rsidRDefault="00657FDB" w:rsidP="006032FF">
      <w:pPr>
        <w:pStyle w:val="CitaviBibliographyEntry"/>
        <w:spacing w:after="120"/>
        <w:ind w:left="0" w:firstLine="0"/>
        <w:rPr>
          <w:rFonts w:cs="Arial"/>
          <w:sz w:val="20"/>
          <w:szCs w:val="20"/>
        </w:rPr>
      </w:pPr>
      <w:bookmarkStart w:id="571" w:name="_CTVL00112aff16812dc4edcbad6ff573efabc50"/>
      <w:bookmarkEnd w:id="570"/>
      <w:r w:rsidRPr="006032FF">
        <w:rPr>
          <w:rFonts w:cs="Arial"/>
          <w:sz w:val="20"/>
          <w:szCs w:val="20"/>
        </w:rPr>
        <w:t xml:space="preserve">Fang T, Liu Y, Huang L (2013) Growth kinetics of </w:t>
      </w:r>
      <w:bookmarkEnd w:id="571"/>
      <w:r w:rsidRPr="006032FF">
        <w:rPr>
          <w:rFonts w:cs="Arial"/>
          <w:i/>
          <w:sz w:val="20"/>
          <w:szCs w:val="20"/>
        </w:rPr>
        <w:t xml:space="preserve">Listeria monocytogenes </w:t>
      </w:r>
      <w:r w:rsidRPr="006032FF">
        <w:rPr>
          <w:rFonts w:cs="Arial"/>
          <w:sz w:val="20"/>
          <w:szCs w:val="20"/>
        </w:rPr>
        <w:t xml:space="preserve">and spoilage microorganisms in fresh-cut cantaloupe. Food Microbiology 34:174–181. </w:t>
      </w:r>
      <w:hyperlink r:id="rId125" w:history="1">
        <w:r w:rsidR="00010BAE" w:rsidRPr="006032FF">
          <w:rPr>
            <w:rStyle w:val="Hyperlink"/>
            <w:rFonts w:cs="Arial"/>
            <w:sz w:val="20"/>
            <w:szCs w:val="20"/>
          </w:rPr>
          <w:t>https://doi.org/10.1016/j.fm.2012.12.005</w:t>
        </w:r>
      </w:hyperlink>
    </w:p>
    <w:p w14:paraId="7B37118E" w14:textId="0F4C7B7A" w:rsidR="00657FDB" w:rsidRPr="006032FF" w:rsidRDefault="00657FDB" w:rsidP="006032FF">
      <w:pPr>
        <w:pStyle w:val="CitaviBibliographyEntry"/>
        <w:spacing w:after="120"/>
        <w:ind w:left="0" w:firstLine="0"/>
        <w:rPr>
          <w:rFonts w:cs="Arial"/>
          <w:sz w:val="20"/>
          <w:szCs w:val="20"/>
        </w:rPr>
      </w:pPr>
      <w:bookmarkStart w:id="572" w:name="_CTVL001844cf0ae060745de89922a2321fe54ef"/>
      <w:r w:rsidRPr="006032FF">
        <w:rPr>
          <w:rFonts w:cs="Arial"/>
          <w:sz w:val="20"/>
          <w:szCs w:val="20"/>
        </w:rPr>
        <w:t xml:space="preserve">FAO/WHO (2008a) Microbiological hazards in fresh fruits and vegetables: Meeting report. Microbiological risk assessment series (pre-publication version). </w:t>
      </w:r>
      <w:hyperlink r:id="rId126" w:history="1">
        <w:r w:rsidR="00010BAE" w:rsidRPr="006032FF">
          <w:rPr>
            <w:rStyle w:val="Hyperlink"/>
            <w:rFonts w:cs="Arial"/>
            <w:sz w:val="20"/>
            <w:szCs w:val="20"/>
          </w:rPr>
          <w:t>www.fao.org/fileadmin/templates/agns/pdf/jemra/FFV_2007_Final.pdf</w:t>
        </w:r>
      </w:hyperlink>
      <w:r w:rsidRPr="006032FF">
        <w:rPr>
          <w:rFonts w:cs="Arial"/>
          <w:sz w:val="20"/>
          <w:szCs w:val="20"/>
        </w:rPr>
        <w:t>. Accessed 9 May 2019</w:t>
      </w:r>
    </w:p>
    <w:p w14:paraId="37F9DE0C" w14:textId="475DEE62" w:rsidR="00657FDB" w:rsidRPr="006032FF" w:rsidRDefault="00657FDB" w:rsidP="006032FF">
      <w:pPr>
        <w:pStyle w:val="CitaviBibliographyEntry"/>
        <w:spacing w:after="120"/>
        <w:ind w:left="0" w:firstLine="0"/>
        <w:rPr>
          <w:rFonts w:cs="Arial"/>
          <w:sz w:val="20"/>
          <w:szCs w:val="20"/>
        </w:rPr>
      </w:pPr>
      <w:bookmarkStart w:id="573" w:name="_CTVL001806e844ce6dd463ab1e1629954665557"/>
      <w:bookmarkEnd w:id="572"/>
      <w:r w:rsidRPr="006032FF">
        <w:rPr>
          <w:rFonts w:cs="Arial"/>
          <w:sz w:val="20"/>
          <w:szCs w:val="20"/>
        </w:rPr>
        <w:t xml:space="preserve">FAO/WHO (2008b) Microbiological hazards in fresh leafy vegetables and herbs: Meeting report. Microbiological risk assessment series 14. </w:t>
      </w:r>
      <w:hyperlink r:id="rId127" w:history="1">
        <w:r w:rsidR="00010BAE" w:rsidRPr="006032FF">
          <w:rPr>
            <w:rStyle w:val="Hyperlink"/>
            <w:rFonts w:cs="Arial"/>
            <w:sz w:val="20"/>
            <w:szCs w:val="20"/>
          </w:rPr>
          <w:t>www.fao.org/3/a-i0452e.pdf</w:t>
        </w:r>
      </w:hyperlink>
      <w:r w:rsidRPr="006032FF">
        <w:rPr>
          <w:rFonts w:cs="Arial"/>
          <w:sz w:val="20"/>
          <w:szCs w:val="20"/>
        </w:rPr>
        <w:t>. Accessed 9 May 2019</w:t>
      </w:r>
    </w:p>
    <w:p w14:paraId="3E80C4EF" w14:textId="77777777" w:rsidR="009155E4" w:rsidRDefault="009155E4">
      <w:pPr>
        <w:widowControl/>
        <w:rPr>
          <w:rFonts w:cs="Arial"/>
          <w:color w:val="000000" w:themeColor="text1"/>
          <w:sz w:val="20"/>
          <w:szCs w:val="20"/>
        </w:rPr>
      </w:pPr>
      <w:bookmarkStart w:id="574" w:name="_CTVL0013f21da6f60ff474cb690fc71639282ea"/>
      <w:bookmarkEnd w:id="573"/>
      <w:r>
        <w:rPr>
          <w:rFonts w:cs="Arial"/>
          <w:sz w:val="20"/>
          <w:szCs w:val="20"/>
        </w:rPr>
        <w:br w:type="page"/>
      </w:r>
    </w:p>
    <w:p w14:paraId="35832A71" w14:textId="011C8757"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FAO/WHO (2011) Microbiological hazards and melons. Report prepared for Codex Committee on Food Hygiene Working Group on the development of an Annex on melons for the Code of Hygienic Practice for Fresh Fruits and Vegetables (CAC/RCP 53-2003). </w:t>
      </w:r>
      <w:hyperlink r:id="rId128" w:history="1">
        <w:r w:rsidR="00010BAE" w:rsidRPr="006032FF">
          <w:rPr>
            <w:rStyle w:val="Hyperlink"/>
            <w:rFonts w:cs="Arial"/>
            <w:sz w:val="20"/>
            <w:szCs w:val="20"/>
          </w:rPr>
          <w:t>http://www.fao.org/tempref/AG/agn/jemra/Microbiological_hazards_and_Melons_Nov08.pdf</w:t>
        </w:r>
      </w:hyperlink>
      <w:r w:rsidR="0057637C">
        <w:rPr>
          <w:rFonts w:cs="Arial"/>
          <w:sz w:val="20"/>
          <w:szCs w:val="20"/>
        </w:rPr>
        <w:t>. Accessed </w:t>
      </w:r>
      <w:r w:rsidRPr="006032FF">
        <w:rPr>
          <w:rFonts w:cs="Arial"/>
          <w:sz w:val="20"/>
          <w:szCs w:val="20"/>
        </w:rPr>
        <w:t>20 September 2019</w:t>
      </w:r>
    </w:p>
    <w:p w14:paraId="1E327333" w14:textId="79CD6E59" w:rsidR="00657FDB" w:rsidRPr="006032FF" w:rsidRDefault="00657FDB" w:rsidP="006032FF">
      <w:pPr>
        <w:pStyle w:val="CitaviBibliographyEntry"/>
        <w:spacing w:after="120"/>
        <w:ind w:left="0" w:firstLine="0"/>
        <w:rPr>
          <w:rFonts w:cs="Arial"/>
          <w:sz w:val="20"/>
          <w:szCs w:val="20"/>
        </w:rPr>
      </w:pPr>
      <w:bookmarkStart w:id="575" w:name="_CTVL001698abe39e1804f94a1c4e4433bef306d"/>
      <w:bookmarkEnd w:id="574"/>
      <w:r w:rsidRPr="006032FF">
        <w:rPr>
          <w:rFonts w:cs="Arial"/>
          <w:sz w:val="20"/>
          <w:szCs w:val="20"/>
        </w:rPr>
        <w:t xml:space="preserve">FDA (2008) Guidance for industry: Guide to minimize microbial food safety hazards of fresh-cut fruits and vegetables. US Food and Drug Administration, Silver Spring. </w:t>
      </w:r>
      <w:hyperlink r:id="rId129" w:history="1">
        <w:r w:rsidR="00010BAE" w:rsidRPr="006032FF">
          <w:rPr>
            <w:rStyle w:val="Hyperlink"/>
            <w:rFonts w:cs="Arial"/>
            <w:sz w:val="20"/>
            <w:szCs w:val="20"/>
          </w:rPr>
          <w:t>https://www.fda.gov/regulatory-information/search-fda-guidance-documents/guidance-industry-guide-minimize-microbial-food-safety-hazards-fresh-cut-fruits-and-vegetables</w:t>
        </w:r>
      </w:hyperlink>
      <w:r w:rsidRPr="006032FF">
        <w:rPr>
          <w:rFonts w:cs="Arial"/>
          <w:sz w:val="20"/>
          <w:szCs w:val="20"/>
        </w:rPr>
        <w:t>. Accessed 11 December 2020</w:t>
      </w:r>
    </w:p>
    <w:p w14:paraId="425207F2" w14:textId="65EC49B3" w:rsidR="00657FDB" w:rsidRPr="006032FF" w:rsidRDefault="00657FDB" w:rsidP="006032FF">
      <w:pPr>
        <w:pStyle w:val="CitaviBibliographyEntry"/>
        <w:spacing w:after="120"/>
        <w:ind w:left="0" w:firstLine="0"/>
        <w:rPr>
          <w:rFonts w:cs="Arial"/>
          <w:sz w:val="20"/>
          <w:szCs w:val="20"/>
        </w:rPr>
      </w:pPr>
      <w:bookmarkStart w:id="576" w:name="_CTVL00184badd9ab18844c1a14298098ad8a5fc"/>
      <w:bookmarkEnd w:id="575"/>
      <w:r w:rsidRPr="006032FF">
        <w:rPr>
          <w:rFonts w:cs="Arial"/>
          <w:sz w:val="20"/>
          <w:szCs w:val="20"/>
        </w:rPr>
        <w:t xml:space="preserve">FDA (2011) Guidance for industry: Evaluating the safety of flood-affected food crops for human consumption. US Food and Drug Administration, Silver Spring. </w:t>
      </w:r>
      <w:hyperlink r:id="rId130" w:history="1">
        <w:r w:rsidR="00010BAE" w:rsidRPr="006032FF">
          <w:rPr>
            <w:rStyle w:val="Hyperlink"/>
            <w:rFonts w:cs="Arial"/>
            <w:sz w:val="20"/>
            <w:szCs w:val="20"/>
          </w:rPr>
          <w:t>https://www.fda.gov/regulatory-information/search-fda-guidance-documents/guidance-industry-evaluating-safety-flood-affected-food-crops-human-consumption</w:t>
        </w:r>
      </w:hyperlink>
      <w:r w:rsidRPr="006032FF">
        <w:rPr>
          <w:rFonts w:cs="Arial"/>
          <w:sz w:val="20"/>
          <w:szCs w:val="20"/>
        </w:rPr>
        <w:t>. Accessed 7 September 2020</w:t>
      </w:r>
    </w:p>
    <w:p w14:paraId="06306674" w14:textId="6FA6C534" w:rsidR="00657FDB" w:rsidRPr="006032FF" w:rsidRDefault="00657FDB" w:rsidP="006032FF">
      <w:pPr>
        <w:pStyle w:val="CitaviBibliographyEntry"/>
        <w:spacing w:after="120"/>
        <w:ind w:left="0" w:firstLine="0"/>
        <w:rPr>
          <w:rFonts w:cs="Arial"/>
          <w:sz w:val="20"/>
          <w:szCs w:val="20"/>
        </w:rPr>
      </w:pPr>
      <w:bookmarkStart w:id="577" w:name="_CTVL00199a1eefed6724c4eb9dc189aa083933f"/>
      <w:bookmarkEnd w:id="576"/>
      <w:r w:rsidRPr="006032FF">
        <w:rPr>
          <w:rFonts w:cs="Arial"/>
          <w:sz w:val="20"/>
          <w:szCs w:val="20"/>
        </w:rPr>
        <w:t xml:space="preserve">FDA (2012) FDA’s CORE: A Food Safety Network 2011-2012. </w:t>
      </w:r>
      <w:hyperlink r:id="rId131" w:history="1">
        <w:r w:rsidR="00010BAE" w:rsidRPr="006032FF">
          <w:rPr>
            <w:rStyle w:val="Hyperlink"/>
            <w:rFonts w:cs="Arial"/>
            <w:sz w:val="20"/>
            <w:szCs w:val="20"/>
          </w:rPr>
          <w:t>https://www.fda.gov/media/85484/download</w:t>
        </w:r>
      </w:hyperlink>
      <w:r w:rsidRPr="006032FF">
        <w:rPr>
          <w:rFonts w:cs="Arial"/>
          <w:sz w:val="20"/>
          <w:szCs w:val="20"/>
        </w:rPr>
        <w:t>. Accessed 9 December 2020</w:t>
      </w:r>
    </w:p>
    <w:p w14:paraId="34F9F388" w14:textId="537A6A59" w:rsidR="00657FDB" w:rsidRPr="006032FF" w:rsidRDefault="00657FDB" w:rsidP="006032FF">
      <w:pPr>
        <w:pStyle w:val="CitaviBibliographyEntry"/>
        <w:spacing w:after="120"/>
        <w:ind w:left="0" w:firstLine="0"/>
        <w:rPr>
          <w:rFonts w:cs="Arial"/>
          <w:sz w:val="20"/>
          <w:szCs w:val="20"/>
        </w:rPr>
      </w:pPr>
      <w:bookmarkStart w:id="578" w:name="_CTVL00196c6b2c8bf1246c196febd1cfdca22f2"/>
      <w:bookmarkEnd w:id="577"/>
      <w:r w:rsidRPr="006032FF">
        <w:rPr>
          <w:rFonts w:cs="Arial"/>
          <w:sz w:val="20"/>
          <w:szCs w:val="20"/>
        </w:rPr>
        <w:t xml:space="preserve">FDA (2013) Environmental assessment: Factors potentially contributing to the contamination of fresh whole cantaloupe Implicated in a multi-state outbreak of salmonellosis. US Food and Drug Administration, Silver Spring. </w:t>
      </w:r>
      <w:hyperlink r:id="rId132" w:history="1">
        <w:r w:rsidR="00010BAE" w:rsidRPr="006032FF">
          <w:rPr>
            <w:rStyle w:val="Hyperlink"/>
            <w:rFonts w:cs="Arial"/>
            <w:sz w:val="20"/>
            <w:szCs w:val="20"/>
          </w:rPr>
          <w:t>http://wayback.archive-it.org/7993/20171114155057/https://www.fda.gov/Food/RecallsOutbreaksEmergencies/Outbreaks/ucm341476.htm</w:t>
        </w:r>
      </w:hyperlink>
      <w:r w:rsidRPr="006032FF">
        <w:rPr>
          <w:rFonts w:cs="Arial"/>
          <w:sz w:val="20"/>
          <w:szCs w:val="20"/>
        </w:rPr>
        <w:t>. Accessed 11 December 2019</w:t>
      </w:r>
    </w:p>
    <w:p w14:paraId="59FFC83B" w14:textId="601B9969" w:rsidR="00657FDB" w:rsidRPr="006032FF" w:rsidRDefault="00657FDB" w:rsidP="006032FF">
      <w:pPr>
        <w:pStyle w:val="CitaviBibliographyEntry"/>
        <w:spacing w:after="120"/>
        <w:ind w:left="0" w:firstLine="0"/>
        <w:rPr>
          <w:rFonts w:cs="Arial"/>
          <w:sz w:val="20"/>
          <w:szCs w:val="20"/>
        </w:rPr>
      </w:pPr>
      <w:bookmarkStart w:id="579" w:name="_CTVL0013290ae13f52a4e55a3959e9f175fea47"/>
      <w:bookmarkEnd w:id="578"/>
      <w:r w:rsidRPr="006032FF">
        <w:rPr>
          <w:rFonts w:cs="Arial"/>
          <w:sz w:val="20"/>
          <w:szCs w:val="20"/>
        </w:rPr>
        <w:t xml:space="preserve">FDA (2014) Environmental assessment: Factors potentially contributing to the contamination of fresh whole cantaloupe implicated in a multi-state outbreak of salmonellosis. </w:t>
      </w:r>
      <w:hyperlink r:id="rId133" w:history="1">
        <w:r w:rsidR="00010BAE" w:rsidRPr="006032FF">
          <w:rPr>
            <w:rStyle w:val="Hyperlink"/>
            <w:rFonts w:cs="Arial"/>
            <w:sz w:val="20"/>
            <w:szCs w:val="20"/>
          </w:rPr>
          <w:t>http://wayback.archive-it.org/7993/20171114155057/https://www.fda.gov/Food/RecallsOutbreaksEmergencies/Outbreaks/ucm341476.htm</w:t>
        </w:r>
      </w:hyperlink>
      <w:r w:rsidRPr="006032FF">
        <w:rPr>
          <w:rFonts w:cs="Arial"/>
          <w:sz w:val="20"/>
          <w:szCs w:val="20"/>
        </w:rPr>
        <w:t>. Accessed 9 December 2020</w:t>
      </w:r>
    </w:p>
    <w:p w14:paraId="390FCBFF" w14:textId="16C3129D" w:rsidR="00657FDB" w:rsidRPr="006032FF" w:rsidRDefault="00657FDB" w:rsidP="006032FF">
      <w:pPr>
        <w:pStyle w:val="CitaviBibliographyEntry"/>
        <w:spacing w:after="120"/>
        <w:ind w:left="0" w:firstLine="0"/>
        <w:rPr>
          <w:rFonts w:cs="Arial"/>
          <w:sz w:val="20"/>
          <w:szCs w:val="20"/>
        </w:rPr>
      </w:pPr>
      <w:bookmarkStart w:id="580" w:name="_CTVL001e33247ffc2384425a61a19c6e05add9d"/>
      <w:bookmarkEnd w:id="579"/>
      <w:r w:rsidRPr="006032FF">
        <w:rPr>
          <w:rFonts w:cs="Arial"/>
          <w:sz w:val="20"/>
          <w:szCs w:val="20"/>
        </w:rPr>
        <w:t xml:space="preserve">FDA (2015) External summary report: FY 2013 Inspection, environmental sampling and sample collection (pre and post-process) at cantaloupe packinghouses assignment (DFPG #13-19) | FDA. </w:t>
      </w:r>
      <w:hyperlink r:id="rId134" w:history="1">
        <w:r w:rsidR="00010BAE" w:rsidRPr="006032FF">
          <w:rPr>
            <w:rStyle w:val="Hyperlink"/>
            <w:rFonts w:cs="Arial"/>
            <w:sz w:val="20"/>
            <w:szCs w:val="20"/>
          </w:rPr>
          <w:t>https://www.fda.gov/food/foodborne-pathogens/external-summary-report-fy-2013-inspection-environmental-sampling-and-sample-collection-pre-and-post</w:t>
        </w:r>
      </w:hyperlink>
      <w:r w:rsidRPr="006032FF">
        <w:rPr>
          <w:rFonts w:cs="Arial"/>
          <w:sz w:val="20"/>
          <w:szCs w:val="20"/>
        </w:rPr>
        <w:t>. Accessed 14 December 2019</w:t>
      </w:r>
    </w:p>
    <w:p w14:paraId="053E7BDD" w14:textId="3AC0165D" w:rsidR="00657FDB" w:rsidRPr="006032FF" w:rsidRDefault="00657FDB" w:rsidP="006032FF">
      <w:pPr>
        <w:pStyle w:val="CitaviBibliographyEntry"/>
        <w:spacing w:after="120"/>
        <w:ind w:left="0" w:firstLine="0"/>
        <w:rPr>
          <w:rFonts w:cs="Arial"/>
          <w:sz w:val="20"/>
          <w:szCs w:val="20"/>
        </w:rPr>
      </w:pPr>
      <w:bookmarkStart w:id="581" w:name="_CTVL001da04237792d64969b73b518cc85e8121"/>
      <w:bookmarkEnd w:id="580"/>
      <w:r w:rsidRPr="006032FF">
        <w:rPr>
          <w:rFonts w:cs="Arial"/>
          <w:sz w:val="20"/>
          <w:szCs w:val="20"/>
        </w:rPr>
        <w:t xml:space="preserve">FDA (2017) Potential for infiltration, survival, and growth of human pathogens within fruits and vegetables. </w:t>
      </w:r>
      <w:hyperlink r:id="rId135" w:history="1">
        <w:r w:rsidR="00010BAE" w:rsidRPr="006032FF">
          <w:rPr>
            <w:rStyle w:val="Hyperlink"/>
            <w:rFonts w:cs="Arial"/>
            <w:sz w:val="20"/>
            <w:szCs w:val="20"/>
          </w:rPr>
          <w:t>https://www.fda.gov/food/hazard-analysis-critical-control-point-haccp/potential-infiltration-survival-and-growth-human-pathogens-within-fruits-and-vegetables</w:t>
        </w:r>
      </w:hyperlink>
      <w:r w:rsidRPr="006032FF">
        <w:rPr>
          <w:rFonts w:cs="Arial"/>
          <w:sz w:val="20"/>
          <w:szCs w:val="20"/>
        </w:rPr>
        <w:t>. Accessed 12 December 2019</w:t>
      </w:r>
    </w:p>
    <w:p w14:paraId="69DC303E" w14:textId="6E65B362" w:rsidR="00657FDB" w:rsidRPr="006032FF" w:rsidRDefault="00657FDB" w:rsidP="006032FF">
      <w:pPr>
        <w:pStyle w:val="CitaviBibliographyEntry"/>
        <w:spacing w:after="120"/>
        <w:ind w:left="0" w:firstLine="0"/>
        <w:rPr>
          <w:rFonts w:cs="Arial"/>
          <w:sz w:val="20"/>
          <w:szCs w:val="20"/>
        </w:rPr>
      </w:pPr>
      <w:bookmarkStart w:id="582" w:name="_CTVL0014b35e65cdb1744d9bfcba170b53dfb4a"/>
      <w:bookmarkEnd w:id="581"/>
      <w:r w:rsidRPr="006032FF">
        <w:rPr>
          <w:rFonts w:cs="Arial"/>
          <w:sz w:val="20"/>
          <w:szCs w:val="20"/>
        </w:rPr>
        <w:t xml:space="preserve">FDA (2018) Environmental assessment of factors potentially contributing to the contamination of romaine lettuce implicated in a multi-state outbreak of </w:t>
      </w:r>
      <w:bookmarkEnd w:id="582"/>
      <w:r w:rsidRPr="006032FF">
        <w:rPr>
          <w:rFonts w:cs="Arial"/>
          <w:i/>
          <w:sz w:val="20"/>
          <w:szCs w:val="20"/>
        </w:rPr>
        <w:t xml:space="preserve">E. coli </w:t>
      </w:r>
      <w:r w:rsidRPr="006032FF">
        <w:rPr>
          <w:rFonts w:cs="Arial"/>
          <w:sz w:val="20"/>
          <w:szCs w:val="20"/>
        </w:rPr>
        <w:t xml:space="preserve">O157:H7. US Food and Drug Administration, Silver Spring. </w:t>
      </w:r>
      <w:hyperlink r:id="rId136" w:history="1">
        <w:r w:rsidR="00010BAE" w:rsidRPr="006032FF">
          <w:rPr>
            <w:rStyle w:val="Hyperlink"/>
            <w:rFonts w:cs="Arial"/>
            <w:sz w:val="20"/>
            <w:szCs w:val="20"/>
          </w:rPr>
          <w:t>https://www.fda.gov/food/outbreaks-foodborne-illness/environmental-assessment-factors-potentially-contributing-contamination-romaine-lettuce-implicated</w:t>
        </w:r>
      </w:hyperlink>
      <w:r w:rsidRPr="006032FF">
        <w:rPr>
          <w:rFonts w:cs="Arial"/>
          <w:sz w:val="20"/>
          <w:szCs w:val="20"/>
        </w:rPr>
        <w:t>. Acce</w:t>
      </w:r>
      <w:r w:rsidR="0057637C">
        <w:rPr>
          <w:rFonts w:cs="Arial"/>
          <w:sz w:val="20"/>
          <w:szCs w:val="20"/>
        </w:rPr>
        <w:t>ssed 13 </w:t>
      </w:r>
      <w:r w:rsidRPr="006032FF">
        <w:rPr>
          <w:rFonts w:cs="Arial"/>
          <w:sz w:val="20"/>
          <w:szCs w:val="20"/>
        </w:rPr>
        <w:t>November 2019</w:t>
      </w:r>
    </w:p>
    <w:p w14:paraId="1B57B64D" w14:textId="4778F0E7" w:rsidR="00657FDB" w:rsidRPr="006032FF" w:rsidRDefault="00657FDB" w:rsidP="006032FF">
      <w:pPr>
        <w:pStyle w:val="CitaviBibliographyEntry"/>
        <w:spacing w:after="120"/>
        <w:ind w:left="0" w:firstLine="0"/>
        <w:rPr>
          <w:rFonts w:cs="Arial"/>
          <w:sz w:val="20"/>
          <w:szCs w:val="20"/>
        </w:rPr>
      </w:pPr>
      <w:bookmarkStart w:id="583" w:name="_CTVL0015ffb22ce3acc4df1baa41ab4d02a3e98"/>
      <w:r w:rsidRPr="006032FF">
        <w:rPr>
          <w:rFonts w:cs="Arial"/>
          <w:sz w:val="20"/>
          <w:szCs w:val="20"/>
        </w:rPr>
        <w:t xml:space="preserve">Fett WF (2000) Naturally occurring biofilms on alfalfa and other types of sprouts. Journal of Food Protection 63:625–632. </w:t>
      </w:r>
      <w:hyperlink r:id="rId137" w:history="1">
        <w:r w:rsidR="00010BAE" w:rsidRPr="006032FF">
          <w:rPr>
            <w:rStyle w:val="Hyperlink"/>
            <w:rFonts w:cs="Arial"/>
            <w:sz w:val="20"/>
            <w:szCs w:val="20"/>
          </w:rPr>
          <w:t>https://doi.org/10.4315/0362-028x-63.5.625</w:t>
        </w:r>
      </w:hyperlink>
    </w:p>
    <w:p w14:paraId="0A48DD14" w14:textId="3FC5E0B6" w:rsidR="00657FDB" w:rsidRPr="006032FF" w:rsidRDefault="00657FDB" w:rsidP="006032FF">
      <w:pPr>
        <w:pStyle w:val="CitaviBibliographyEntry"/>
        <w:spacing w:after="120"/>
        <w:ind w:left="0" w:firstLine="0"/>
        <w:rPr>
          <w:rFonts w:cs="Arial"/>
          <w:sz w:val="20"/>
          <w:szCs w:val="20"/>
        </w:rPr>
      </w:pPr>
      <w:bookmarkStart w:id="584" w:name="_CTVL001413a586cae984fffa5d9298d11879f6c"/>
      <w:bookmarkEnd w:id="583"/>
      <w:r w:rsidRPr="006032FF">
        <w:rPr>
          <w:rFonts w:cs="Arial"/>
          <w:sz w:val="20"/>
          <w:szCs w:val="20"/>
        </w:rPr>
        <w:t xml:space="preserve">Fett WF, Cooke PH (2003) Scanning electron microscopy of native biofilms on mung bean sprouts. Canadian Journal of Microbiology 49:45–50. </w:t>
      </w:r>
      <w:hyperlink r:id="rId138" w:history="1">
        <w:r w:rsidR="00010BAE" w:rsidRPr="006032FF">
          <w:rPr>
            <w:rStyle w:val="Hyperlink"/>
            <w:rFonts w:cs="Arial"/>
            <w:sz w:val="20"/>
            <w:szCs w:val="20"/>
          </w:rPr>
          <w:t>https://doi.org/10.1139/w03-002</w:t>
        </w:r>
      </w:hyperlink>
    </w:p>
    <w:p w14:paraId="5EA52726" w14:textId="77777777" w:rsidR="00657FDB" w:rsidRPr="006032FF" w:rsidRDefault="00657FDB" w:rsidP="006032FF">
      <w:pPr>
        <w:pStyle w:val="CitaviBibliographyEntry"/>
        <w:spacing w:after="120"/>
        <w:ind w:left="0" w:firstLine="0"/>
        <w:rPr>
          <w:rFonts w:cs="Arial"/>
          <w:sz w:val="20"/>
          <w:szCs w:val="20"/>
        </w:rPr>
      </w:pPr>
      <w:bookmarkStart w:id="585" w:name="_CTVL0013895e032f8b24a6f9dde62f54112a62f"/>
      <w:bookmarkEnd w:id="584"/>
      <w:r w:rsidRPr="006032FF">
        <w:rPr>
          <w:rFonts w:cs="Arial"/>
          <w:sz w:val="20"/>
          <w:szCs w:val="20"/>
        </w:rPr>
        <w:t xml:space="preserve">Fonseca JM, Fallon SD, Sanchez CA, Nolte KD (2011) </w:t>
      </w:r>
      <w:bookmarkEnd w:id="585"/>
      <w:r w:rsidRPr="006032FF">
        <w:rPr>
          <w:rFonts w:cs="Arial"/>
          <w:i/>
          <w:sz w:val="20"/>
          <w:szCs w:val="20"/>
        </w:rPr>
        <w:t>Escherichia coli</w:t>
      </w:r>
      <w:r w:rsidRPr="006032FF">
        <w:rPr>
          <w:rFonts w:cs="Arial"/>
          <w:sz w:val="20"/>
          <w:szCs w:val="20"/>
        </w:rPr>
        <w:t xml:space="preserve"> survival in lettuce fields following its introduction through different irrigation systems. Journal of Applied Microbiology 110:893</w:t>
      </w:r>
    </w:p>
    <w:p w14:paraId="07D0B584" w14:textId="6FBA0BD2" w:rsidR="00657FDB" w:rsidRPr="006032FF" w:rsidRDefault="00657FDB" w:rsidP="006032FF">
      <w:pPr>
        <w:pStyle w:val="CitaviBibliographyEntry"/>
        <w:spacing w:after="120"/>
        <w:ind w:left="0" w:firstLine="0"/>
        <w:rPr>
          <w:rFonts w:cs="Arial"/>
          <w:sz w:val="20"/>
          <w:szCs w:val="20"/>
        </w:rPr>
      </w:pPr>
      <w:bookmarkStart w:id="586" w:name="_CTVL001287f9f7b151449e69c648d45594214b7"/>
      <w:r w:rsidRPr="006032FF">
        <w:rPr>
          <w:rFonts w:cs="Arial"/>
          <w:sz w:val="20"/>
          <w:szCs w:val="20"/>
        </w:rPr>
        <w:t xml:space="preserve">Fornefeld E, Baklawa M, Hallmann J, Schikora A, Smalla K (2018) Sewage sludge amendment and inoculation with plant-parasitic nematodes do not facilitate the internalization of </w:t>
      </w:r>
      <w:bookmarkEnd w:id="586"/>
      <w:r w:rsidR="0057637C">
        <w:rPr>
          <w:rFonts w:cs="Arial"/>
          <w:i/>
          <w:sz w:val="20"/>
          <w:szCs w:val="20"/>
        </w:rPr>
        <w:t>Salmonella </w:t>
      </w:r>
      <w:r w:rsidRPr="006032FF">
        <w:rPr>
          <w:rFonts w:cs="Arial"/>
          <w:sz w:val="20"/>
          <w:szCs w:val="20"/>
        </w:rPr>
        <w:t xml:space="preserve">Typhimurium LT2 in lettuce plants. Food Microbiology 71:111–119. </w:t>
      </w:r>
      <w:hyperlink r:id="rId139" w:history="1">
        <w:r w:rsidR="00010BAE" w:rsidRPr="006032FF">
          <w:rPr>
            <w:rStyle w:val="Hyperlink"/>
            <w:rFonts w:cs="Arial"/>
            <w:sz w:val="20"/>
            <w:szCs w:val="20"/>
          </w:rPr>
          <w:t>https://doi.org/10.1016/j.fm.2017.06.011</w:t>
        </w:r>
      </w:hyperlink>
    </w:p>
    <w:p w14:paraId="51C2CC85" w14:textId="13FF6474" w:rsidR="00657FDB" w:rsidRPr="006032FF" w:rsidRDefault="00657FDB" w:rsidP="006032FF">
      <w:pPr>
        <w:pStyle w:val="CitaviBibliographyEntry"/>
        <w:spacing w:after="120"/>
        <w:ind w:left="0" w:firstLine="0"/>
        <w:rPr>
          <w:rFonts w:cs="Arial"/>
          <w:sz w:val="20"/>
          <w:szCs w:val="20"/>
        </w:rPr>
      </w:pPr>
      <w:bookmarkStart w:id="587" w:name="_CTVL00182da6631661e40c2b9518a70bf762261"/>
      <w:r w:rsidRPr="006032FF">
        <w:rPr>
          <w:rFonts w:cs="Arial"/>
          <w:sz w:val="20"/>
          <w:szCs w:val="20"/>
        </w:rPr>
        <w:t xml:space="preserve">FPSC A-NZ (2019) Guidelines for fresh produce food safety. Fresh Produce Safety Centre Australian &amp; New Zealand, Sydney. </w:t>
      </w:r>
      <w:hyperlink r:id="rId140" w:history="1">
        <w:r w:rsidR="00010BAE" w:rsidRPr="006032FF">
          <w:rPr>
            <w:rStyle w:val="Hyperlink"/>
            <w:rFonts w:cs="Arial"/>
            <w:sz w:val="20"/>
            <w:szCs w:val="20"/>
          </w:rPr>
          <w:t>https://fpsc-anz.com/wp-content/uploads/2019/06/Guidelines-for-Fresh-Produce-Food-Safety-2019_WEB.pdf</w:t>
        </w:r>
      </w:hyperlink>
      <w:r w:rsidRPr="006032FF">
        <w:rPr>
          <w:rFonts w:cs="Arial"/>
          <w:sz w:val="20"/>
          <w:szCs w:val="20"/>
        </w:rPr>
        <w:t>. Accessed 17 August 2020</w:t>
      </w:r>
    </w:p>
    <w:p w14:paraId="12D4D0BD" w14:textId="3A9554E8" w:rsidR="00657FDB" w:rsidRPr="006032FF" w:rsidRDefault="00657FDB" w:rsidP="006032FF">
      <w:pPr>
        <w:pStyle w:val="CitaviBibliographyEntry"/>
        <w:spacing w:after="120"/>
        <w:ind w:left="0" w:firstLine="0"/>
        <w:rPr>
          <w:rFonts w:cs="Arial"/>
          <w:sz w:val="20"/>
          <w:szCs w:val="20"/>
        </w:rPr>
      </w:pPr>
      <w:bookmarkStart w:id="588" w:name="_CTVL001f09492d45c1948bd9454b7eebbc9e1c3"/>
      <w:bookmarkEnd w:id="587"/>
      <w:r w:rsidRPr="006032FF">
        <w:rPr>
          <w:rFonts w:cs="Arial"/>
          <w:sz w:val="20"/>
          <w:szCs w:val="20"/>
        </w:rPr>
        <w:t xml:space="preserve">Fransisca L, Feng H (2012) Effect of surface roughness on inactivation of </w:t>
      </w:r>
      <w:bookmarkEnd w:id="588"/>
      <w:r w:rsidRPr="006032FF">
        <w:rPr>
          <w:rFonts w:cs="Arial"/>
          <w:i/>
          <w:sz w:val="20"/>
          <w:szCs w:val="20"/>
        </w:rPr>
        <w:t xml:space="preserve">Escherichia coli </w:t>
      </w:r>
      <w:r w:rsidRPr="006032FF">
        <w:rPr>
          <w:rFonts w:cs="Arial"/>
          <w:sz w:val="20"/>
          <w:szCs w:val="20"/>
        </w:rPr>
        <w:t xml:space="preserve">O157:H7 87-23 by new organic acid-surfactant combinations on alfalfa, broccoli, and radish seeds. Journal of Food Protection 75:261–269. </w:t>
      </w:r>
      <w:hyperlink r:id="rId141" w:history="1">
        <w:r w:rsidR="00010BAE" w:rsidRPr="006032FF">
          <w:rPr>
            <w:rStyle w:val="Hyperlink"/>
            <w:rFonts w:cs="Arial"/>
            <w:sz w:val="20"/>
            <w:szCs w:val="20"/>
          </w:rPr>
          <w:t>https://doi.org/10.4315/0362-028X.JFP-11-279</w:t>
        </w:r>
      </w:hyperlink>
    </w:p>
    <w:p w14:paraId="2B47BD38" w14:textId="77777777" w:rsidR="009155E4" w:rsidRDefault="009155E4">
      <w:pPr>
        <w:widowControl/>
        <w:rPr>
          <w:rFonts w:cs="Arial"/>
          <w:color w:val="000000" w:themeColor="text1"/>
          <w:sz w:val="20"/>
          <w:szCs w:val="20"/>
        </w:rPr>
      </w:pPr>
      <w:bookmarkStart w:id="589" w:name="_CTVL0017a409a891cf34c4a9628794657791491"/>
      <w:r>
        <w:rPr>
          <w:rFonts w:cs="Arial"/>
          <w:sz w:val="20"/>
          <w:szCs w:val="20"/>
        </w:rPr>
        <w:br w:type="page"/>
      </w:r>
    </w:p>
    <w:p w14:paraId="749CC5CE" w14:textId="6829EBCB"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Franz E, van Diepeningen AD, Vos OJd, van Bruggen AHC (2005) Effects of cattle feeding regimen and soil management type on the fate of </w:t>
      </w:r>
      <w:bookmarkEnd w:id="589"/>
      <w:r w:rsidRPr="006032FF">
        <w:rPr>
          <w:rFonts w:cs="Arial"/>
          <w:i/>
          <w:sz w:val="20"/>
          <w:szCs w:val="20"/>
        </w:rPr>
        <w:t xml:space="preserve">Escherichia coli </w:t>
      </w:r>
      <w:r w:rsidRPr="006032FF">
        <w:rPr>
          <w:rFonts w:cs="Arial"/>
          <w:sz w:val="20"/>
          <w:szCs w:val="20"/>
        </w:rPr>
        <w:t xml:space="preserve">O157:H7 and </w:t>
      </w:r>
      <w:r w:rsidRPr="006032FF">
        <w:rPr>
          <w:rFonts w:cs="Arial"/>
          <w:i/>
          <w:sz w:val="20"/>
          <w:szCs w:val="20"/>
        </w:rPr>
        <w:t xml:space="preserve">Salmonella enterica </w:t>
      </w:r>
      <w:r w:rsidRPr="006032FF">
        <w:rPr>
          <w:rFonts w:cs="Arial"/>
          <w:sz w:val="20"/>
          <w:szCs w:val="20"/>
        </w:rPr>
        <w:t xml:space="preserve">serovar Typhimurium in manure, manure-amended soil, and lettuce. Applied and Environmental Microbiology 71:6165–6174. </w:t>
      </w:r>
      <w:hyperlink r:id="rId142" w:history="1">
        <w:r w:rsidR="00010BAE" w:rsidRPr="006032FF">
          <w:rPr>
            <w:rStyle w:val="Hyperlink"/>
            <w:rFonts w:cs="Arial"/>
            <w:sz w:val="20"/>
            <w:szCs w:val="20"/>
          </w:rPr>
          <w:t>https://doi.org/10.1128/AEM.71.10.6165-6174.2005</w:t>
        </w:r>
      </w:hyperlink>
    </w:p>
    <w:p w14:paraId="773412C0" w14:textId="4F8B272B" w:rsidR="00657FDB" w:rsidRPr="006032FF" w:rsidRDefault="00657FDB" w:rsidP="006032FF">
      <w:pPr>
        <w:pStyle w:val="CitaviBibliographyEntry"/>
        <w:spacing w:after="120"/>
        <w:ind w:left="0" w:firstLine="0"/>
        <w:rPr>
          <w:rFonts w:cs="Arial"/>
          <w:sz w:val="20"/>
          <w:szCs w:val="20"/>
        </w:rPr>
      </w:pPr>
      <w:bookmarkStart w:id="590" w:name="_CTVL0016a3fe7049f0d46a3bb49ff3061bc42cd"/>
      <w:r w:rsidRPr="006032FF">
        <w:rPr>
          <w:rFonts w:cs="Arial"/>
          <w:sz w:val="20"/>
          <w:szCs w:val="20"/>
        </w:rPr>
        <w:t xml:space="preserve">Freshcare (2020) Food safety &amp; quality standard. Edition 4.2. Freshcare, Sydney. </w:t>
      </w:r>
      <w:hyperlink r:id="rId143" w:history="1">
        <w:r w:rsidR="00010BAE" w:rsidRPr="006032FF">
          <w:rPr>
            <w:rStyle w:val="Hyperlink"/>
            <w:rFonts w:cs="Arial"/>
            <w:sz w:val="20"/>
            <w:szCs w:val="20"/>
          </w:rPr>
          <w:t>https://www.freshcare.com.au/wp-content/uploads/Freshcare-Food-Safety-Quality-Standard-Edition-4.2-2020.pdf</w:t>
        </w:r>
      </w:hyperlink>
      <w:r w:rsidRPr="006032FF">
        <w:rPr>
          <w:rFonts w:cs="Arial"/>
          <w:sz w:val="20"/>
          <w:szCs w:val="20"/>
        </w:rPr>
        <w:t>. Accessed 26 November 2020</w:t>
      </w:r>
    </w:p>
    <w:p w14:paraId="13CC1E25" w14:textId="19814AC2" w:rsidR="00657FDB" w:rsidRPr="006032FF" w:rsidRDefault="00657FDB" w:rsidP="006032FF">
      <w:pPr>
        <w:pStyle w:val="CitaviBibliographyEntry"/>
        <w:spacing w:after="120"/>
        <w:ind w:left="0" w:firstLine="0"/>
        <w:rPr>
          <w:rFonts w:cs="Arial"/>
          <w:sz w:val="20"/>
          <w:szCs w:val="20"/>
        </w:rPr>
      </w:pPr>
      <w:bookmarkStart w:id="591" w:name="_CTVL0013f0fd6ff401c4b23a8b4accabb4d7d9d"/>
      <w:bookmarkEnd w:id="590"/>
      <w:r w:rsidRPr="006032FF">
        <w:rPr>
          <w:rFonts w:cs="Arial"/>
          <w:sz w:val="20"/>
          <w:szCs w:val="20"/>
        </w:rPr>
        <w:t xml:space="preserve">FSANZ (2011) Proposal P1015 - Primary production &amp; processing standard for horticulture: Supporting document 2: Review of foodborne illness associated with selected ready-to-eat fresh produce. Food Standards Australia New Zealand, Canberra. </w:t>
      </w:r>
      <w:hyperlink r:id="rId144" w:history="1">
        <w:r w:rsidR="00010BAE" w:rsidRPr="006032FF">
          <w:rPr>
            <w:rStyle w:val="Hyperlink"/>
            <w:rFonts w:cs="Arial"/>
            <w:sz w:val="20"/>
            <w:szCs w:val="20"/>
          </w:rPr>
          <w:t>https://www.foodstandards.gov.au/code/proposals/Documents/P1015%20Horticulture%20PPPS%201CFS%20SD2%20Illness%20review.pdf</w:t>
        </w:r>
      </w:hyperlink>
      <w:r w:rsidRPr="006032FF">
        <w:rPr>
          <w:rFonts w:cs="Arial"/>
          <w:sz w:val="20"/>
          <w:szCs w:val="20"/>
        </w:rPr>
        <w:t>. Accessed November 2019</w:t>
      </w:r>
    </w:p>
    <w:p w14:paraId="5D7DC85F" w14:textId="2BDEEBDE" w:rsidR="00657FDB" w:rsidRPr="006032FF" w:rsidRDefault="00657FDB" w:rsidP="006032FF">
      <w:pPr>
        <w:pStyle w:val="CitaviBibliographyEntry"/>
        <w:spacing w:after="120"/>
        <w:ind w:left="0" w:firstLine="0"/>
        <w:rPr>
          <w:rFonts w:cs="Arial"/>
          <w:sz w:val="20"/>
          <w:szCs w:val="20"/>
        </w:rPr>
      </w:pPr>
      <w:bookmarkStart w:id="592" w:name="_CTVL001bfe5c77a3bf242299f1088fcffa13fa3"/>
      <w:bookmarkEnd w:id="591"/>
      <w:r w:rsidRPr="006032FF">
        <w:rPr>
          <w:rFonts w:cs="Arial"/>
          <w:sz w:val="20"/>
          <w:szCs w:val="20"/>
        </w:rPr>
        <w:t xml:space="preserve">FSANZ (2018) Agents of Foodborne Illness. Food Standards Australia New Zealand, Canberra. </w:t>
      </w:r>
      <w:hyperlink r:id="rId145" w:history="1">
        <w:r w:rsidR="00010BAE" w:rsidRPr="006032FF">
          <w:rPr>
            <w:rStyle w:val="Hyperlink"/>
            <w:rFonts w:cs="Arial"/>
            <w:sz w:val="20"/>
            <w:szCs w:val="20"/>
          </w:rPr>
          <w:t>https://www.foodstandards.gov.au/publications/Pages/agents-foodborne-illness.aspx</w:t>
        </w:r>
      </w:hyperlink>
      <w:r w:rsidR="0057637C">
        <w:rPr>
          <w:rFonts w:cs="Arial"/>
          <w:sz w:val="20"/>
          <w:szCs w:val="20"/>
        </w:rPr>
        <w:t>. Accessed 16 </w:t>
      </w:r>
      <w:r w:rsidRPr="006032FF">
        <w:rPr>
          <w:rFonts w:cs="Arial"/>
          <w:sz w:val="20"/>
          <w:szCs w:val="20"/>
        </w:rPr>
        <w:t>November 2020</w:t>
      </w:r>
    </w:p>
    <w:p w14:paraId="2D76166B" w14:textId="63AFB758" w:rsidR="00657FDB" w:rsidRPr="006032FF" w:rsidRDefault="00657FDB" w:rsidP="006032FF">
      <w:pPr>
        <w:pStyle w:val="CitaviBibliographyEntry"/>
        <w:spacing w:after="120"/>
        <w:ind w:left="0" w:firstLine="0"/>
        <w:rPr>
          <w:rFonts w:cs="Arial"/>
          <w:sz w:val="20"/>
          <w:szCs w:val="20"/>
        </w:rPr>
      </w:pPr>
      <w:bookmarkStart w:id="593" w:name="_CTVL0015591bedbc51c4084b515380575e3ea0e"/>
      <w:bookmarkEnd w:id="592"/>
      <w:r w:rsidRPr="006032FF">
        <w:rPr>
          <w:rFonts w:cs="Arial"/>
          <w:sz w:val="20"/>
          <w:szCs w:val="20"/>
        </w:rPr>
        <w:t xml:space="preserve">FSANZ (2019) Australian Food Composition Database: Release 1. </w:t>
      </w:r>
      <w:hyperlink r:id="rId146" w:history="1">
        <w:r w:rsidR="00010BAE" w:rsidRPr="006032FF">
          <w:rPr>
            <w:rStyle w:val="Hyperlink"/>
            <w:rFonts w:cs="Arial"/>
            <w:sz w:val="20"/>
            <w:szCs w:val="20"/>
          </w:rPr>
          <w:t>www.foodstandards.gov.au</w:t>
        </w:r>
      </w:hyperlink>
      <w:r w:rsidRPr="006032FF">
        <w:rPr>
          <w:rFonts w:cs="Arial"/>
          <w:sz w:val="20"/>
          <w:szCs w:val="20"/>
        </w:rPr>
        <w:t>. Accessed 24 August 2020</w:t>
      </w:r>
    </w:p>
    <w:p w14:paraId="30E37715" w14:textId="28BC6F4D" w:rsidR="00657FDB" w:rsidRPr="006032FF" w:rsidRDefault="00657FDB" w:rsidP="006032FF">
      <w:pPr>
        <w:pStyle w:val="CitaviBibliographyEntry"/>
        <w:spacing w:after="120"/>
        <w:ind w:left="0" w:firstLine="0"/>
        <w:rPr>
          <w:rFonts w:cs="Arial"/>
          <w:sz w:val="20"/>
          <w:szCs w:val="20"/>
        </w:rPr>
      </w:pPr>
      <w:bookmarkStart w:id="594" w:name="_CTVL00188e661f5a8d34f85825483cd0ce6ca6f"/>
      <w:bookmarkEnd w:id="593"/>
      <w:r w:rsidRPr="006032FF">
        <w:rPr>
          <w:rFonts w:cs="Arial"/>
          <w:sz w:val="20"/>
          <w:szCs w:val="20"/>
        </w:rPr>
        <w:t xml:space="preserve">Fu TJ, Reineke KF, Chirtel, S., Vanpelt, O.M. (2008) Factors influencing the growth of </w:t>
      </w:r>
      <w:bookmarkEnd w:id="594"/>
      <w:r w:rsidRPr="006032FF">
        <w:rPr>
          <w:rFonts w:cs="Arial"/>
          <w:i/>
          <w:sz w:val="20"/>
          <w:szCs w:val="20"/>
        </w:rPr>
        <w:t xml:space="preserve">Salmonella </w:t>
      </w:r>
      <w:r w:rsidRPr="006032FF">
        <w:rPr>
          <w:rFonts w:cs="Arial"/>
          <w:sz w:val="20"/>
          <w:szCs w:val="20"/>
        </w:rPr>
        <w:t xml:space="preserve">during sprouting of naturally contaminated alfalfa seeds. Journal of Food Protection 71:888–896. </w:t>
      </w:r>
      <w:hyperlink r:id="rId147" w:history="1">
        <w:r w:rsidR="00010BAE" w:rsidRPr="006032FF">
          <w:rPr>
            <w:rStyle w:val="Hyperlink"/>
            <w:rFonts w:cs="Arial"/>
            <w:sz w:val="20"/>
            <w:szCs w:val="20"/>
          </w:rPr>
          <w:t>https://doi.org/10.4315/0362-028x-71.5.888</w:t>
        </w:r>
      </w:hyperlink>
    </w:p>
    <w:p w14:paraId="7C99EBFA" w14:textId="46E0AD96" w:rsidR="00657FDB" w:rsidRPr="006032FF" w:rsidRDefault="00657FDB" w:rsidP="006032FF">
      <w:pPr>
        <w:pStyle w:val="CitaviBibliographyEntry"/>
        <w:spacing w:after="120"/>
        <w:ind w:left="0" w:firstLine="0"/>
        <w:rPr>
          <w:rFonts w:cs="Arial"/>
          <w:sz w:val="20"/>
          <w:szCs w:val="20"/>
        </w:rPr>
      </w:pPr>
      <w:bookmarkStart w:id="595" w:name="_CTVL001b915bc5b363f44f5a6510cd7b9000497"/>
      <w:r w:rsidRPr="006032FF">
        <w:rPr>
          <w:rFonts w:cs="Arial"/>
          <w:sz w:val="20"/>
          <w:szCs w:val="20"/>
        </w:rPr>
        <w:t>Gallegos</w:t>
      </w:r>
      <w:r w:rsidRPr="006032FF">
        <w:rPr>
          <w:rFonts w:ascii="Cambria Math" w:hAnsi="Cambria Math" w:cs="Cambria Math"/>
          <w:sz w:val="20"/>
          <w:szCs w:val="20"/>
        </w:rPr>
        <w:t>‐</w:t>
      </w:r>
      <w:r w:rsidRPr="006032FF">
        <w:rPr>
          <w:rFonts w:cs="Arial"/>
          <w:sz w:val="20"/>
          <w:szCs w:val="20"/>
        </w:rPr>
        <w:t>Robles MA, Morales</w:t>
      </w:r>
      <w:r w:rsidRPr="006032FF">
        <w:rPr>
          <w:rFonts w:ascii="Cambria Math" w:hAnsi="Cambria Math" w:cs="Cambria Math"/>
          <w:sz w:val="20"/>
          <w:szCs w:val="20"/>
        </w:rPr>
        <w:t>‐</w:t>
      </w:r>
      <w:r w:rsidRPr="006032FF">
        <w:rPr>
          <w:rFonts w:cs="Arial"/>
          <w:sz w:val="20"/>
          <w:szCs w:val="20"/>
        </w:rPr>
        <w:t>Loredo A, Álvarez</w:t>
      </w:r>
      <w:r w:rsidRPr="006032FF">
        <w:rPr>
          <w:rFonts w:ascii="Cambria Math" w:hAnsi="Cambria Math" w:cs="Cambria Math"/>
          <w:sz w:val="20"/>
          <w:szCs w:val="20"/>
        </w:rPr>
        <w:t>‐</w:t>
      </w:r>
      <w:r w:rsidRPr="006032FF">
        <w:rPr>
          <w:rFonts w:cs="Arial"/>
          <w:sz w:val="20"/>
          <w:szCs w:val="20"/>
        </w:rPr>
        <w:t>Ojeda G, Osuna</w:t>
      </w:r>
      <w:r w:rsidRPr="006032FF">
        <w:rPr>
          <w:rFonts w:ascii="Cambria Math" w:hAnsi="Cambria Math" w:cs="Cambria Math"/>
          <w:sz w:val="20"/>
          <w:szCs w:val="20"/>
        </w:rPr>
        <w:t>‐</w:t>
      </w:r>
      <w:r w:rsidRPr="006032FF">
        <w:rPr>
          <w:rFonts w:cs="Arial"/>
          <w:sz w:val="20"/>
          <w:szCs w:val="20"/>
        </w:rPr>
        <w:t>García JA, Martinez IO, Morales</w:t>
      </w:r>
      <w:r w:rsidRPr="006032FF">
        <w:rPr>
          <w:rFonts w:ascii="Cambria Math" w:hAnsi="Cambria Math" w:cs="Cambria Math"/>
          <w:sz w:val="20"/>
          <w:szCs w:val="20"/>
        </w:rPr>
        <w:t>‐</w:t>
      </w:r>
      <w:r w:rsidRPr="006032FF">
        <w:rPr>
          <w:rFonts w:cs="Arial"/>
          <w:sz w:val="20"/>
          <w:szCs w:val="20"/>
        </w:rPr>
        <w:t xml:space="preserve">Ramos LH, Fratamico P (2009) PCR detection and microbiological isolation of </w:t>
      </w:r>
      <w:bookmarkEnd w:id="595"/>
      <w:r w:rsidRPr="006032FF">
        <w:rPr>
          <w:rFonts w:cs="Arial"/>
          <w:i/>
          <w:sz w:val="20"/>
          <w:szCs w:val="20"/>
        </w:rPr>
        <w:t xml:space="preserve">Salmonella </w:t>
      </w:r>
      <w:r w:rsidRPr="006032FF">
        <w:rPr>
          <w:rFonts w:cs="Arial"/>
          <w:sz w:val="20"/>
          <w:szCs w:val="20"/>
        </w:rPr>
        <w:t xml:space="preserve">spp. from fresh beef and cantaloupes. Journal of Food Science 74:M37-M40. </w:t>
      </w:r>
      <w:hyperlink r:id="rId148" w:history="1">
        <w:r w:rsidR="00010BAE" w:rsidRPr="006032FF">
          <w:rPr>
            <w:rStyle w:val="Hyperlink"/>
            <w:rFonts w:cs="Arial"/>
            <w:sz w:val="20"/>
            <w:szCs w:val="20"/>
          </w:rPr>
          <w:t>https://doi.org/10.1111/j.1750-3841.2008.01006.x</w:t>
        </w:r>
      </w:hyperlink>
    </w:p>
    <w:p w14:paraId="770EFFE1" w14:textId="63419235" w:rsidR="00657FDB" w:rsidRPr="006032FF" w:rsidRDefault="00657FDB" w:rsidP="006032FF">
      <w:pPr>
        <w:pStyle w:val="CitaviBibliographyEntry"/>
        <w:spacing w:after="120"/>
        <w:ind w:left="0" w:firstLine="0"/>
        <w:rPr>
          <w:rFonts w:cs="Arial"/>
          <w:sz w:val="20"/>
          <w:szCs w:val="20"/>
        </w:rPr>
      </w:pPr>
      <w:bookmarkStart w:id="596" w:name="_CTVL00192fc35b477944978b41c4f294ed6e61d"/>
      <w:r w:rsidRPr="006032FF">
        <w:rPr>
          <w:rFonts w:cs="Arial"/>
          <w:sz w:val="20"/>
          <w:szCs w:val="20"/>
        </w:rPr>
        <w:t xml:space="preserve">Gandhi M, Golding S, Yaron S, Matthews KR (2001) Use of green fluorescent protein expressing </w:t>
      </w:r>
      <w:bookmarkEnd w:id="596"/>
      <w:r w:rsidRPr="006032FF">
        <w:rPr>
          <w:rFonts w:cs="Arial"/>
          <w:i/>
          <w:sz w:val="20"/>
          <w:szCs w:val="20"/>
        </w:rPr>
        <w:t xml:space="preserve">Salmonella </w:t>
      </w:r>
      <w:r w:rsidRPr="006032FF">
        <w:rPr>
          <w:rFonts w:cs="Arial"/>
          <w:sz w:val="20"/>
          <w:szCs w:val="20"/>
        </w:rPr>
        <w:t xml:space="preserve">Stanley to investigate survival, spatial location, and control on alfalfa sprouts. Journal of Food Protection 64:1891–1898. </w:t>
      </w:r>
      <w:hyperlink r:id="rId149" w:history="1">
        <w:r w:rsidR="00010BAE" w:rsidRPr="006032FF">
          <w:rPr>
            <w:rStyle w:val="Hyperlink"/>
            <w:rFonts w:cs="Arial"/>
            <w:sz w:val="20"/>
            <w:szCs w:val="20"/>
          </w:rPr>
          <w:t>https://doi.org/10.4315/0362-028x-64.12.1891</w:t>
        </w:r>
      </w:hyperlink>
    </w:p>
    <w:p w14:paraId="1DB9D597" w14:textId="0D65326C" w:rsidR="00657FDB" w:rsidRPr="006032FF" w:rsidRDefault="00657FDB" w:rsidP="006032FF">
      <w:pPr>
        <w:pStyle w:val="CitaviBibliographyEntry"/>
        <w:spacing w:after="120"/>
        <w:ind w:left="0" w:firstLine="0"/>
        <w:rPr>
          <w:rFonts w:cs="Arial"/>
          <w:sz w:val="20"/>
          <w:szCs w:val="20"/>
        </w:rPr>
      </w:pPr>
      <w:bookmarkStart w:id="597" w:name="_CTVL0019fe80258d2c54d7cb9d99bc6b5389d7f"/>
      <w:r w:rsidRPr="006032FF">
        <w:rPr>
          <w:rFonts w:cs="Arial"/>
          <w:sz w:val="20"/>
          <w:szCs w:val="20"/>
        </w:rPr>
        <w:t xml:space="preserve">Gautam D, Dobhal S, Payton ME, Fletcher J, Ma LM (2014) Surface survival and internalization of </w:t>
      </w:r>
      <w:bookmarkEnd w:id="597"/>
      <w:r w:rsidRPr="006032FF">
        <w:rPr>
          <w:rFonts w:cs="Arial"/>
          <w:i/>
          <w:sz w:val="20"/>
          <w:szCs w:val="20"/>
        </w:rPr>
        <w:t xml:space="preserve">Salmonella </w:t>
      </w:r>
      <w:r w:rsidRPr="006032FF">
        <w:rPr>
          <w:rFonts w:cs="Arial"/>
          <w:sz w:val="20"/>
          <w:szCs w:val="20"/>
        </w:rPr>
        <w:t xml:space="preserve">through natural cracks on developing cantaloupe fruits, alone or in the presence of the melon wilt pathogen </w:t>
      </w:r>
      <w:r w:rsidRPr="006032FF">
        <w:rPr>
          <w:rFonts w:cs="Arial"/>
          <w:i/>
          <w:sz w:val="20"/>
          <w:szCs w:val="20"/>
        </w:rPr>
        <w:t>Erwinia tracheiphila</w:t>
      </w:r>
      <w:r w:rsidRPr="006032FF">
        <w:rPr>
          <w:rFonts w:cs="Arial"/>
          <w:sz w:val="20"/>
          <w:szCs w:val="20"/>
        </w:rPr>
        <w:t xml:space="preserve">. PLoS ONE 9:e105248. </w:t>
      </w:r>
      <w:hyperlink r:id="rId150" w:history="1">
        <w:r w:rsidR="00010BAE" w:rsidRPr="006032FF">
          <w:rPr>
            <w:rStyle w:val="Hyperlink"/>
            <w:rFonts w:cs="Arial"/>
            <w:sz w:val="20"/>
            <w:szCs w:val="20"/>
          </w:rPr>
          <w:t>https://doi.org/10.1371/journal.pone.0105248</w:t>
        </w:r>
      </w:hyperlink>
    </w:p>
    <w:p w14:paraId="27C520D6" w14:textId="49663A0C" w:rsidR="00657FDB" w:rsidRPr="006032FF" w:rsidRDefault="00657FDB" w:rsidP="006032FF">
      <w:pPr>
        <w:pStyle w:val="CitaviBibliographyEntry"/>
        <w:spacing w:after="120"/>
        <w:ind w:left="0" w:firstLine="0"/>
        <w:rPr>
          <w:rFonts w:cs="Arial"/>
          <w:sz w:val="20"/>
          <w:szCs w:val="20"/>
        </w:rPr>
      </w:pPr>
      <w:bookmarkStart w:id="598" w:name="_CTVL00115f299e6cf674406846b30e9546573cf"/>
      <w:r w:rsidRPr="006032FF">
        <w:rPr>
          <w:rFonts w:cs="Arial"/>
          <w:sz w:val="20"/>
          <w:szCs w:val="20"/>
        </w:rPr>
        <w:t xml:space="preserve">Gazula H, Quansah J, Allen R, Scherm H, Li C, Takeda F, Chen J (2019) Microbial loads on selected fresh blueberry packing lines. Food Control 100:315–320. </w:t>
      </w:r>
      <w:hyperlink r:id="rId151" w:history="1">
        <w:r w:rsidR="00010BAE" w:rsidRPr="006032FF">
          <w:rPr>
            <w:rStyle w:val="Hyperlink"/>
            <w:rFonts w:cs="Arial"/>
            <w:sz w:val="20"/>
            <w:szCs w:val="20"/>
          </w:rPr>
          <w:t>https://doi.org/10.1016/j.foodcont.2019.01.032</w:t>
        </w:r>
      </w:hyperlink>
    </w:p>
    <w:p w14:paraId="5D25B837" w14:textId="1E672425" w:rsidR="00657FDB" w:rsidRPr="006032FF" w:rsidRDefault="00657FDB" w:rsidP="006032FF">
      <w:pPr>
        <w:pStyle w:val="CitaviBibliographyEntry"/>
        <w:spacing w:after="120"/>
        <w:ind w:left="0" w:firstLine="0"/>
        <w:rPr>
          <w:rFonts w:cs="Arial"/>
          <w:sz w:val="20"/>
          <w:szCs w:val="20"/>
        </w:rPr>
      </w:pPr>
      <w:bookmarkStart w:id="599" w:name="_CTVL001f798fa3bda104ed7936c76429987bdf1"/>
      <w:bookmarkEnd w:id="598"/>
      <w:r w:rsidRPr="006032FF">
        <w:rPr>
          <w:rFonts w:cs="Arial"/>
          <w:sz w:val="20"/>
          <w:szCs w:val="20"/>
        </w:rPr>
        <w:t xml:space="preserve">Ge C, Lee C, Lee J (2012) The impact of extreme weather events on </w:t>
      </w:r>
      <w:bookmarkEnd w:id="599"/>
      <w:r w:rsidRPr="006032FF">
        <w:rPr>
          <w:rFonts w:cs="Arial"/>
          <w:i/>
          <w:sz w:val="20"/>
          <w:szCs w:val="20"/>
        </w:rPr>
        <w:t xml:space="preserve">Salmonella </w:t>
      </w:r>
      <w:r w:rsidRPr="006032FF">
        <w:rPr>
          <w:rFonts w:cs="Arial"/>
          <w:sz w:val="20"/>
          <w:szCs w:val="20"/>
        </w:rPr>
        <w:t xml:space="preserve">internalization in lettuce and green onion. Food Research International 45:1118–1122. </w:t>
      </w:r>
      <w:hyperlink r:id="rId152" w:history="1">
        <w:r w:rsidR="00010BAE" w:rsidRPr="006032FF">
          <w:rPr>
            <w:rStyle w:val="Hyperlink"/>
            <w:rFonts w:cs="Arial"/>
            <w:sz w:val="20"/>
            <w:szCs w:val="20"/>
          </w:rPr>
          <w:t>https://doi.org/10.1016/j.foodres.2011.06.054</w:t>
        </w:r>
      </w:hyperlink>
    </w:p>
    <w:p w14:paraId="3CFD7B38" w14:textId="26670C83" w:rsidR="00657FDB" w:rsidRPr="006032FF" w:rsidRDefault="00657FDB" w:rsidP="006032FF">
      <w:pPr>
        <w:pStyle w:val="CitaviBibliographyEntry"/>
        <w:spacing w:after="120"/>
        <w:ind w:left="0" w:firstLine="0"/>
        <w:rPr>
          <w:rFonts w:cs="Arial"/>
          <w:sz w:val="20"/>
          <w:szCs w:val="20"/>
        </w:rPr>
      </w:pPr>
      <w:bookmarkStart w:id="600" w:name="_CTVL001fecae0adf2a246e5aeb080e93a993a64"/>
      <w:r w:rsidRPr="006032FF">
        <w:rPr>
          <w:rFonts w:cs="Arial"/>
          <w:sz w:val="20"/>
          <w:szCs w:val="20"/>
        </w:rPr>
        <w:t xml:space="preserve">Ge C, Lee C, Nangle E, Li J, Gardner D, Kleinhenz M, Lee J (2014) Impact of phytopathogen infection and extreme weather stress on internalization of </w:t>
      </w:r>
      <w:bookmarkEnd w:id="600"/>
      <w:r w:rsidRPr="006032FF">
        <w:rPr>
          <w:rFonts w:cs="Arial"/>
          <w:i/>
          <w:sz w:val="20"/>
          <w:szCs w:val="20"/>
        </w:rPr>
        <w:t xml:space="preserve">Salmonella </w:t>
      </w:r>
      <w:r w:rsidRPr="006032FF">
        <w:rPr>
          <w:rFonts w:cs="Arial"/>
          <w:sz w:val="20"/>
          <w:szCs w:val="20"/>
        </w:rPr>
        <w:t xml:space="preserve">Typhimurium in lettuce. International Journal of Food Microbiology 168-169:24–31. </w:t>
      </w:r>
      <w:hyperlink r:id="rId153" w:history="1">
        <w:r w:rsidR="00010BAE" w:rsidRPr="006032FF">
          <w:rPr>
            <w:rStyle w:val="Hyperlink"/>
            <w:rFonts w:cs="Arial"/>
            <w:sz w:val="20"/>
            <w:szCs w:val="20"/>
          </w:rPr>
          <w:t>https://doi.org/10.1016/j.ijfoodmicro.2013.10.010</w:t>
        </w:r>
      </w:hyperlink>
    </w:p>
    <w:p w14:paraId="76675971" w14:textId="2FA159B9" w:rsidR="00657FDB" w:rsidRPr="006032FF" w:rsidRDefault="00657FDB" w:rsidP="006032FF">
      <w:pPr>
        <w:pStyle w:val="CitaviBibliographyEntry"/>
        <w:spacing w:after="120"/>
        <w:ind w:left="0" w:firstLine="0"/>
        <w:rPr>
          <w:rFonts w:cs="Arial"/>
          <w:sz w:val="20"/>
          <w:szCs w:val="20"/>
        </w:rPr>
      </w:pPr>
      <w:bookmarkStart w:id="601" w:name="_CTVL0010122211d6b334b93b10a4cc488cf3ca6"/>
      <w:r w:rsidRPr="006032FF">
        <w:rPr>
          <w:rFonts w:cs="Arial"/>
          <w:sz w:val="20"/>
          <w:szCs w:val="20"/>
        </w:rPr>
        <w:t xml:space="preserve">Gelting RJ, Baloch MA, Zarate-Bermudez MA, Selman C (2011) Irrigation water issues potentially related to the 2006 multistate </w:t>
      </w:r>
      <w:bookmarkEnd w:id="601"/>
      <w:r w:rsidRPr="006032FF">
        <w:rPr>
          <w:rFonts w:cs="Arial"/>
          <w:i/>
          <w:sz w:val="20"/>
          <w:szCs w:val="20"/>
        </w:rPr>
        <w:t xml:space="preserve">E. coli </w:t>
      </w:r>
      <w:r w:rsidRPr="006032FF">
        <w:rPr>
          <w:rFonts w:cs="Arial"/>
          <w:sz w:val="20"/>
          <w:szCs w:val="20"/>
        </w:rPr>
        <w:t xml:space="preserve">O157:H7 outbreak associated with spinach. Agricultural Water Management 98:1395–1402. </w:t>
      </w:r>
      <w:hyperlink r:id="rId154" w:history="1">
        <w:r w:rsidR="00010BAE" w:rsidRPr="006032FF">
          <w:rPr>
            <w:rStyle w:val="Hyperlink"/>
            <w:rFonts w:cs="Arial"/>
            <w:sz w:val="20"/>
            <w:szCs w:val="20"/>
          </w:rPr>
          <w:t>https://doi.org/10.1016/j.agwat.2011.04.004</w:t>
        </w:r>
      </w:hyperlink>
    </w:p>
    <w:p w14:paraId="7891285C" w14:textId="5745DAC2" w:rsidR="00657FDB" w:rsidRPr="006032FF" w:rsidRDefault="00657FDB" w:rsidP="006032FF">
      <w:pPr>
        <w:pStyle w:val="CitaviBibliographyEntry"/>
        <w:spacing w:after="120"/>
        <w:ind w:left="0" w:firstLine="0"/>
        <w:rPr>
          <w:rFonts w:cs="Arial"/>
          <w:sz w:val="20"/>
          <w:szCs w:val="20"/>
        </w:rPr>
      </w:pPr>
      <w:bookmarkStart w:id="602" w:name="_CTVL001760b93b9aab84780abcc1ac6ad45cdf5"/>
      <w:r w:rsidRPr="006032FF">
        <w:rPr>
          <w:rFonts w:cs="Arial"/>
          <w:sz w:val="20"/>
          <w:szCs w:val="20"/>
        </w:rPr>
        <w:t>Gelting RJ, Baloch MA, Zarate-Bermudez MA, Hajmeer MN, Y</w:t>
      </w:r>
      <w:r w:rsidR="0057637C">
        <w:rPr>
          <w:rFonts w:cs="Arial"/>
          <w:sz w:val="20"/>
          <w:szCs w:val="20"/>
        </w:rPr>
        <w:t>ee JC, Brown T, Yee BJ (2015) A </w:t>
      </w:r>
      <w:r w:rsidRPr="006032FF">
        <w:rPr>
          <w:rFonts w:cs="Arial"/>
          <w:sz w:val="20"/>
          <w:szCs w:val="20"/>
        </w:rPr>
        <w:t xml:space="preserve">systems analysis of irrigation water quality in an environmental assessment of an </w:t>
      </w:r>
      <w:bookmarkEnd w:id="602"/>
      <w:r w:rsidRPr="006032FF">
        <w:rPr>
          <w:rFonts w:cs="Arial"/>
          <w:i/>
          <w:sz w:val="20"/>
          <w:szCs w:val="20"/>
        </w:rPr>
        <w:t xml:space="preserve">E. coli </w:t>
      </w:r>
      <w:r w:rsidRPr="006032FF">
        <w:rPr>
          <w:rFonts w:cs="Arial"/>
          <w:sz w:val="20"/>
          <w:szCs w:val="20"/>
        </w:rPr>
        <w:t xml:space="preserve">O157:H7 outbreak in the United States linked to iceberg lettuce. Agricultural Water Management 150:111–118. </w:t>
      </w:r>
      <w:hyperlink r:id="rId155" w:history="1">
        <w:r w:rsidR="00010BAE" w:rsidRPr="006032FF">
          <w:rPr>
            <w:rStyle w:val="Hyperlink"/>
            <w:rFonts w:cs="Arial"/>
            <w:sz w:val="20"/>
            <w:szCs w:val="20"/>
          </w:rPr>
          <w:t>https://doi.org/10.1016/j.agwat.2014.12.002</w:t>
        </w:r>
      </w:hyperlink>
    </w:p>
    <w:p w14:paraId="7B3EE119" w14:textId="07FD8736" w:rsidR="00657FDB" w:rsidRPr="006032FF" w:rsidRDefault="00657FDB" w:rsidP="006032FF">
      <w:pPr>
        <w:pStyle w:val="CitaviBibliographyEntry"/>
        <w:spacing w:after="120"/>
        <w:ind w:left="0" w:firstLine="0"/>
        <w:rPr>
          <w:rFonts w:cs="Arial"/>
          <w:sz w:val="20"/>
          <w:szCs w:val="20"/>
        </w:rPr>
      </w:pPr>
      <w:bookmarkStart w:id="603" w:name="_CTVL0010d272205bcc1481e86534ea9c18f6771"/>
      <w:r w:rsidRPr="006032FF">
        <w:rPr>
          <w:rFonts w:cs="Arial"/>
          <w:sz w:val="20"/>
          <w:szCs w:val="20"/>
        </w:rPr>
        <w:t xml:space="preserve">Généreux M, Grenier M, Côté C (2015) Persistence of </w:t>
      </w:r>
      <w:bookmarkEnd w:id="603"/>
      <w:r w:rsidRPr="006032FF">
        <w:rPr>
          <w:rFonts w:cs="Arial"/>
          <w:i/>
          <w:sz w:val="20"/>
          <w:szCs w:val="20"/>
        </w:rPr>
        <w:t xml:space="preserve">Escherichia coli </w:t>
      </w:r>
      <w:r w:rsidRPr="006032FF">
        <w:rPr>
          <w:rFonts w:cs="Arial"/>
          <w:sz w:val="20"/>
          <w:szCs w:val="20"/>
        </w:rPr>
        <w:t xml:space="preserve">following irrigation of strawberry grown under four production systems: Field experiment. Food Control 47:103–107. </w:t>
      </w:r>
      <w:hyperlink r:id="rId156" w:history="1">
        <w:r w:rsidR="00010BAE" w:rsidRPr="006032FF">
          <w:rPr>
            <w:rStyle w:val="Hyperlink"/>
            <w:rFonts w:cs="Arial"/>
            <w:sz w:val="20"/>
            <w:szCs w:val="20"/>
          </w:rPr>
          <w:t>https://doi.org/10.1016/j.foodcont.2014.06.037</w:t>
        </w:r>
      </w:hyperlink>
    </w:p>
    <w:p w14:paraId="04C13936" w14:textId="4B8F9FFA" w:rsidR="00657FDB" w:rsidRPr="006032FF" w:rsidRDefault="00657FDB" w:rsidP="006032FF">
      <w:pPr>
        <w:pStyle w:val="CitaviBibliographyEntry"/>
        <w:spacing w:after="120"/>
        <w:ind w:left="0" w:firstLine="0"/>
        <w:rPr>
          <w:rFonts w:cs="Arial"/>
          <w:sz w:val="20"/>
          <w:szCs w:val="20"/>
        </w:rPr>
      </w:pPr>
      <w:bookmarkStart w:id="604" w:name="_CTVL0011374140cd13048269e53bdc20952beee"/>
      <w:r w:rsidRPr="006032FF">
        <w:rPr>
          <w:rFonts w:cs="Arial"/>
          <w:sz w:val="20"/>
          <w:szCs w:val="20"/>
        </w:rPr>
        <w:t xml:space="preserve">Germer J, Boh MY, Schoeffler M, Amoah P (2010) Temperature and deactivation of microbial faecal indicators during small scale co-composting of faecal matter. Waste Management 30:185–191. </w:t>
      </w:r>
      <w:hyperlink r:id="rId157" w:history="1">
        <w:r w:rsidR="00010BAE" w:rsidRPr="006032FF">
          <w:rPr>
            <w:rStyle w:val="Hyperlink"/>
            <w:rFonts w:cs="Arial"/>
            <w:sz w:val="20"/>
            <w:szCs w:val="20"/>
          </w:rPr>
          <w:t>https://doi.org/10.1016/j.wasman.2009.09.030</w:t>
        </w:r>
      </w:hyperlink>
    </w:p>
    <w:p w14:paraId="50F7C463" w14:textId="176B498C" w:rsidR="00657FDB" w:rsidRPr="006032FF" w:rsidRDefault="00657FDB" w:rsidP="006032FF">
      <w:pPr>
        <w:pStyle w:val="CitaviBibliographyEntry"/>
        <w:spacing w:after="120"/>
        <w:ind w:left="0" w:firstLine="0"/>
        <w:rPr>
          <w:rFonts w:cs="Arial"/>
          <w:sz w:val="20"/>
          <w:szCs w:val="20"/>
        </w:rPr>
      </w:pPr>
      <w:bookmarkStart w:id="605" w:name="_CTVL0019eab13bad7b34aa4baf0fe330351e5ac"/>
      <w:bookmarkEnd w:id="604"/>
      <w:r w:rsidRPr="006032FF">
        <w:rPr>
          <w:rFonts w:cs="Arial"/>
          <w:sz w:val="20"/>
          <w:szCs w:val="20"/>
        </w:rPr>
        <w:t>Gibbs R, Pingault N, Mazzucchelli T, O</w:t>
      </w:r>
      <w:r w:rsidR="00010BAE" w:rsidRPr="006032FF">
        <w:rPr>
          <w:rFonts w:cs="Arial"/>
          <w:sz w:val="20"/>
          <w:szCs w:val="20"/>
        </w:rPr>
        <w:t>’</w:t>
      </w:r>
      <w:r w:rsidRPr="006032FF">
        <w:rPr>
          <w:rFonts w:cs="Arial"/>
          <w:sz w:val="20"/>
          <w:szCs w:val="20"/>
        </w:rPr>
        <w:t>Reilly L, MacKenzie B, Green J</w:t>
      </w:r>
      <w:r w:rsidR="0057637C">
        <w:rPr>
          <w:rFonts w:cs="Arial"/>
          <w:sz w:val="20"/>
          <w:szCs w:val="20"/>
        </w:rPr>
        <w:t>, Mogyorosy R, Stafford R, Bell </w:t>
      </w:r>
      <w:r w:rsidRPr="006032FF">
        <w:rPr>
          <w:rFonts w:cs="Arial"/>
          <w:sz w:val="20"/>
          <w:szCs w:val="20"/>
        </w:rPr>
        <w:t xml:space="preserve">R, Hiley L, Fullerton K, Van Buynder P (2009) An outbreak of </w:t>
      </w:r>
      <w:bookmarkEnd w:id="605"/>
      <w:r w:rsidRPr="006032FF">
        <w:rPr>
          <w:rFonts w:cs="Arial"/>
          <w:i/>
          <w:sz w:val="20"/>
          <w:szCs w:val="20"/>
        </w:rPr>
        <w:t xml:space="preserve">Salmonella enterica </w:t>
      </w:r>
      <w:r w:rsidRPr="006032FF">
        <w:rPr>
          <w:rFonts w:cs="Arial"/>
          <w:sz w:val="20"/>
          <w:szCs w:val="20"/>
        </w:rPr>
        <w:t xml:space="preserve">serotype Litchfield infection in Australia linked to consumption of contaminated papaya. Journal of Food Protection 72:1094–1098. </w:t>
      </w:r>
      <w:hyperlink r:id="rId158" w:history="1">
        <w:r w:rsidR="00010BAE" w:rsidRPr="006032FF">
          <w:rPr>
            <w:rStyle w:val="Hyperlink"/>
            <w:rFonts w:cs="Arial"/>
            <w:sz w:val="20"/>
            <w:szCs w:val="20"/>
          </w:rPr>
          <w:t>https://doi.org/10.4315/0362-028X-72.5.1094</w:t>
        </w:r>
      </w:hyperlink>
    </w:p>
    <w:p w14:paraId="05593557" w14:textId="40CFFFDE" w:rsidR="00657FDB" w:rsidRPr="006032FF" w:rsidRDefault="00657FDB" w:rsidP="006032FF">
      <w:pPr>
        <w:pStyle w:val="CitaviBibliographyEntry"/>
        <w:spacing w:after="120"/>
        <w:ind w:left="0" w:firstLine="0"/>
        <w:rPr>
          <w:rFonts w:cs="Arial"/>
          <w:sz w:val="20"/>
          <w:szCs w:val="20"/>
        </w:rPr>
      </w:pPr>
      <w:bookmarkStart w:id="606" w:name="_CTVL0010a682977ea774ce7b68c894ac8255833"/>
      <w:r w:rsidRPr="006032FF">
        <w:rPr>
          <w:rFonts w:cs="Arial"/>
          <w:sz w:val="20"/>
          <w:szCs w:val="20"/>
        </w:rPr>
        <w:t xml:space="preserve">Gilardi G, Gullino ML, Garibaldi A, Ricauda Aimonino D, Luongo I (2014) Different steaming methods to control </w:t>
      </w:r>
      <w:bookmarkEnd w:id="606"/>
      <w:r w:rsidRPr="006032FF">
        <w:rPr>
          <w:rFonts w:cs="Arial"/>
          <w:i/>
          <w:sz w:val="20"/>
          <w:szCs w:val="20"/>
        </w:rPr>
        <w:t xml:space="preserve">Fusarium </w:t>
      </w:r>
      <w:r w:rsidRPr="006032FF">
        <w:rPr>
          <w:rFonts w:cs="Arial"/>
          <w:sz w:val="20"/>
          <w:szCs w:val="20"/>
        </w:rPr>
        <w:t xml:space="preserve">wilt agents under simulated conditions. Acta Horticulturae 1044:237–242. </w:t>
      </w:r>
      <w:hyperlink r:id="rId159" w:history="1">
        <w:r w:rsidR="00010BAE" w:rsidRPr="006032FF">
          <w:rPr>
            <w:rStyle w:val="Hyperlink"/>
            <w:rFonts w:cs="Arial"/>
            <w:sz w:val="20"/>
            <w:szCs w:val="20"/>
          </w:rPr>
          <w:t>https://doi.org/10.17660/ActaHortic.2014.1044.28</w:t>
        </w:r>
      </w:hyperlink>
    </w:p>
    <w:p w14:paraId="54240C3D" w14:textId="7C48A202" w:rsidR="00657FDB" w:rsidRPr="006032FF" w:rsidRDefault="00657FDB" w:rsidP="006032FF">
      <w:pPr>
        <w:pStyle w:val="CitaviBibliographyEntry"/>
        <w:spacing w:after="120"/>
        <w:ind w:left="0" w:firstLine="0"/>
        <w:rPr>
          <w:rFonts w:cs="Arial"/>
          <w:sz w:val="20"/>
          <w:szCs w:val="20"/>
        </w:rPr>
      </w:pPr>
      <w:bookmarkStart w:id="607" w:name="_CTVL00179348098cb8443309c8bcf83433b93c9"/>
      <w:r w:rsidRPr="006032FF">
        <w:rPr>
          <w:rFonts w:cs="Arial"/>
          <w:sz w:val="20"/>
          <w:szCs w:val="20"/>
        </w:rPr>
        <w:t xml:space="preserve">GlobalG.A.P. (2020) Primary farm assurance: All farm base - crops base - fruit and vegetables: Control points and compliance and criteria: Entry level, Cologne. </w:t>
      </w:r>
      <w:hyperlink r:id="rId160" w:history="1">
        <w:r w:rsidR="00010BAE" w:rsidRPr="006032FF">
          <w:rPr>
            <w:rStyle w:val="Hyperlink"/>
            <w:rFonts w:cs="Arial"/>
            <w:sz w:val="20"/>
            <w:szCs w:val="20"/>
          </w:rPr>
          <w:t>https://www.globalgap.org/.content/.galleries/documents/201015_PFA_EL_CPCC_AF_CB_FV_V5_Oct20_Interim-Final_en.pdf</w:t>
        </w:r>
      </w:hyperlink>
      <w:r w:rsidRPr="006032FF">
        <w:rPr>
          <w:rFonts w:cs="Arial"/>
          <w:sz w:val="20"/>
          <w:szCs w:val="20"/>
        </w:rPr>
        <w:t>. Accessed 26 November 2020</w:t>
      </w:r>
    </w:p>
    <w:p w14:paraId="1F16277C" w14:textId="3CF39B48" w:rsidR="00657FDB" w:rsidRPr="006032FF" w:rsidRDefault="00657FDB" w:rsidP="006032FF">
      <w:pPr>
        <w:pStyle w:val="CitaviBibliographyEntry"/>
        <w:spacing w:after="120"/>
        <w:ind w:left="0" w:firstLine="0"/>
        <w:rPr>
          <w:rFonts w:cs="Arial"/>
          <w:sz w:val="20"/>
          <w:szCs w:val="20"/>
        </w:rPr>
      </w:pPr>
      <w:bookmarkStart w:id="608" w:name="_CTVL001b1c07368dc2f4a7d8bcd5c63932b7e91"/>
      <w:bookmarkEnd w:id="607"/>
      <w:r w:rsidRPr="006032FF">
        <w:rPr>
          <w:rFonts w:cs="Arial"/>
          <w:sz w:val="20"/>
          <w:szCs w:val="20"/>
        </w:rPr>
        <w:t xml:space="preserve">Golberg D, Kroupitski Y, Belausov E, Pinto R, Sela S (2011) </w:t>
      </w:r>
      <w:bookmarkEnd w:id="608"/>
      <w:r w:rsidRPr="006032FF">
        <w:rPr>
          <w:rFonts w:cs="Arial"/>
          <w:i/>
          <w:sz w:val="20"/>
          <w:szCs w:val="20"/>
        </w:rPr>
        <w:t xml:space="preserve">Salmonella </w:t>
      </w:r>
      <w:r w:rsidRPr="006032FF">
        <w:rPr>
          <w:rFonts w:cs="Arial"/>
          <w:sz w:val="20"/>
          <w:szCs w:val="20"/>
        </w:rPr>
        <w:t xml:space="preserve">Typhimurium internalization is variable in leafy vegetables and fresh herbs. International Journal of Food Microbiology 145:250–257. </w:t>
      </w:r>
      <w:hyperlink r:id="rId161" w:history="1">
        <w:r w:rsidR="00010BAE" w:rsidRPr="006032FF">
          <w:rPr>
            <w:rStyle w:val="Hyperlink"/>
            <w:rFonts w:cs="Arial"/>
            <w:sz w:val="20"/>
            <w:szCs w:val="20"/>
          </w:rPr>
          <w:t>https://doi.org/10.1016/j.ijfoodmicro.2010.12.031</w:t>
        </w:r>
      </w:hyperlink>
    </w:p>
    <w:p w14:paraId="3222553D" w14:textId="7769CA90" w:rsidR="00657FDB" w:rsidRPr="006032FF" w:rsidRDefault="00657FDB" w:rsidP="006032FF">
      <w:pPr>
        <w:pStyle w:val="CitaviBibliographyEntry"/>
        <w:spacing w:after="120"/>
        <w:ind w:left="0" w:firstLine="0"/>
        <w:rPr>
          <w:rFonts w:cs="Arial"/>
          <w:sz w:val="20"/>
          <w:szCs w:val="20"/>
        </w:rPr>
      </w:pPr>
      <w:bookmarkStart w:id="609" w:name="_CTVL001e84e2a7874f745a1999e3da00e6fc661"/>
      <w:r w:rsidRPr="006032FF">
        <w:rPr>
          <w:rFonts w:cs="Arial"/>
          <w:sz w:val="20"/>
          <w:szCs w:val="20"/>
        </w:rPr>
        <w:t xml:space="preserve">Golden DA, Rhodehamel EJ, Kautter DA (1993) Growth of </w:t>
      </w:r>
      <w:bookmarkEnd w:id="609"/>
      <w:r w:rsidRPr="006032FF">
        <w:rPr>
          <w:rFonts w:cs="Arial"/>
          <w:i/>
          <w:sz w:val="20"/>
          <w:szCs w:val="20"/>
        </w:rPr>
        <w:t xml:space="preserve">Salmonella </w:t>
      </w:r>
      <w:r w:rsidRPr="006032FF">
        <w:rPr>
          <w:rFonts w:cs="Arial"/>
          <w:sz w:val="20"/>
          <w:szCs w:val="20"/>
        </w:rPr>
        <w:t xml:space="preserve">spp. in cantaloupe, watermelon, and honeydew melons. Journal of Food Protection 56:194–196. </w:t>
      </w:r>
      <w:hyperlink r:id="rId162" w:history="1">
        <w:r w:rsidR="00010BAE" w:rsidRPr="006032FF">
          <w:rPr>
            <w:rStyle w:val="Hyperlink"/>
            <w:rFonts w:cs="Arial"/>
            <w:sz w:val="20"/>
            <w:szCs w:val="20"/>
          </w:rPr>
          <w:t>https://doi.org/10.4315/0362-028X-56.3.194</w:t>
        </w:r>
      </w:hyperlink>
    </w:p>
    <w:p w14:paraId="5FE39688" w14:textId="4AFA906F" w:rsidR="00657FDB" w:rsidRPr="006032FF" w:rsidRDefault="00657FDB" w:rsidP="006032FF">
      <w:pPr>
        <w:pStyle w:val="CitaviBibliographyEntry"/>
        <w:spacing w:after="120"/>
        <w:ind w:left="0" w:firstLine="0"/>
        <w:rPr>
          <w:rFonts w:cs="Arial"/>
          <w:sz w:val="20"/>
          <w:szCs w:val="20"/>
        </w:rPr>
      </w:pPr>
      <w:bookmarkStart w:id="610" w:name="_CTVL001f74fd4739b5f4f3ba901807e5c920f6f"/>
      <w:r w:rsidRPr="006032FF">
        <w:rPr>
          <w:rFonts w:cs="Arial"/>
          <w:sz w:val="20"/>
          <w:szCs w:val="20"/>
        </w:rPr>
        <w:t>Gómez</w:t>
      </w:r>
      <w:r w:rsidRPr="006032FF">
        <w:rPr>
          <w:rFonts w:ascii="Cambria Math" w:hAnsi="Cambria Math" w:cs="Cambria Math"/>
          <w:sz w:val="20"/>
          <w:szCs w:val="20"/>
        </w:rPr>
        <w:t>‐</w:t>
      </w:r>
      <w:r w:rsidRPr="006032FF">
        <w:rPr>
          <w:rFonts w:cs="Arial"/>
          <w:sz w:val="20"/>
          <w:szCs w:val="20"/>
        </w:rPr>
        <w:t>Aldapa CA, Portillo</w:t>
      </w:r>
      <w:r w:rsidRPr="006032FF">
        <w:rPr>
          <w:rFonts w:ascii="Cambria Math" w:hAnsi="Cambria Math" w:cs="Cambria Math"/>
          <w:sz w:val="20"/>
          <w:szCs w:val="20"/>
        </w:rPr>
        <w:t>‐</w:t>
      </w:r>
      <w:r w:rsidRPr="006032FF">
        <w:rPr>
          <w:rFonts w:cs="Arial"/>
          <w:sz w:val="20"/>
          <w:szCs w:val="20"/>
        </w:rPr>
        <w:t>Torres LA, Villagómez</w:t>
      </w:r>
      <w:r w:rsidRPr="006032FF">
        <w:rPr>
          <w:rFonts w:ascii="Cambria Math" w:hAnsi="Cambria Math" w:cs="Cambria Math"/>
          <w:sz w:val="20"/>
          <w:szCs w:val="20"/>
        </w:rPr>
        <w:t>‐</w:t>
      </w:r>
      <w:r w:rsidRPr="006032FF">
        <w:rPr>
          <w:rFonts w:cs="Arial"/>
          <w:sz w:val="20"/>
          <w:szCs w:val="20"/>
        </w:rPr>
        <w:t>Ibarra JR, Rangel</w:t>
      </w:r>
      <w:r w:rsidRPr="006032FF">
        <w:rPr>
          <w:rFonts w:ascii="Cambria Math" w:hAnsi="Cambria Math" w:cs="Cambria Math"/>
          <w:sz w:val="20"/>
          <w:szCs w:val="20"/>
        </w:rPr>
        <w:t>‐</w:t>
      </w:r>
      <w:r w:rsidRPr="006032FF">
        <w:rPr>
          <w:rFonts w:cs="Arial"/>
          <w:sz w:val="20"/>
          <w:szCs w:val="20"/>
        </w:rPr>
        <w:t>Vargas E, Téllez</w:t>
      </w:r>
      <w:r w:rsidRPr="006032FF">
        <w:rPr>
          <w:rFonts w:ascii="Cambria Math" w:hAnsi="Cambria Math" w:cs="Cambria Math"/>
          <w:sz w:val="20"/>
          <w:szCs w:val="20"/>
        </w:rPr>
        <w:t>‐</w:t>
      </w:r>
      <w:r w:rsidRPr="006032FF">
        <w:rPr>
          <w:rFonts w:cs="Arial"/>
          <w:sz w:val="20"/>
          <w:szCs w:val="20"/>
        </w:rPr>
        <w:t>Jurado A, Cruz</w:t>
      </w:r>
      <w:r w:rsidRPr="006032FF">
        <w:rPr>
          <w:rFonts w:ascii="Cambria Math" w:hAnsi="Cambria Math" w:cs="Cambria Math"/>
          <w:sz w:val="20"/>
          <w:szCs w:val="20"/>
        </w:rPr>
        <w:t>‐</w:t>
      </w:r>
      <w:r w:rsidRPr="006032FF">
        <w:rPr>
          <w:rFonts w:cs="Arial"/>
          <w:sz w:val="20"/>
          <w:szCs w:val="20"/>
        </w:rPr>
        <w:t>Gálvez AM, Castro</w:t>
      </w:r>
      <w:r w:rsidRPr="006032FF">
        <w:rPr>
          <w:rFonts w:ascii="Cambria Math" w:hAnsi="Cambria Math" w:cs="Cambria Math"/>
          <w:sz w:val="20"/>
          <w:szCs w:val="20"/>
        </w:rPr>
        <w:t>‐</w:t>
      </w:r>
      <w:r w:rsidRPr="006032FF">
        <w:rPr>
          <w:rFonts w:cs="Arial"/>
          <w:sz w:val="20"/>
          <w:szCs w:val="20"/>
        </w:rPr>
        <w:t xml:space="preserve">Rosas J (2018) Survival of foodborne bacteria on strawberries and antibacterial activities of </w:t>
      </w:r>
      <w:bookmarkEnd w:id="610"/>
      <w:r w:rsidRPr="006032FF">
        <w:rPr>
          <w:rFonts w:cs="Arial"/>
          <w:i/>
          <w:sz w:val="20"/>
          <w:szCs w:val="20"/>
        </w:rPr>
        <w:t xml:space="preserve">Hibiscus sabdariffa </w:t>
      </w:r>
      <w:r w:rsidRPr="006032FF">
        <w:rPr>
          <w:rFonts w:cs="Arial"/>
          <w:sz w:val="20"/>
          <w:szCs w:val="20"/>
        </w:rPr>
        <w:t xml:space="preserve">extracts and chemical sanitizers on strawberries. Journal of Food Safety 38:1. </w:t>
      </w:r>
      <w:hyperlink r:id="rId163" w:history="1">
        <w:r w:rsidR="00010BAE" w:rsidRPr="006032FF">
          <w:rPr>
            <w:rStyle w:val="Hyperlink"/>
            <w:rFonts w:cs="Arial"/>
            <w:sz w:val="20"/>
            <w:szCs w:val="20"/>
          </w:rPr>
          <w:t>https://doi.org/10.1111/jfs.12378</w:t>
        </w:r>
      </w:hyperlink>
    </w:p>
    <w:p w14:paraId="096A0906" w14:textId="2B8FB922" w:rsidR="00657FDB" w:rsidRPr="006032FF" w:rsidRDefault="00657FDB" w:rsidP="006032FF">
      <w:pPr>
        <w:pStyle w:val="CitaviBibliographyEntry"/>
        <w:spacing w:after="120"/>
        <w:ind w:left="0" w:firstLine="0"/>
        <w:rPr>
          <w:rFonts w:cs="Arial"/>
          <w:sz w:val="20"/>
          <w:szCs w:val="20"/>
        </w:rPr>
      </w:pPr>
      <w:bookmarkStart w:id="611" w:name="_CTVL0019f45b42088074d8aa526b5e4f0a92fa7"/>
      <w:r w:rsidRPr="006032FF">
        <w:rPr>
          <w:rFonts w:cs="Arial"/>
          <w:sz w:val="20"/>
          <w:szCs w:val="20"/>
        </w:rPr>
        <w:t xml:space="preserve">Gómez-López VM, Marin A, Allende A, Beuchat LR, Gil MI (2013) Postharvest handling conditions affect internalization of </w:t>
      </w:r>
      <w:bookmarkEnd w:id="611"/>
      <w:r w:rsidRPr="006032FF">
        <w:rPr>
          <w:rFonts w:cs="Arial"/>
          <w:i/>
          <w:sz w:val="20"/>
          <w:szCs w:val="20"/>
        </w:rPr>
        <w:t xml:space="preserve">Salmonella </w:t>
      </w:r>
      <w:r w:rsidRPr="006032FF">
        <w:rPr>
          <w:rFonts w:cs="Arial"/>
          <w:sz w:val="20"/>
          <w:szCs w:val="20"/>
        </w:rPr>
        <w:t xml:space="preserve">in baby spinach during washing. Journal of Food Protection 76:1145. </w:t>
      </w:r>
      <w:hyperlink r:id="rId164" w:history="1">
        <w:r w:rsidR="00010BAE" w:rsidRPr="006032FF">
          <w:rPr>
            <w:rStyle w:val="Hyperlink"/>
            <w:rFonts w:cs="Arial"/>
            <w:sz w:val="20"/>
            <w:szCs w:val="20"/>
          </w:rPr>
          <w:t>https://doi.org/10.4315/0362-028X.JFP-12-539</w:t>
        </w:r>
      </w:hyperlink>
    </w:p>
    <w:p w14:paraId="46198758" w14:textId="77777777" w:rsidR="00657FDB" w:rsidRPr="006032FF" w:rsidRDefault="00657FDB" w:rsidP="006032FF">
      <w:pPr>
        <w:pStyle w:val="CitaviBibliographyEntry"/>
        <w:spacing w:after="120"/>
        <w:ind w:left="0" w:firstLine="0"/>
        <w:rPr>
          <w:rFonts w:cs="Arial"/>
          <w:sz w:val="20"/>
          <w:szCs w:val="20"/>
        </w:rPr>
      </w:pPr>
      <w:bookmarkStart w:id="612" w:name="_CTVL0012ec8699280c04d46a0f4bc007fb98bdc"/>
      <w:r w:rsidRPr="006032FF">
        <w:rPr>
          <w:rFonts w:cs="Arial"/>
          <w:sz w:val="20"/>
          <w:szCs w:val="20"/>
        </w:rPr>
        <w:t>Gonzalez-Martin C, Teigell-Perez N, Valladares B, Griffin DW (2014) The global dispersion of pathogenic microorganisms by dust storms and its relevance to agriculture. In: Advances in agronomy, vol 127. Elsevier, pp 1–41</w:t>
      </w:r>
    </w:p>
    <w:p w14:paraId="78CF3C2C" w14:textId="0667C18C" w:rsidR="00657FDB" w:rsidRPr="006032FF" w:rsidRDefault="00657FDB" w:rsidP="006032FF">
      <w:pPr>
        <w:pStyle w:val="CitaviBibliographyEntry"/>
        <w:spacing w:after="120"/>
        <w:ind w:left="0" w:firstLine="0"/>
        <w:rPr>
          <w:rFonts w:cs="Arial"/>
          <w:sz w:val="20"/>
          <w:szCs w:val="20"/>
        </w:rPr>
      </w:pPr>
      <w:bookmarkStart w:id="613" w:name="_CTVL001d11f189563424dd9bd16a58e43e91bb3"/>
      <w:bookmarkEnd w:id="612"/>
      <w:r w:rsidRPr="006032FF">
        <w:rPr>
          <w:rFonts w:cs="Arial"/>
          <w:sz w:val="20"/>
          <w:szCs w:val="20"/>
        </w:rPr>
        <w:t xml:space="preserve">Goodburn C, Wallace CA (2013) The microbiological efficacy of decontamination methodologies for fresh produce: A review. Food Control 32:418–427. </w:t>
      </w:r>
      <w:hyperlink r:id="rId165" w:history="1">
        <w:r w:rsidR="00010BAE" w:rsidRPr="006032FF">
          <w:rPr>
            <w:rStyle w:val="Hyperlink"/>
            <w:rFonts w:cs="Arial"/>
            <w:sz w:val="20"/>
            <w:szCs w:val="20"/>
          </w:rPr>
          <w:t>https://doi.org/10.1016/j.foodcont.2012.12.012</w:t>
        </w:r>
      </w:hyperlink>
    </w:p>
    <w:p w14:paraId="087778D9" w14:textId="230A3979" w:rsidR="00657FDB" w:rsidRPr="006032FF" w:rsidRDefault="00657FDB" w:rsidP="006032FF">
      <w:pPr>
        <w:pStyle w:val="CitaviBibliographyEntry"/>
        <w:spacing w:after="120"/>
        <w:ind w:left="0" w:firstLine="0"/>
        <w:rPr>
          <w:rFonts w:cs="Arial"/>
          <w:sz w:val="20"/>
          <w:szCs w:val="20"/>
        </w:rPr>
      </w:pPr>
      <w:bookmarkStart w:id="614" w:name="_CTVL0012cbd8eceb0154f4f851181f7670fa2db"/>
      <w:bookmarkEnd w:id="613"/>
      <w:r w:rsidRPr="006032FF">
        <w:rPr>
          <w:rFonts w:cs="Arial"/>
          <w:sz w:val="20"/>
          <w:szCs w:val="20"/>
        </w:rPr>
        <w:t xml:space="preserve">Gordon DM, Cowling A (2003) The distribution and genetic structure of </w:t>
      </w:r>
      <w:bookmarkEnd w:id="614"/>
      <w:r w:rsidRPr="006032FF">
        <w:rPr>
          <w:rFonts w:cs="Arial"/>
          <w:i/>
          <w:sz w:val="20"/>
          <w:szCs w:val="20"/>
        </w:rPr>
        <w:t xml:space="preserve">Escherichia coli </w:t>
      </w:r>
      <w:r w:rsidRPr="006032FF">
        <w:rPr>
          <w:rFonts w:cs="Arial"/>
          <w:sz w:val="20"/>
          <w:szCs w:val="20"/>
        </w:rPr>
        <w:t xml:space="preserve">in Australian vertebrates: Host and geographic effects. Microbiology 149:3575–3586. </w:t>
      </w:r>
      <w:hyperlink r:id="rId166" w:history="1">
        <w:r w:rsidR="00010BAE" w:rsidRPr="006032FF">
          <w:rPr>
            <w:rStyle w:val="Hyperlink"/>
            <w:rFonts w:cs="Arial"/>
            <w:sz w:val="20"/>
            <w:szCs w:val="20"/>
          </w:rPr>
          <w:t>https://doi.org/10.1099/mic.0.26486-0</w:t>
        </w:r>
      </w:hyperlink>
    </w:p>
    <w:p w14:paraId="0C38DE6C" w14:textId="137AEAF4" w:rsidR="00657FDB" w:rsidRPr="006032FF" w:rsidRDefault="00657FDB" w:rsidP="006032FF">
      <w:pPr>
        <w:pStyle w:val="CitaviBibliographyEntry"/>
        <w:spacing w:after="120"/>
        <w:ind w:left="0" w:firstLine="0"/>
        <w:rPr>
          <w:rFonts w:cs="Arial"/>
          <w:sz w:val="20"/>
          <w:szCs w:val="20"/>
        </w:rPr>
      </w:pPr>
      <w:bookmarkStart w:id="615" w:name="_CTVL001b5f8622f375a4ab0bcb961cb8db0ac43"/>
      <w:r w:rsidRPr="006032FF">
        <w:rPr>
          <w:rFonts w:cs="Arial"/>
          <w:sz w:val="20"/>
          <w:szCs w:val="20"/>
        </w:rPr>
        <w:t xml:space="preserve">Gu G, Luo Z, Cevallos-Cevallos JM, Adams P, Vellidis G, Wright A, van Bruggen AHC (2013) Factors affecting the occurrence of </w:t>
      </w:r>
      <w:bookmarkEnd w:id="615"/>
      <w:r w:rsidRPr="006032FF">
        <w:rPr>
          <w:rFonts w:cs="Arial"/>
          <w:i/>
          <w:sz w:val="20"/>
          <w:szCs w:val="20"/>
        </w:rPr>
        <w:t xml:space="preserve">Escherichia coli </w:t>
      </w:r>
      <w:r w:rsidRPr="006032FF">
        <w:rPr>
          <w:rFonts w:cs="Arial"/>
          <w:sz w:val="20"/>
          <w:szCs w:val="20"/>
        </w:rPr>
        <w:t xml:space="preserve">O157 contamination in irrigation ponds on produce farms in the Suwannee River Watershed. Canadian Journal of Microbiology 59:175–182. </w:t>
      </w:r>
      <w:hyperlink r:id="rId167" w:history="1">
        <w:r w:rsidR="00010BAE" w:rsidRPr="006032FF">
          <w:rPr>
            <w:rStyle w:val="Hyperlink"/>
            <w:rFonts w:cs="Arial"/>
            <w:sz w:val="20"/>
            <w:szCs w:val="20"/>
          </w:rPr>
          <w:t>https://doi.org/10.1139/cjm-2012-0599</w:t>
        </w:r>
      </w:hyperlink>
    </w:p>
    <w:p w14:paraId="21FE0DF2" w14:textId="027C8648" w:rsidR="00657FDB" w:rsidRPr="006032FF" w:rsidRDefault="00657FDB" w:rsidP="006032FF">
      <w:pPr>
        <w:pStyle w:val="CitaviBibliographyEntry"/>
        <w:spacing w:after="120"/>
        <w:ind w:left="0" w:firstLine="0"/>
        <w:rPr>
          <w:rFonts w:cs="Arial"/>
          <w:sz w:val="20"/>
          <w:szCs w:val="20"/>
        </w:rPr>
      </w:pPr>
      <w:bookmarkStart w:id="616" w:name="_CTVL001dd7d4093381d485fa7332dc09aaeec10"/>
      <w:r w:rsidRPr="006032FF">
        <w:rPr>
          <w:rFonts w:cs="Arial"/>
          <w:sz w:val="20"/>
          <w:szCs w:val="20"/>
        </w:rPr>
        <w:t xml:space="preserve">Guévremont E, Lamoureux L, Généreux M, Côté C (2017) Irrigation water sources and time intervals as variables on the presence of </w:t>
      </w:r>
      <w:bookmarkEnd w:id="616"/>
      <w:r w:rsidRPr="006032FF">
        <w:rPr>
          <w:rFonts w:cs="Arial"/>
          <w:i/>
          <w:sz w:val="20"/>
          <w:szCs w:val="20"/>
        </w:rPr>
        <w:t xml:space="preserve">Campylobacter </w:t>
      </w:r>
      <w:r w:rsidRPr="006032FF">
        <w:rPr>
          <w:rFonts w:cs="Arial"/>
          <w:sz w:val="20"/>
          <w:szCs w:val="20"/>
        </w:rPr>
        <w:t xml:space="preserve">spp. and </w:t>
      </w:r>
      <w:r w:rsidRPr="006032FF">
        <w:rPr>
          <w:rFonts w:cs="Arial"/>
          <w:i/>
          <w:sz w:val="20"/>
          <w:szCs w:val="20"/>
        </w:rPr>
        <w:t xml:space="preserve">Listeria monocytogenes </w:t>
      </w:r>
      <w:r w:rsidRPr="006032FF">
        <w:rPr>
          <w:rFonts w:cs="Arial"/>
          <w:sz w:val="20"/>
          <w:szCs w:val="20"/>
        </w:rPr>
        <w:t xml:space="preserve">on romaine lettuce grown in muck soil. Journal of Food Protection 80:1182–1187. </w:t>
      </w:r>
      <w:hyperlink r:id="rId168" w:history="1">
        <w:r w:rsidR="00010BAE" w:rsidRPr="006032FF">
          <w:rPr>
            <w:rStyle w:val="Hyperlink"/>
            <w:rFonts w:cs="Arial"/>
            <w:sz w:val="20"/>
            <w:szCs w:val="20"/>
          </w:rPr>
          <w:t>https://doi.org/10.4315/0362-028X.JFP-16-551</w:t>
        </w:r>
      </w:hyperlink>
    </w:p>
    <w:p w14:paraId="5FA89985" w14:textId="654F37BD" w:rsidR="00657FDB" w:rsidRPr="006032FF" w:rsidRDefault="00657FDB" w:rsidP="006032FF">
      <w:pPr>
        <w:pStyle w:val="CitaviBibliographyEntry"/>
        <w:spacing w:after="120"/>
        <w:ind w:left="0" w:firstLine="0"/>
        <w:rPr>
          <w:rFonts w:cs="Arial"/>
          <w:sz w:val="20"/>
          <w:szCs w:val="20"/>
        </w:rPr>
      </w:pPr>
      <w:bookmarkStart w:id="617" w:name="_CTVL001c2d0dc38c8114b1db32fbe9a3710d9d3"/>
      <w:r w:rsidRPr="006032FF">
        <w:rPr>
          <w:rFonts w:cs="Arial"/>
          <w:sz w:val="20"/>
          <w:szCs w:val="20"/>
        </w:rPr>
        <w:t xml:space="preserve">Gurtler JB (2017) Pathogen decontamination of food crop soil: A review. Journal of Food Protection 80:1461–1470. </w:t>
      </w:r>
      <w:hyperlink r:id="rId169" w:history="1">
        <w:r w:rsidR="00010BAE" w:rsidRPr="006032FF">
          <w:rPr>
            <w:rStyle w:val="Hyperlink"/>
            <w:rFonts w:cs="Arial"/>
            <w:sz w:val="20"/>
            <w:szCs w:val="20"/>
          </w:rPr>
          <w:t>https://doi.org/10.4315/0362-028X.JFP-17-040</w:t>
        </w:r>
      </w:hyperlink>
    </w:p>
    <w:p w14:paraId="4C499A3B" w14:textId="069B994D" w:rsidR="00657FDB" w:rsidRPr="006032FF" w:rsidRDefault="00657FDB" w:rsidP="006032FF">
      <w:pPr>
        <w:pStyle w:val="CitaviBibliographyEntry"/>
        <w:spacing w:after="120"/>
        <w:ind w:left="0" w:firstLine="0"/>
        <w:rPr>
          <w:rFonts w:cs="Arial"/>
          <w:sz w:val="20"/>
          <w:szCs w:val="20"/>
        </w:rPr>
      </w:pPr>
      <w:bookmarkStart w:id="618" w:name="_CTVL001a57eb6fe5a88475983b7c7d49338f199"/>
      <w:bookmarkEnd w:id="617"/>
      <w:r w:rsidRPr="006032FF">
        <w:rPr>
          <w:rFonts w:cs="Arial"/>
          <w:sz w:val="20"/>
          <w:szCs w:val="20"/>
        </w:rPr>
        <w:t xml:space="preserve">Gurtler JB, Boateng AA, Han Y, Douds Jr DD (2014) Inactivation of </w:t>
      </w:r>
      <w:bookmarkEnd w:id="618"/>
      <w:r w:rsidRPr="006032FF">
        <w:rPr>
          <w:rFonts w:cs="Arial"/>
          <w:i/>
          <w:sz w:val="20"/>
          <w:szCs w:val="20"/>
        </w:rPr>
        <w:t>E. coli</w:t>
      </w:r>
      <w:r w:rsidRPr="006032FF">
        <w:rPr>
          <w:rFonts w:cs="Arial"/>
          <w:sz w:val="20"/>
          <w:szCs w:val="20"/>
        </w:rPr>
        <w:t xml:space="preserve"> O157:H7 in cultivable soil by fast and slow pyrolysis-generated biochar. Foodborne Pathogens and Disease 11:215–223. </w:t>
      </w:r>
      <w:hyperlink r:id="rId170" w:history="1">
        <w:r w:rsidR="00010BAE" w:rsidRPr="006032FF">
          <w:rPr>
            <w:rStyle w:val="Hyperlink"/>
            <w:rFonts w:cs="Arial"/>
            <w:sz w:val="20"/>
            <w:szCs w:val="20"/>
          </w:rPr>
          <w:t>https://doi.org/10.1089/fpd.2013.1631</w:t>
        </w:r>
      </w:hyperlink>
    </w:p>
    <w:p w14:paraId="6BE91914" w14:textId="4E2D562D" w:rsidR="00657FDB" w:rsidRPr="006032FF" w:rsidRDefault="00657FDB" w:rsidP="006032FF">
      <w:pPr>
        <w:pStyle w:val="CitaviBibliographyEntry"/>
        <w:spacing w:after="120"/>
        <w:ind w:left="0" w:firstLine="0"/>
        <w:rPr>
          <w:rFonts w:cs="Arial"/>
          <w:sz w:val="20"/>
          <w:szCs w:val="20"/>
        </w:rPr>
      </w:pPr>
      <w:bookmarkStart w:id="619" w:name="_CTVL001f1fd26aff2da44f7bb2e534f10a35a47"/>
      <w:r w:rsidRPr="006032FF">
        <w:rPr>
          <w:rFonts w:cs="Arial"/>
          <w:sz w:val="20"/>
          <w:szCs w:val="20"/>
        </w:rPr>
        <w:t xml:space="preserve">Gutierrez-Rodriguez E, Adhikari A (2018) Preharvest farming practices impacting fresh produce safety. Microbiology Spectrum 6:PFS-022-2018. </w:t>
      </w:r>
      <w:hyperlink r:id="rId171" w:history="1">
        <w:r w:rsidR="00010BAE" w:rsidRPr="006032FF">
          <w:rPr>
            <w:rStyle w:val="Hyperlink"/>
            <w:rFonts w:cs="Arial"/>
            <w:sz w:val="20"/>
            <w:szCs w:val="20"/>
          </w:rPr>
          <w:t>https://doi.org/10.1128/microbiolspec.PFS-0022-2018</w:t>
        </w:r>
      </w:hyperlink>
    </w:p>
    <w:p w14:paraId="64CA84C2" w14:textId="16958A1F" w:rsidR="00657FDB" w:rsidRPr="006032FF" w:rsidRDefault="00657FDB" w:rsidP="006032FF">
      <w:pPr>
        <w:pStyle w:val="CitaviBibliographyEntry"/>
        <w:spacing w:after="120"/>
        <w:ind w:left="0" w:firstLine="0"/>
        <w:rPr>
          <w:rFonts w:cs="Arial"/>
          <w:sz w:val="20"/>
          <w:szCs w:val="20"/>
        </w:rPr>
      </w:pPr>
      <w:bookmarkStart w:id="620" w:name="_CTVL001899409078c6f44ab9adebb3f21e57fe5"/>
      <w:bookmarkEnd w:id="619"/>
      <w:r w:rsidRPr="006032FF">
        <w:rPr>
          <w:rFonts w:cs="Arial"/>
          <w:sz w:val="20"/>
          <w:szCs w:val="20"/>
        </w:rPr>
        <w:t xml:space="preserve">Habteselassie MY, Bischoff M, Applegate B, Reuhs B, Turco RF (2010) Understanding the role of agricultural practices in the potential colonization and contamination by </w:t>
      </w:r>
      <w:bookmarkEnd w:id="620"/>
      <w:r w:rsidRPr="006032FF">
        <w:rPr>
          <w:rFonts w:cs="Arial"/>
          <w:i/>
          <w:sz w:val="20"/>
          <w:szCs w:val="20"/>
        </w:rPr>
        <w:t xml:space="preserve">Escherichia coli </w:t>
      </w:r>
      <w:r w:rsidRPr="006032FF">
        <w:rPr>
          <w:rFonts w:cs="Arial"/>
          <w:sz w:val="20"/>
          <w:szCs w:val="20"/>
        </w:rPr>
        <w:t xml:space="preserve">in the rhizospheres of fresh produce. Journal of Food Protection 73:2001–2009. </w:t>
      </w:r>
      <w:hyperlink r:id="rId172" w:history="1">
        <w:r w:rsidR="00010BAE" w:rsidRPr="006032FF">
          <w:rPr>
            <w:rStyle w:val="Hyperlink"/>
            <w:rFonts w:cs="Arial"/>
            <w:sz w:val="20"/>
            <w:szCs w:val="20"/>
          </w:rPr>
          <w:t>https://doi.org/10.4315/0362-028X-73.11.2001</w:t>
        </w:r>
      </w:hyperlink>
    </w:p>
    <w:p w14:paraId="5A056225" w14:textId="77777777" w:rsidR="009155E4" w:rsidRDefault="009155E4">
      <w:pPr>
        <w:widowControl/>
        <w:rPr>
          <w:rFonts w:cs="Arial"/>
          <w:color w:val="000000" w:themeColor="text1"/>
          <w:sz w:val="20"/>
          <w:szCs w:val="20"/>
        </w:rPr>
      </w:pPr>
      <w:bookmarkStart w:id="621" w:name="_CTVL001748aa85163a54773a3887f2d8ff3d8d3"/>
      <w:r>
        <w:rPr>
          <w:rFonts w:cs="Arial"/>
          <w:sz w:val="20"/>
          <w:szCs w:val="20"/>
        </w:rPr>
        <w:br w:type="page"/>
      </w:r>
    </w:p>
    <w:p w14:paraId="2C58C3DC" w14:textId="39284C56"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Hall AJ, Wikswo ME, Pringle K, Gould H, Parashar UD (2014) Vital signs: Foodborne norovirus outbreaks - United States, 2009-2012. Morbidity and Mortality Weekly Report 63:491–495</w:t>
      </w:r>
    </w:p>
    <w:p w14:paraId="5C3CF54A" w14:textId="7A10FB4B" w:rsidR="00657FDB" w:rsidRPr="006032FF" w:rsidRDefault="00657FDB" w:rsidP="006032FF">
      <w:pPr>
        <w:pStyle w:val="CitaviBibliographyEntry"/>
        <w:spacing w:after="120"/>
        <w:ind w:left="0" w:firstLine="0"/>
        <w:rPr>
          <w:rFonts w:cs="Arial"/>
          <w:sz w:val="20"/>
          <w:szCs w:val="20"/>
        </w:rPr>
      </w:pPr>
      <w:bookmarkStart w:id="622" w:name="_CTVL001f81a31ff7b8e49f797f784381abc0272"/>
      <w:bookmarkEnd w:id="621"/>
      <w:r w:rsidRPr="006032FF">
        <w:rPr>
          <w:rFonts w:cs="Arial"/>
          <w:sz w:val="20"/>
          <w:szCs w:val="20"/>
        </w:rPr>
        <w:t>Heredia N, Caballero C, Cárdenas C, Molina K, García R, Solís L, Bur</w:t>
      </w:r>
      <w:r w:rsidR="0057637C">
        <w:rPr>
          <w:rFonts w:cs="Arial"/>
          <w:sz w:val="20"/>
          <w:szCs w:val="20"/>
        </w:rPr>
        <w:t>rowes V, Bartz FE, Aceituno AF </w:t>
      </w:r>
      <w:r w:rsidRPr="006032FF">
        <w:rPr>
          <w:rFonts w:cs="Arial"/>
          <w:sz w:val="20"/>
          <w:szCs w:val="20"/>
        </w:rPr>
        <w:t xml:space="preserve">de, Jaykus L-A, García S, Leon J (2016) Microbial indicator profiling of fresh produce and environmental samples from farms and packing facilities in northern Mexico. Journal of Food Protection 79:1197–1209. </w:t>
      </w:r>
      <w:hyperlink r:id="rId173" w:history="1">
        <w:r w:rsidR="00010BAE" w:rsidRPr="006032FF">
          <w:rPr>
            <w:rStyle w:val="Hyperlink"/>
            <w:rFonts w:cs="Arial"/>
            <w:sz w:val="20"/>
            <w:szCs w:val="20"/>
          </w:rPr>
          <w:t>https://doi.org/10.4315/0362-028X.JFP-15-499</w:t>
        </w:r>
      </w:hyperlink>
    </w:p>
    <w:p w14:paraId="64D8B7C4" w14:textId="7DDF11AD" w:rsidR="00657FDB" w:rsidRPr="006032FF" w:rsidRDefault="00657FDB" w:rsidP="006032FF">
      <w:pPr>
        <w:pStyle w:val="CitaviBibliographyEntry"/>
        <w:spacing w:after="120"/>
        <w:ind w:left="0" w:firstLine="0"/>
        <w:rPr>
          <w:rFonts w:cs="Arial"/>
          <w:sz w:val="20"/>
          <w:szCs w:val="20"/>
        </w:rPr>
      </w:pPr>
      <w:bookmarkStart w:id="623" w:name="_CTVL001edc9e1da44604fcba3734ddf25bac89a"/>
      <w:bookmarkEnd w:id="622"/>
      <w:r w:rsidRPr="006032FF">
        <w:rPr>
          <w:rFonts w:cs="Arial"/>
          <w:sz w:val="20"/>
          <w:szCs w:val="20"/>
        </w:rPr>
        <w:t xml:space="preserve">Hoar BR, Atwill ER, Carlton L, Celis J, Carabez J, Nguyen T (2013) Buffers between grazing sheep and leafy crops augment food safety. California Agriculture 67:104–109. </w:t>
      </w:r>
      <w:hyperlink r:id="rId174" w:history="1">
        <w:r w:rsidR="00010BAE" w:rsidRPr="006032FF">
          <w:rPr>
            <w:rStyle w:val="Hyperlink"/>
            <w:rFonts w:cs="Arial"/>
            <w:sz w:val="20"/>
            <w:szCs w:val="20"/>
          </w:rPr>
          <w:t>https://doi.org/10.3733/ca.v067n02p104</w:t>
        </w:r>
      </w:hyperlink>
    </w:p>
    <w:p w14:paraId="6B40B111" w14:textId="05FEDAA3" w:rsidR="00657FDB" w:rsidRPr="006032FF" w:rsidRDefault="00657FDB" w:rsidP="006032FF">
      <w:pPr>
        <w:pStyle w:val="CitaviBibliographyEntry"/>
        <w:spacing w:after="120"/>
        <w:ind w:left="0" w:firstLine="0"/>
        <w:rPr>
          <w:rFonts w:cs="Arial"/>
          <w:sz w:val="20"/>
          <w:szCs w:val="20"/>
        </w:rPr>
      </w:pPr>
      <w:bookmarkStart w:id="624" w:name="_CTVL0013b71534cef6d41778a59f05b32faca19"/>
      <w:bookmarkEnd w:id="623"/>
      <w:r w:rsidRPr="006032FF">
        <w:rPr>
          <w:rFonts w:cs="Arial"/>
          <w:sz w:val="20"/>
          <w:szCs w:val="20"/>
        </w:rPr>
        <w:t xml:space="preserve">Holvoet K, Jacxsens L, Sampers I, Uyttendaele M (2012) Insight into the prevalence and distribution of microbial contamination to evaluate water management in the fresh produce processing industry. Journal of Food Protection 75:671–681. </w:t>
      </w:r>
      <w:hyperlink r:id="rId175" w:history="1">
        <w:r w:rsidR="00010BAE" w:rsidRPr="006032FF">
          <w:rPr>
            <w:rStyle w:val="Hyperlink"/>
            <w:rFonts w:cs="Arial"/>
            <w:sz w:val="20"/>
            <w:szCs w:val="20"/>
          </w:rPr>
          <w:t>https://doi.org/10.4315/0362-028X.JFP-11-175</w:t>
        </w:r>
      </w:hyperlink>
    </w:p>
    <w:p w14:paraId="5CA67EC6" w14:textId="69251562" w:rsidR="00657FDB" w:rsidRPr="006032FF" w:rsidRDefault="00657FDB" w:rsidP="006032FF">
      <w:pPr>
        <w:pStyle w:val="CitaviBibliographyEntry"/>
        <w:spacing w:after="120"/>
        <w:ind w:left="0" w:firstLine="0"/>
        <w:rPr>
          <w:rFonts w:cs="Arial"/>
          <w:sz w:val="20"/>
          <w:szCs w:val="20"/>
        </w:rPr>
      </w:pPr>
      <w:bookmarkStart w:id="625" w:name="_CTVL0012060bae38f104d8680e4bd74216fc634"/>
      <w:bookmarkEnd w:id="624"/>
      <w:r w:rsidRPr="006032FF">
        <w:rPr>
          <w:rFonts w:cs="Arial"/>
          <w:sz w:val="20"/>
          <w:szCs w:val="20"/>
        </w:rPr>
        <w:t xml:space="preserve">Holvoet K, Sampers I, Seynnaeve M, Jacxsens L, Uyttendaele M (2014a) Agricultural and management practices and bacterial contamination in greenhouse versus open field lettuce production. International Journal of Environmental Research and Public Health 12:32–63. </w:t>
      </w:r>
      <w:hyperlink r:id="rId176" w:history="1">
        <w:r w:rsidR="00010BAE" w:rsidRPr="006032FF">
          <w:rPr>
            <w:rStyle w:val="Hyperlink"/>
            <w:rFonts w:cs="Arial"/>
            <w:sz w:val="20"/>
            <w:szCs w:val="20"/>
          </w:rPr>
          <w:t>https://doi.org/10.3390/ijerph120100032</w:t>
        </w:r>
      </w:hyperlink>
    </w:p>
    <w:p w14:paraId="46F85376" w14:textId="14AF094E" w:rsidR="00657FDB" w:rsidRPr="006032FF" w:rsidRDefault="00657FDB" w:rsidP="006032FF">
      <w:pPr>
        <w:pStyle w:val="CitaviBibliographyEntry"/>
        <w:spacing w:after="120"/>
        <w:ind w:left="0" w:firstLine="0"/>
        <w:rPr>
          <w:rFonts w:cs="Arial"/>
          <w:sz w:val="20"/>
          <w:szCs w:val="20"/>
        </w:rPr>
      </w:pPr>
      <w:bookmarkStart w:id="626" w:name="_CTVL001e9587c36202e4b8c89b527c04a1d7e6a"/>
      <w:bookmarkEnd w:id="625"/>
      <w:r w:rsidRPr="006032FF">
        <w:rPr>
          <w:rFonts w:cs="Arial"/>
          <w:sz w:val="20"/>
          <w:szCs w:val="20"/>
        </w:rPr>
        <w:t xml:space="preserve">Holvoet K, Sampers I, Seynnaeve M, Uyttendaele M (2014b) Relationships among hygiene indicators and enteric pathogens in irrigation water, soil and lettuce and the impact of climatic conditions on contamination in the lettuce primary production. International Journal of Food Microbiology 171:21–31. </w:t>
      </w:r>
      <w:hyperlink r:id="rId177" w:history="1">
        <w:r w:rsidR="00010BAE" w:rsidRPr="006032FF">
          <w:rPr>
            <w:rStyle w:val="Hyperlink"/>
            <w:rFonts w:cs="Arial"/>
            <w:sz w:val="20"/>
            <w:szCs w:val="20"/>
          </w:rPr>
          <w:t>https://doi.org/10.1016/j.ijfoodmicro.2013.11.009</w:t>
        </w:r>
      </w:hyperlink>
    </w:p>
    <w:p w14:paraId="67CD1753" w14:textId="796B98F1" w:rsidR="00657FDB" w:rsidRPr="006032FF" w:rsidRDefault="00657FDB" w:rsidP="006032FF">
      <w:pPr>
        <w:pStyle w:val="CitaviBibliographyEntry"/>
        <w:spacing w:after="120"/>
        <w:ind w:left="0" w:firstLine="0"/>
        <w:rPr>
          <w:rFonts w:cs="Arial"/>
          <w:sz w:val="20"/>
          <w:szCs w:val="20"/>
        </w:rPr>
      </w:pPr>
      <w:bookmarkStart w:id="627" w:name="_CTVL0017b7fddd193d5451eab9ccf6b47613c80"/>
      <w:bookmarkEnd w:id="626"/>
      <w:r w:rsidRPr="006032FF">
        <w:rPr>
          <w:rFonts w:cs="Arial"/>
          <w:sz w:val="20"/>
          <w:szCs w:val="20"/>
        </w:rPr>
        <w:t xml:space="preserve">Honjoh KI, Mishima T, Kido N, Shimamoto M, Miyamoto T (2014) Investigation of routes of </w:t>
      </w:r>
      <w:bookmarkEnd w:id="627"/>
      <w:r w:rsidRPr="006032FF">
        <w:rPr>
          <w:rFonts w:cs="Arial"/>
          <w:i/>
          <w:sz w:val="20"/>
          <w:szCs w:val="20"/>
        </w:rPr>
        <w:t xml:space="preserve">Salmonella </w:t>
      </w:r>
      <w:r w:rsidRPr="006032FF">
        <w:rPr>
          <w:rFonts w:cs="Arial"/>
          <w:sz w:val="20"/>
          <w:szCs w:val="20"/>
        </w:rPr>
        <w:t xml:space="preserve">contamination via soils and the use of mulch for contamination control during lettuce cultivation. Food Science and Technology Research 20:961–969. </w:t>
      </w:r>
      <w:hyperlink r:id="rId178" w:history="1">
        <w:r w:rsidR="00010BAE" w:rsidRPr="006032FF">
          <w:rPr>
            <w:rStyle w:val="Hyperlink"/>
            <w:rFonts w:cs="Arial"/>
            <w:sz w:val="20"/>
            <w:szCs w:val="20"/>
          </w:rPr>
          <w:t>https://doi.org/10.3136/fstr.20.961</w:t>
        </w:r>
      </w:hyperlink>
    </w:p>
    <w:p w14:paraId="6A86205D" w14:textId="092E7621" w:rsidR="00657FDB" w:rsidRPr="006032FF" w:rsidRDefault="00657FDB" w:rsidP="006032FF">
      <w:pPr>
        <w:pStyle w:val="CitaviBibliographyEntry"/>
        <w:spacing w:after="120"/>
        <w:ind w:left="0" w:firstLine="0"/>
        <w:rPr>
          <w:rFonts w:cs="Arial"/>
          <w:sz w:val="20"/>
          <w:szCs w:val="20"/>
        </w:rPr>
      </w:pPr>
      <w:bookmarkStart w:id="628" w:name="_CTVL001c2f3c566379242fe850090442efd69cf"/>
      <w:r w:rsidRPr="006032FF">
        <w:rPr>
          <w:rFonts w:cs="Arial"/>
          <w:sz w:val="20"/>
          <w:szCs w:val="20"/>
        </w:rPr>
        <w:t xml:space="preserve">Honjoh KI, Lin Y, Jo K, Iwaizako Y, Maeda M, Kijima N, Miyamoto T (2018) Possible contamination routes of </w:t>
      </w:r>
      <w:bookmarkEnd w:id="628"/>
      <w:r w:rsidRPr="006032FF">
        <w:rPr>
          <w:rFonts w:cs="Arial"/>
          <w:i/>
          <w:sz w:val="20"/>
          <w:szCs w:val="20"/>
        </w:rPr>
        <w:t xml:space="preserve">Listeria monocytogenes </w:t>
      </w:r>
      <w:r w:rsidRPr="006032FF">
        <w:rPr>
          <w:rFonts w:cs="Arial"/>
          <w:sz w:val="20"/>
          <w:szCs w:val="20"/>
        </w:rPr>
        <w:t xml:space="preserve">in leaf lettuce during cultivation. Food Science and Technology Research 24:911–920. </w:t>
      </w:r>
      <w:hyperlink r:id="rId179" w:history="1">
        <w:r w:rsidR="00010BAE" w:rsidRPr="006032FF">
          <w:rPr>
            <w:rStyle w:val="Hyperlink"/>
            <w:rFonts w:cs="Arial"/>
            <w:sz w:val="20"/>
            <w:szCs w:val="20"/>
          </w:rPr>
          <w:t>https://doi.org/10.3136/fstr.24.911</w:t>
        </w:r>
      </w:hyperlink>
    </w:p>
    <w:p w14:paraId="05D0AC61" w14:textId="0D244A24" w:rsidR="00657FDB" w:rsidRPr="006032FF" w:rsidRDefault="00657FDB" w:rsidP="006032FF">
      <w:pPr>
        <w:pStyle w:val="CitaviBibliographyEntry"/>
        <w:spacing w:after="120"/>
        <w:ind w:left="0" w:firstLine="0"/>
        <w:rPr>
          <w:rFonts w:cs="Arial"/>
          <w:sz w:val="20"/>
          <w:szCs w:val="20"/>
        </w:rPr>
      </w:pPr>
      <w:bookmarkStart w:id="629" w:name="_CTVL001cc0ed3840fe54131856579d9dc028f8b"/>
      <w:r w:rsidRPr="006032FF">
        <w:rPr>
          <w:rFonts w:cs="Arial"/>
          <w:sz w:val="20"/>
          <w:szCs w:val="20"/>
        </w:rPr>
        <w:t xml:space="preserve">Hort Innovation (2018) Melon strategic investment plan 2018-2021. Horticulture Innovation Australia, Sydney. </w:t>
      </w:r>
      <w:hyperlink r:id="rId180" w:history="1">
        <w:r w:rsidR="00010BAE" w:rsidRPr="006032FF">
          <w:rPr>
            <w:rStyle w:val="Hyperlink"/>
            <w:rFonts w:cs="Arial"/>
            <w:sz w:val="20"/>
            <w:szCs w:val="20"/>
          </w:rPr>
          <w:t>https://www.horticulture.com.au/globalassets/hort-innovation/levy-fund-financial-and-management-documents/sip-pdfs-new/hortinnovation-sip-melon-2018-2021.pdf</w:t>
        </w:r>
      </w:hyperlink>
      <w:r w:rsidRPr="006032FF">
        <w:rPr>
          <w:rFonts w:cs="Arial"/>
          <w:sz w:val="20"/>
          <w:szCs w:val="20"/>
        </w:rPr>
        <w:t>. Accessed 8 August 2019</w:t>
      </w:r>
    </w:p>
    <w:p w14:paraId="054610BF" w14:textId="3A066774" w:rsidR="00657FDB" w:rsidRPr="006032FF" w:rsidRDefault="00657FDB" w:rsidP="006032FF">
      <w:pPr>
        <w:pStyle w:val="CitaviBibliographyEntry"/>
        <w:spacing w:after="120"/>
        <w:ind w:left="0" w:firstLine="0"/>
        <w:rPr>
          <w:rFonts w:cs="Arial"/>
          <w:sz w:val="20"/>
          <w:szCs w:val="20"/>
        </w:rPr>
      </w:pPr>
      <w:bookmarkStart w:id="630" w:name="_CTVL0019357ca04e64744db889e5c31dc201e0e"/>
      <w:bookmarkEnd w:id="629"/>
      <w:r w:rsidRPr="006032FF">
        <w:rPr>
          <w:rFonts w:cs="Arial"/>
          <w:sz w:val="20"/>
          <w:szCs w:val="20"/>
        </w:rPr>
        <w:t xml:space="preserve">Hort Innovation (2019a) Australia strawberry good practice guide. Australian Strawberry Industry Development Program. </w:t>
      </w:r>
      <w:hyperlink r:id="rId181" w:history="1">
        <w:r w:rsidR="00010BAE" w:rsidRPr="006032FF">
          <w:rPr>
            <w:rStyle w:val="Hyperlink"/>
            <w:rFonts w:cs="Arial"/>
            <w:sz w:val="20"/>
            <w:szCs w:val="20"/>
          </w:rPr>
          <w:t>https://www.horticulture.com.au/globalassets/hort-innovation/resource-assets/bs15002-strawberry-good-practice-guide.pdf</w:t>
        </w:r>
      </w:hyperlink>
      <w:r w:rsidRPr="006032FF">
        <w:rPr>
          <w:rFonts w:cs="Arial"/>
          <w:sz w:val="20"/>
          <w:szCs w:val="20"/>
        </w:rPr>
        <w:t>. Accessed 17 August 2020</w:t>
      </w:r>
    </w:p>
    <w:p w14:paraId="1785DED3" w14:textId="77777777" w:rsidR="00657FDB" w:rsidRPr="006032FF" w:rsidRDefault="00657FDB" w:rsidP="006032FF">
      <w:pPr>
        <w:pStyle w:val="CitaviBibliographyEntry"/>
        <w:spacing w:after="120"/>
        <w:ind w:left="0" w:firstLine="0"/>
        <w:rPr>
          <w:rFonts w:cs="Arial"/>
          <w:sz w:val="20"/>
          <w:szCs w:val="20"/>
        </w:rPr>
      </w:pPr>
      <w:bookmarkStart w:id="631" w:name="_CTVL00196abc3cc9ba648499149457ad2cd8365"/>
      <w:bookmarkEnd w:id="630"/>
      <w:r w:rsidRPr="006032FF">
        <w:rPr>
          <w:rFonts w:cs="Arial"/>
          <w:sz w:val="20"/>
          <w:szCs w:val="20"/>
        </w:rPr>
        <w:t>Hort Innovation (2019b) Australian horticulture statistics handbook: Fruit 2017/18. Horticulture Innovation Australia, Sydney</w:t>
      </w:r>
    </w:p>
    <w:p w14:paraId="001D955F" w14:textId="77777777" w:rsidR="00657FDB" w:rsidRPr="006032FF" w:rsidRDefault="00657FDB" w:rsidP="006032FF">
      <w:pPr>
        <w:pStyle w:val="CitaviBibliographyEntry"/>
        <w:spacing w:after="120"/>
        <w:ind w:left="0" w:firstLine="0"/>
        <w:rPr>
          <w:rFonts w:cs="Arial"/>
          <w:sz w:val="20"/>
          <w:szCs w:val="20"/>
        </w:rPr>
      </w:pPr>
      <w:bookmarkStart w:id="632" w:name="_CTVL001ce5e407393624b1ab2816332ae8a5af7"/>
      <w:bookmarkEnd w:id="631"/>
      <w:r w:rsidRPr="006032FF">
        <w:rPr>
          <w:rFonts w:cs="Arial"/>
          <w:sz w:val="20"/>
          <w:szCs w:val="20"/>
        </w:rPr>
        <w:t>Hort Innovation (2019c) Australian horticulture statistics handbook: Vegetables 2017/18. Horticulture Innovation Australia, Sydney</w:t>
      </w:r>
    </w:p>
    <w:p w14:paraId="4FEB06B6" w14:textId="4753EEC7" w:rsidR="00657FDB" w:rsidRPr="006032FF" w:rsidRDefault="00657FDB" w:rsidP="006032FF">
      <w:pPr>
        <w:pStyle w:val="CitaviBibliographyEntry"/>
        <w:spacing w:after="120"/>
        <w:ind w:left="0" w:firstLine="0"/>
        <w:rPr>
          <w:rFonts w:cs="Arial"/>
          <w:sz w:val="20"/>
          <w:szCs w:val="20"/>
        </w:rPr>
      </w:pPr>
      <w:bookmarkStart w:id="633" w:name="_CTVL001f25cf423ba24429c8835fc9bcd38ddf5"/>
      <w:bookmarkEnd w:id="632"/>
      <w:r w:rsidRPr="006032FF">
        <w:rPr>
          <w:rFonts w:cs="Arial"/>
          <w:sz w:val="20"/>
          <w:szCs w:val="20"/>
        </w:rPr>
        <w:t xml:space="preserve">Howard MB, Hutcheson SW (2003) Growth dynamics of </w:t>
      </w:r>
      <w:bookmarkEnd w:id="633"/>
      <w:r w:rsidRPr="006032FF">
        <w:rPr>
          <w:rFonts w:cs="Arial"/>
          <w:i/>
          <w:sz w:val="20"/>
          <w:szCs w:val="20"/>
        </w:rPr>
        <w:t xml:space="preserve">Salmonella enterica </w:t>
      </w:r>
      <w:r w:rsidRPr="006032FF">
        <w:rPr>
          <w:rFonts w:cs="Arial"/>
          <w:sz w:val="20"/>
          <w:szCs w:val="20"/>
        </w:rPr>
        <w:t xml:space="preserve">strains on alfalfa sprouts and in waste seed irrigation water. Applied and Environmental Microbiology 69:548–553. </w:t>
      </w:r>
      <w:hyperlink r:id="rId182" w:history="1">
        <w:r w:rsidR="00010BAE" w:rsidRPr="006032FF">
          <w:rPr>
            <w:rStyle w:val="Hyperlink"/>
            <w:rFonts w:cs="Arial"/>
            <w:sz w:val="20"/>
            <w:szCs w:val="20"/>
          </w:rPr>
          <w:t>https://doi.org/10.1128/aem.69.1.548-553.2003</w:t>
        </w:r>
      </w:hyperlink>
    </w:p>
    <w:p w14:paraId="66F8B714" w14:textId="4D549705" w:rsidR="00657FDB" w:rsidRPr="006032FF" w:rsidRDefault="00657FDB" w:rsidP="006032FF">
      <w:pPr>
        <w:pStyle w:val="CitaviBibliographyEntry"/>
        <w:spacing w:after="120"/>
        <w:ind w:left="0" w:firstLine="0"/>
        <w:rPr>
          <w:rFonts w:cs="Arial"/>
          <w:sz w:val="20"/>
          <w:szCs w:val="20"/>
        </w:rPr>
      </w:pPr>
      <w:bookmarkStart w:id="634" w:name="_CTVL00152ee398fba9c447aa7a8ed0ddf1fd33d"/>
      <w:r w:rsidRPr="006032FF">
        <w:rPr>
          <w:rFonts w:cs="Arial"/>
          <w:sz w:val="20"/>
          <w:szCs w:val="20"/>
        </w:rPr>
        <w:t xml:space="preserve">Hsu W-Y, Simonne A, Jitareerat P (2006) Fates of seeded </w:t>
      </w:r>
      <w:bookmarkEnd w:id="634"/>
      <w:r w:rsidRPr="006032FF">
        <w:rPr>
          <w:rFonts w:cs="Arial"/>
          <w:i/>
          <w:sz w:val="20"/>
          <w:szCs w:val="20"/>
        </w:rPr>
        <w:t xml:space="preserve">Escherichia coli </w:t>
      </w:r>
      <w:r w:rsidRPr="006032FF">
        <w:rPr>
          <w:rFonts w:cs="Arial"/>
          <w:sz w:val="20"/>
          <w:szCs w:val="20"/>
        </w:rPr>
        <w:t xml:space="preserve">O157:H7 and </w:t>
      </w:r>
      <w:r w:rsidRPr="0057637C">
        <w:rPr>
          <w:rFonts w:cs="Arial"/>
          <w:i/>
          <w:sz w:val="20"/>
          <w:szCs w:val="20"/>
        </w:rPr>
        <w:t>Salmonella</w:t>
      </w:r>
      <w:r w:rsidRPr="006032FF">
        <w:rPr>
          <w:rFonts w:cs="Arial"/>
          <w:sz w:val="20"/>
          <w:szCs w:val="20"/>
        </w:rPr>
        <w:t xml:space="preserve"> on selected fresh culinary herbs during refrigerated storage. Journal of Food Protection 69:1997–2001. </w:t>
      </w:r>
      <w:hyperlink r:id="rId183" w:history="1">
        <w:r w:rsidR="00010BAE" w:rsidRPr="006032FF">
          <w:rPr>
            <w:rStyle w:val="Hyperlink"/>
            <w:rFonts w:cs="Arial"/>
            <w:sz w:val="20"/>
            <w:szCs w:val="20"/>
          </w:rPr>
          <w:t>https://doi.org/10.4315/0362-028x-69.8.1997</w:t>
        </w:r>
      </w:hyperlink>
    </w:p>
    <w:p w14:paraId="6B37476B" w14:textId="570FE15E" w:rsidR="00657FDB" w:rsidRPr="006032FF" w:rsidRDefault="00657FDB" w:rsidP="006032FF">
      <w:pPr>
        <w:pStyle w:val="CitaviBibliographyEntry"/>
        <w:spacing w:after="120"/>
        <w:ind w:left="0" w:firstLine="0"/>
        <w:rPr>
          <w:rFonts w:cs="Arial"/>
          <w:sz w:val="20"/>
          <w:szCs w:val="20"/>
        </w:rPr>
      </w:pPr>
      <w:bookmarkStart w:id="635" w:name="_CTVL0017781fa3ff20d43789fcffb999ebbb0ad"/>
      <w:r w:rsidRPr="006032FF">
        <w:rPr>
          <w:rFonts w:cs="Arial"/>
          <w:sz w:val="20"/>
          <w:szCs w:val="20"/>
        </w:rPr>
        <w:t xml:space="preserve">Hussein Z, Fawole OA, Opara UL (2020) Harvest and postharvest factors affecting bruise damage of fresh fruits. Horticultural Plant Journal 6:1–13. </w:t>
      </w:r>
      <w:hyperlink r:id="rId184" w:history="1">
        <w:r w:rsidR="00010BAE" w:rsidRPr="006032FF">
          <w:rPr>
            <w:rStyle w:val="Hyperlink"/>
            <w:rFonts w:cs="Arial"/>
            <w:sz w:val="20"/>
            <w:szCs w:val="20"/>
          </w:rPr>
          <w:t>https://doi.org/10.1016/j.hpj.2019.07.006</w:t>
        </w:r>
      </w:hyperlink>
    </w:p>
    <w:p w14:paraId="3410F3C3" w14:textId="195CE651" w:rsidR="00657FDB" w:rsidRPr="006032FF" w:rsidRDefault="00657FDB" w:rsidP="006032FF">
      <w:pPr>
        <w:pStyle w:val="CitaviBibliographyEntry"/>
        <w:spacing w:after="120"/>
        <w:ind w:left="0" w:firstLine="0"/>
        <w:rPr>
          <w:rFonts w:cs="Arial"/>
          <w:sz w:val="20"/>
          <w:szCs w:val="20"/>
        </w:rPr>
      </w:pPr>
      <w:bookmarkStart w:id="636" w:name="_CTVL001a296a864bf8847f682e5d326287a5415"/>
      <w:bookmarkEnd w:id="635"/>
      <w:r w:rsidRPr="006032FF">
        <w:rPr>
          <w:rFonts w:cs="Arial"/>
          <w:sz w:val="20"/>
          <w:szCs w:val="20"/>
        </w:rPr>
        <w:t xml:space="preserve">Ibrahim EME, El-Liethy MA, Abia ALK, Hemdan BA, Shaheen MN (2019) Survival of </w:t>
      </w:r>
      <w:bookmarkEnd w:id="636"/>
      <w:r w:rsidRPr="006032FF">
        <w:rPr>
          <w:rFonts w:cs="Arial"/>
          <w:i/>
          <w:sz w:val="20"/>
          <w:szCs w:val="20"/>
        </w:rPr>
        <w:t>E. coli</w:t>
      </w:r>
      <w:r w:rsidRPr="006032FF">
        <w:rPr>
          <w:rFonts w:cs="Arial"/>
          <w:sz w:val="20"/>
          <w:szCs w:val="20"/>
        </w:rPr>
        <w:t xml:space="preserve"> O157:H7, </w:t>
      </w:r>
      <w:r w:rsidRPr="006032FF">
        <w:rPr>
          <w:rFonts w:cs="Arial"/>
          <w:i/>
          <w:sz w:val="20"/>
          <w:szCs w:val="20"/>
        </w:rPr>
        <w:t xml:space="preserve">Salmonella </w:t>
      </w:r>
      <w:r w:rsidRPr="006032FF">
        <w:rPr>
          <w:rFonts w:cs="Arial"/>
          <w:sz w:val="20"/>
          <w:szCs w:val="20"/>
        </w:rPr>
        <w:t xml:space="preserve">Typhimurium, HAdV2 and MNV-1 in river water under dark conditions and varying storage temperatures. The Science of the Total Environment 648:1297–1304. </w:t>
      </w:r>
      <w:hyperlink r:id="rId185" w:history="1">
        <w:r w:rsidR="00010BAE" w:rsidRPr="006032FF">
          <w:rPr>
            <w:rStyle w:val="Hyperlink"/>
            <w:rFonts w:cs="Arial"/>
            <w:sz w:val="20"/>
            <w:szCs w:val="20"/>
          </w:rPr>
          <w:t>https://doi.org/10.1016/j.scitotenv.2018.08.275</w:t>
        </w:r>
      </w:hyperlink>
    </w:p>
    <w:p w14:paraId="4010AF47" w14:textId="77777777" w:rsidR="009155E4" w:rsidRDefault="009155E4">
      <w:pPr>
        <w:widowControl/>
        <w:rPr>
          <w:rFonts w:cs="Arial"/>
          <w:color w:val="000000" w:themeColor="text1"/>
          <w:sz w:val="20"/>
          <w:szCs w:val="20"/>
        </w:rPr>
      </w:pPr>
      <w:bookmarkStart w:id="637" w:name="_CTVL001b7aec37769fc486badb27c5baf3ab4ad"/>
      <w:r>
        <w:rPr>
          <w:rFonts w:cs="Arial"/>
          <w:sz w:val="20"/>
          <w:szCs w:val="20"/>
        </w:rPr>
        <w:br w:type="page"/>
      </w:r>
    </w:p>
    <w:p w14:paraId="1B4BBDD3" w14:textId="3826B594"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IFPA, PMA, UFFVA, WGA (2006) Commodity specific food safety guidelines for the lettuce and leafy greens supply chain: International Fresh-cut Produce Association, Produce Marketing Association, United Fresh Fruit and Vegetable Association, Western Growers. USA. </w:t>
      </w:r>
      <w:hyperlink r:id="rId186" w:history="1">
        <w:r w:rsidR="00010BAE" w:rsidRPr="006032FF">
          <w:rPr>
            <w:rStyle w:val="Hyperlink"/>
            <w:rFonts w:cs="Arial"/>
            <w:sz w:val="20"/>
            <w:szCs w:val="20"/>
          </w:rPr>
          <w:t>https://www.fda.gov/food/produce-plant-products-guidance-documents-regulatory-information/commodity-specific-food-safety-guidelines-lettuce-and-leafy-greens-supply-chain-1st-edition</w:t>
        </w:r>
      </w:hyperlink>
      <w:r w:rsidRPr="006032FF">
        <w:rPr>
          <w:rFonts w:cs="Arial"/>
          <w:sz w:val="20"/>
          <w:szCs w:val="20"/>
        </w:rPr>
        <w:t>. Accessed 23 September 2020</w:t>
      </w:r>
    </w:p>
    <w:p w14:paraId="2337C647" w14:textId="5C2847F8" w:rsidR="00657FDB" w:rsidRPr="006032FF" w:rsidRDefault="00657FDB" w:rsidP="006032FF">
      <w:pPr>
        <w:pStyle w:val="CitaviBibliographyEntry"/>
        <w:spacing w:after="120"/>
        <w:ind w:left="0" w:firstLine="0"/>
        <w:rPr>
          <w:rFonts w:cs="Arial"/>
          <w:sz w:val="20"/>
          <w:szCs w:val="20"/>
        </w:rPr>
      </w:pPr>
      <w:bookmarkStart w:id="638" w:name="_CTVL00119ca2a32f2694148bf69d7105038287c"/>
      <w:bookmarkEnd w:id="637"/>
      <w:r w:rsidRPr="006032FF">
        <w:rPr>
          <w:rFonts w:cs="Arial"/>
          <w:sz w:val="20"/>
          <w:szCs w:val="20"/>
        </w:rPr>
        <w:t xml:space="preserve">Ijabadeniyi OA, Minnaar A, Buys EM (2011) Effect of attachment time followed by chlorine washing on the survival of inoculated </w:t>
      </w:r>
      <w:bookmarkEnd w:id="638"/>
      <w:r w:rsidRPr="006032FF">
        <w:rPr>
          <w:rFonts w:cs="Arial"/>
          <w:i/>
          <w:sz w:val="20"/>
          <w:szCs w:val="20"/>
        </w:rPr>
        <w:t xml:space="preserve">Listeria monocytogenes </w:t>
      </w:r>
      <w:r w:rsidRPr="006032FF">
        <w:rPr>
          <w:rFonts w:cs="Arial"/>
          <w:sz w:val="20"/>
          <w:szCs w:val="20"/>
        </w:rPr>
        <w:t xml:space="preserve">on tomatoes and spinach. Journal of Food Quality 34:133–141. </w:t>
      </w:r>
      <w:hyperlink r:id="rId187" w:history="1">
        <w:r w:rsidR="00010BAE" w:rsidRPr="006032FF">
          <w:rPr>
            <w:rStyle w:val="Hyperlink"/>
            <w:rFonts w:cs="Arial"/>
            <w:sz w:val="20"/>
            <w:szCs w:val="20"/>
          </w:rPr>
          <w:t>https://doi.org/10.1111/j.1745-4557.2011.00375.x</w:t>
        </w:r>
      </w:hyperlink>
    </w:p>
    <w:p w14:paraId="10F68760" w14:textId="3E8D43AE" w:rsidR="00657FDB" w:rsidRPr="006032FF" w:rsidRDefault="00657FDB" w:rsidP="006032FF">
      <w:pPr>
        <w:pStyle w:val="CitaviBibliographyEntry"/>
        <w:spacing w:after="120"/>
        <w:ind w:left="0" w:firstLine="0"/>
        <w:rPr>
          <w:rFonts w:cs="Arial"/>
          <w:sz w:val="20"/>
          <w:szCs w:val="20"/>
        </w:rPr>
      </w:pPr>
      <w:bookmarkStart w:id="639" w:name="_CTVL001e87d3cbd6ef54f9287d335e7e27434eb"/>
      <w:r w:rsidRPr="006032FF">
        <w:rPr>
          <w:rFonts w:cs="Arial"/>
          <w:sz w:val="20"/>
          <w:szCs w:val="20"/>
        </w:rPr>
        <w:t xml:space="preserve">Islam M, Doyle MP, Phatak SC, Millner P, Jiang X (2004a) Persistence of enterohemorrhagic </w:t>
      </w:r>
      <w:bookmarkEnd w:id="639"/>
      <w:r w:rsidRPr="006032FF">
        <w:rPr>
          <w:rFonts w:cs="Arial"/>
          <w:i/>
          <w:sz w:val="20"/>
          <w:szCs w:val="20"/>
        </w:rPr>
        <w:t xml:space="preserve">Escherichia coli </w:t>
      </w:r>
      <w:r w:rsidRPr="006032FF">
        <w:rPr>
          <w:rFonts w:cs="Arial"/>
          <w:sz w:val="20"/>
          <w:szCs w:val="20"/>
        </w:rPr>
        <w:t xml:space="preserve">O157: H7 in soil and on leaf lettuce and parsley grown in fields treated with contaminated manure composts or irrigation water. Journal of Food Protection 67:1365–1370. </w:t>
      </w:r>
      <w:hyperlink r:id="rId188" w:history="1">
        <w:r w:rsidR="00010BAE" w:rsidRPr="006032FF">
          <w:rPr>
            <w:rStyle w:val="Hyperlink"/>
            <w:rFonts w:cs="Arial"/>
            <w:sz w:val="20"/>
            <w:szCs w:val="20"/>
          </w:rPr>
          <w:t>https://doi.org/10.4315/0362-028X-67.7.1365</w:t>
        </w:r>
      </w:hyperlink>
    </w:p>
    <w:p w14:paraId="1681295C" w14:textId="17E50979" w:rsidR="00657FDB" w:rsidRPr="006032FF" w:rsidRDefault="00657FDB" w:rsidP="006032FF">
      <w:pPr>
        <w:pStyle w:val="CitaviBibliographyEntry"/>
        <w:spacing w:after="120"/>
        <w:ind w:left="0" w:firstLine="0"/>
        <w:rPr>
          <w:rFonts w:cs="Arial"/>
          <w:sz w:val="20"/>
          <w:szCs w:val="20"/>
        </w:rPr>
      </w:pPr>
      <w:bookmarkStart w:id="640" w:name="_CTVL0010a7e3f3748cd4545a34152811cc903ae"/>
      <w:r w:rsidRPr="006032FF">
        <w:rPr>
          <w:rFonts w:cs="Arial"/>
          <w:sz w:val="20"/>
          <w:szCs w:val="20"/>
        </w:rPr>
        <w:t xml:space="preserve">Islam M, Morgan J, Doyle MP, Phatak SC, Millner P, Jiang X (2004b) Persistence of </w:t>
      </w:r>
      <w:bookmarkEnd w:id="640"/>
      <w:r w:rsidR="0057637C">
        <w:rPr>
          <w:rFonts w:cs="Arial"/>
          <w:i/>
          <w:sz w:val="20"/>
          <w:szCs w:val="20"/>
        </w:rPr>
        <w:t>Salmonella </w:t>
      </w:r>
      <w:r w:rsidRPr="006032FF">
        <w:rPr>
          <w:rFonts w:cs="Arial"/>
          <w:i/>
          <w:sz w:val="20"/>
          <w:szCs w:val="20"/>
        </w:rPr>
        <w:t xml:space="preserve">enterica </w:t>
      </w:r>
      <w:r w:rsidRPr="006032FF">
        <w:rPr>
          <w:rFonts w:cs="Arial"/>
          <w:sz w:val="20"/>
          <w:szCs w:val="20"/>
        </w:rPr>
        <w:t xml:space="preserve">serovar Typhimurium on lettuce and parsley and in soils on which they were grown in fields treated with contaminated manure composts or irrigation water. Foodborne Pathogens and Disease 1:27–35. </w:t>
      </w:r>
      <w:hyperlink r:id="rId189" w:history="1">
        <w:r w:rsidR="00010BAE" w:rsidRPr="006032FF">
          <w:rPr>
            <w:rStyle w:val="Hyperlink"/>
            <w:rFonts w:cs="Arial"/>
            <w:sz w:val="20"/>
            <w:szCs w:val="20"/>
          </w:rPr>
          <w:t>https://doi.org/10.1089/153531404772914437</w:t>
        </w:r>
      </w:hyperlink>
    </w:p>
    <w:p w14:paraId="5D492F2A" w14:textId="23BBC278" w:rsidR="00657FDB" w:rsidRPr="006032FF" w:rsidRDefault="00657FDB" w:rsidP="006032FF">
      <w:pPr>
        <w:pStyle w:val="CitaviBibliographyEntry"/>
        <w:spacing w:after="120"/>
        <w:ind w:left="0" w:firstLine="0"/>
        <w:rPr>
          <w:rFonts w:cs="Arial"/>
          <w:sz w:val="20"/>
          <w:szCs w:val="20"/>
        </w:rPr>
      </w:pPr>
      <w:bookmarkStart w:id="641" w:name="_CTVL001b317a8c4347147b79deee71c9292f05b"/>
      <w:r w:rsidRPr="006032FF">
        <w:rPr>
          <w:rFonts w:cs="Arial"/>
          <w:sz w:val="20"/>
          <w:szCs w:val="20"/>
        </w:rPr>
        <w:t>Jay MT, Cooley M, Carychao D, Wiscomb GW, Sweitzer RA, Crawford-Miksza L, Farrar JA, Lau DK, O</w:t>
      </w:r>
      <w:r w:rsidR="00010BAE" w:rsidRPr="006032FF">
        <w:rPr>
          <w:rFonts w:cs="Arial"/>
          <w:sz w:val="20"/>
          <w:szCs w:val="20"/>
        </w:rPr>
        <w:t>’</w:t>
      </w:r>
      <w:r w:rsidRPr="006032FF">
        <w:rPr>
          <w:rFonts w:cs="Arial"/>
          <w:sz w:val="20"/>
          <w:szCs w:val="20"/>
        </w:rPr>
        <w:t xml:space="preserve">Connell J, Millington A, Asmundson RV, Atwill ER, Mandrell RE (2007) </w:t>
      </w:r>
      <w:bookmarkEnd w:id="641"/>
      <w:r w:rsidRPr="006032FF">
        <w:rPr>
          <w:rFonts w:cs="Arial"/>
          <w:i/>
          <w:sz w:val="20"/>
          <w:szCs w:val="20"/>
        </w:rPr>
        <w:t xml:space="preserve">Escherichia coli </w:t>
      </w:r>
      <w:r w:rsidRPr="006032FF">
        <w:rPr>
          <w:rFonts w:cs="Arial"/>
          <w:sz w:val="20"/>
          <w:szCs w:val="20"/>
        </w:rPr>
        <w:t xml:space="preserve">O157:H7 in feral swine near spinach fields and cattle, central California coast. Emerging Infectious Diseases 13:1908–1911. </w:t>
      </w:r>
      <w:hyperlink r:id="rId190" w:history="1">
        <w:r w:rsidR="00010BAE" w:rsidRPr="006032FF">
          <w:rPr>
            <w:rStyle w:val="Hyperlink"/>
            <w:rFonts w:cs="Arial"/>
            <w:sz w:val="20"/>
            <w:szCs w:val="20"/>
          </w:rPr>
          <w:t>https://doi.org/10.3201/eid1312.070763</w:t>
        </w:r>
      </w:hyperlink>
    </w:p>
    <w:p w14:paraId="1A52C1E1" w14:textId="38D861A6" w:rsidR="00657FDB" w:rsidRPr="006032FF" w:rsidRDefault="00657FDB" w:rsidP="006032FF">
      <w:pPr>
        <w:pStyle w:val="CitaviBibliographyEntry"/>
        <w:spacing w:after="120"/>
        <w:ind w:left="0" w:firstLine="0"/>
        <w:rPr>
          <w:rFonts w:cs="Arial"/>
          <w:sz w:val="20"/>
          <w:szCs w:val="20"/>
        </w:rPr>
      </w:pPr>
      <w:bookmarkStart w:id="642" w:name="_CTVL0018ad80015986843b88b1b9db060220fbb"/>
      <w:r w:rsidRPr="006032FF">
        <w:rPr>
          <w:rFonts w:cs="Arial"/>
          <w:sz w:val="20"/>
          <w:szCs w:val="20"/>
        </w:rPr>
        <w:t xml:space="preserve">Jay-Russell MT, Bates A, Harden L, Miller WG, Mandrell RE (2012) Isolation of </w:t>
      </w:r>
      <w:bookmarkEnd w:id="642"/>
      <w:r w:rsidRPr="006032FF">
        <w:rPr>
          <w:rFonts w:cs="Arial"/>
          <w:i/>
          <w:sz w:val="20"/>
          <w:szCs w:val="20"/>
        </w:rPr>
        <w:t>Campylobacter</w:t>
      </w:r>
      <w:r w:rsidRPr="006032FF">
        <w:rPr>
          <w:rFonts w:cs="Arial"/>
          <w:sz w:val="20"/>
          <w:szCs w:val="20"/>
        </w:rPr>
        <w:t xml:space="preserve"> from feral swine (</w:t>
      </w:r>
      <w:r w:rsidRPr="006032FF">
        <w:rPr>
          <w:rFonts w:cs="Arial"/>
          <w:i/>
          <w:sz w:val="20"/>
          <w:szCs w:val="20"/>
        </w:rPr>
        <w:t>Sus scrofa</w:t>
      </w:r>
      <w:r w:rsidRPr="006032FF">
        <w:rPr>
          <w:rFonts w:cs="Arial"/>
          <w:sz w:val="20"/>
          <w:szCs w:val="20"/>
        </w:rPr>
        <w:t xml:space="preserve">) on the ranch associated with the 2006 </w:t>
      </w:r>
      <w:r w:rsidRPr="006032FF">
        <w:rPr>
          <w:rFonts w:cs="Arial"/>
          <w:i/>
          <w:sz w:val="20"/>
          <w:szCs w:val="20"/>
        </w:rPr>
        <w:t xml:space="preserve">Escherichia coli </w:t>
      </w:r>
      <w:r w:rsidRPr="006032FF">
        <w:rPr>
          <w:rFonts w:cs="Arial"/>
          <w:sz w:val="20"/>
          <w:szCs w:val="20"/>
        </w:rPr>
        <w:t xml:space="preserve">O157:H7 spinach outbreak investigation in California. Zoonoses Public Health 59:314–319. </w:t>
      </w:r>
      <w:hyperlink r:id="rId191" w:history="1">
        <w:r w:rsidR="00010BAE" w:rsidRPr="006032FF">
          <w:rPr>
            <w:rStyle w:val="Hyperlink"/>
            <w:rFonts w:cs="Arial"/>
            <w:sz w:val="20"/>
            <w:szCs w:val="20"/>
          </w:rPr>
          <w:t>https://doi.org/10.1111/j.1863-2378.2012.01465.x</w:t>
        </w:r>
      </w:hyperlink>
    </w:p>
    <w:p w14:paraId="2B903F84" w14:textId="18508453" w:rsidR="00657FDB" w:rsidRPr="006032FF" w:rsidRDefault="00657FDB" w:rsidP="006032FF">
      <w:pPr>
        <w:pStyle w:val="CitaviBibliographyEntry"/>
        <w:spacing w:after="120"/>
        <w:ind w:left="0" w:firstLine="0"/>
        <w:rPr>
          <w:rFonts w:cs="Arial"/>
          <w:sz w:val="20"/>
          <w:szCs w:val="20"/>
        </w:rPr>
      </w:pPr>
      <w:bookmarkStart w:id="643" w:name="_CTVL001b24a27b38b70428192666dd1b7f3fac3"/>
      <w:r w:rsidRPr="006032FF">
        <w:rPr>
          <w:rFonts w:cs="Arial"/>
          <w:sz w:val="20"/>
          <w:szCs w:val="20"/>
        </w:rPr>
        <w:t xml:space="preserve">Jay-Russell MT, Hake AF, Bengson Y, Thiptara A, Nguyen T (2014) Prevalence and characterization of </w:t>
      </w:r>
      <w:r w:rsidRPr="00482DC1">
        <w:rPr>
          <w:rFonts w:cs="Arial"/>
          <w:i/>
          <w:sz w:val="20"/>
          <w:szCs w:val="20"/>
        </w:rPr>
        <w:t>Escherichia coli</w:t>
      </w:r>
      <w:r w:rsidRPr="006032FF">
        <w:rPr>
          <w:rFonts w:cs="Arial"/>
          <w:sz w:val="20"/>
          <w:szCs w:val="20"/>
        </w:rPr>
        <w:t xml:space="preserve"> and </w:t>
      </w:r>
      <w:r w:rsidRPr="00482DC1">
        <w:rPr>
          <w:rFonts w:cs="Arial"/>
          <w:i/>
          <w:sz w:val="20"/>
          <w:szCs w:val="20"/>
        </w:rPr>
        <w:t>Salmonella</w:t>
      </w:r>
      <w:r w:rsidRPr="006032FF">
        <w:rPr>
          <w:rFonts w:cs="Arial"/>
          <w:sz w:val="20"/>
          <w:szCs w:val="20"/>
        </w:rPr>
        <w:t xml:space="preserve"> strains isolated from stray dog and coyote feces in a major leafy greens production region at the United States-Mexico border. PLoS ONE 9:e113433. </w:t>
      </w:r>
      <w:hyperlink r:id="rId192" w:history="1">
        <w:r w:rsidR="00010BAE" w:rsidRPr="006032FF">
          <w:rPr>
            <w:rStyle w:val="Hyperlink"/>
            <w:rFonts w:cs="Arial"/>
            <w:sz w:val="20"/>
            <w:szCs w:val="20"/>
          </w:rPr>
          <w:t>https://doi.org/10.1371/journal.pone.0113433</w:t>
        </w:r>
      </w:hyperlink>
    </w:p>
    <w:p w14:paraId="7CE94820" w14:textId="393ECFF7" w:rsidR="00657FDB" w:rsidRPr="006032FF" w:rsidRDefault="00657FDB" w:rsidP="006032FF">
      <w:pPr>
        <w:pStyle w:val="CitaviBibliographyEntry"/>
        <w:spacing w:after="120"/>
        <w:ind w:left="0" w:firstLine="0"/>
        <w:rPr>
          <w:rFonts w:cs="Arial"/>
          <w:sz w:val="20"/>
          <w:szCs w:val="20"/>
        </w:rPr>
      </w:pPr>
      <w:bookmarkStart w:id="644" w:name="_CTVL001d90e5066c2a3406891d377bcad7c2c4e"/>
      <w:bookmarkEnd w:id="643"/>
      <w:r w:rsidRPr="006032FF">
        <w:rPr>
          <w:rFonts w:cs="Arial"/>
          <w:sz w:val="20"/>
          <w:szCs w:val="20"/>
        </w:rPr>
        <w:t xml:space="preserve">Jeamsripong S, Chase JA, Jay-Russell MT, Buchanan RL, Atwill ER (2019) Experimental in-field transfer and survival of </w:t>
      </w:r>
      <w:bookmarkEnd w:id="644"/>
      <w:r w:rsidRPr="006032FF">
        <w:rPr>
          <w:rFonts w:cs="Arial"/>
          <w:i/>
          <w:sz w:val="20"/>
          <w:szCs w:val="20"/>
        </w:rPr>
        <w:t xml:space="preserve">Escherichia coli </w:t>
      </w:r>
      <w:r w:rsidRPr="006032FF">
        <w:rPr>
          <w:rFonts w:cs="Arial"/>
          <w:sz w:val="20"/>
          <w:szCs w:val="20"/>
        </w:rPr>
        <w:t xml:space="preserve">from animal feces to romaine lettuce in Salinas Valley, California. Microorganisms 7:408. </w:t>
      </w:r>
      <w:hyperlink r:id="rId193" w:history="1">
        <w:r w:rsidR="00010BAE" w:rsidRPr="006032FF">
          <w:rPr>
            <w:rStyle w:val="Hyperlink"/>
            <w:rFonts w:cs="Arial"/>
            <w:sz w:val="20"/>
            <w:szCs w:val="20"/>
          </w:rPr>
          <w:t>https://doi.org/10.3390/microorganisms7100408</w:t>
        </w:r>
      </w:hyperlink>
    </w:p>
    <w:p w14:paraId="7F5C9079" w14:textId="14B95CEF" w:rsidR="00657FDB" w:rsidRPr="006032FF" w:rsidRDefault="00657FDB" w:rsidP="006032FF">
      <w:pPr>
        <w:pStyle w:val="CitaviBibliographyEntry"/>
        <w:spacing w:after="120"/>
        <w:ind w:left="0" w:firstLine="0"/>
        <w:rPr>
          <w:rFonts w:cs="Arial"/>
          <w:sz w:val="20"/>
          <w:szCs w:val="20"/>
        </w:rPr>
      </w:pPr>
      <w:bookmarkStart w:id="645" w:name="_CTVL00105164fc5d0324608bf1757eb8e005e87"/>
      <w:r w:rsidRPr="006032FF">
        <w:rPr>
          <w:rFonts w:cs="Arial"/>
          <w:sz w:val="20"/>
          <w:szCs w:val="20"/>
        </w:rPr>
        <w:t xml:space="preserve">Jensen AN, Storm C, Forslund A, Baggesen DL, Dalsgaard A (2013) </w:t>
      </w:r>
      <w:bookmarkEnd w:id="645"/>
      <w:r w:rsidRPr="006032FF">
        <w:rPr>
          <w:rFonts w:cs="Arial"/>
          <w:i/>
          <w:sz w:val="20"/>
          <w:szCs w:val="20"/>
        </w:rPr>
        <w:t>Escherichia coli c</w:t>
      </w:r>
      <w:r w:rsidRPr="006032FF">
        <w:rPr>
          <w:rFonts w:cs="Arial"/>
          <w:sz w:val="20"/>
          <w:szCs w:val="20"/>
        </w:rPr>
        <w:t xml:space="preserve">ontamination of lettuce grown in soils amended with animal slurry. Journal of Food Protection 76:1137–1144. </w:t>
      </w:r>
      <w:hyperlink r:id="rId194" w:history="1">
        <w:r w:rsidR="00010BAE" w:rsidRPr="006032FF">
          <w:rPr>
            <w:rStyle w:val="Hyperlink"/>
            <w:rFonts w:cs="Arial"/>
            <w:sz w:val="20"/>
            <w:szCs w:val="20"/>
          </w:rPr>
          <w:t>https://doi.org/10.4315/0362-028X.JFP-13-011</w:t>
        </w:r>
      </w:hyperlink>
    </w:p>
    <w:p w14:paraId="1F364D37" w14:textId="0678F891" w:rsidR="00657FDB" w:rsidRPr="006032FF" w:rsidRDefault="00657FDB" w:rsidP="006032FF">
      <w:pPr>
        <w:pStyle w:val="CitaviBibliographyEntry"/>
        <w:spacing w:after="120"/>
        <w:ind w:left="0" w:firstLine="0"/>
        <w:rPr>
          <w:rFonts w:cs="Arial"/>
          <w:sz w:val="20"/>
          <w:szCs w:val="20"/>
        </w:rPr>
      </w:pPr>
      <w:bookmarkStart w:id="646" w:name="_CTVL00150a5b48ef8e4435489a0ccd3b3357bdb"/>
      <w:r w:rsidRPr="006032FF">
        <w:rPr>
          <w:rFonts w:cs="Arial"/>
          <w:sz w:val="20"/>
          <w:szCs w:val="20"/>
        </w:rPr>
        <w:t xml:space="preserve">Johannessen GS, Bengtsson GB, Heier BT, Bredholt S, Wasteson Y, Rorvik LM (2005) Potential uptake of </w:t>
      </w:r>
      <w:bookmarkEnd w:id="646"/>
      <w:r w:rsidRPr="006032FF">
        <w:rPr>
          <w:rFonts w:cs="Arial"/>
          <w:i/>
          <w:sz w:val="20"/>
          <w:szCs w:val="20"/>
        </w:rPr>
        <w:t xml:space="preserve">Escherichia coli </w:t>
      </w:r>
      <w:r w:rsidRPr="006032FF">
        <w:rPr>
          <w:rFonts w:cs="Arial"/>
          <w:sz w:val="20"/>
          <w:szCs w:val="20"/>
        </w:rPr>
        <w:t xml:space="preserve">O157:H7 from organic manure into crisphead lettuce. Applied and Environmental Microbiology 71:2221–2225. </w:t>
      </w:r>
      <w:hyperlink r:id="rId195" w:history="1">
        <w:r w:rsidR="00010BAE" w:rsidRPr="006032FF">
          <w:rPr>
            <w:rStyle w:val="Hyperlink"/>
            <w:rFonts w:cs="Arial"/>
            <w:sz w:val="20"/>
            <w:szCs w:val="20"/>
          </w:rPr>
          <w:t>https://doi.org/10.1128/AEM.71.5.2221-2225.2005</w:t>
        </w:r>
      </w:hyperlink>
    </w:p>
    <w:p w14:paraId="004EF17D" w14:textId="17C2992D" w:rsidR="00657FDB" w:rsidRPr="006032FF" w:rsidRDefault="00657FDB" w:rsidP="006032FF">
      <w:pPr>
        <w:pStyle w:val="CitaviBibliographyEntry"/>
        <w:spacing w:after="120"/>
        <w:ind w:left="0" w:firstLine="0"/>
        <w:rPr>
          <w:rFonts w:cs="Arial"/>
          <w:sz w:val="20"/>
          <w:szCs w:val="20"/>
        </w:rPr>
      </w:pPr>
      <w:bookmarkStart w:id="647" w:name="_CTVL001bab26b87f1d74f7e84052937b42aa760"/>
      <w:r w:rsidRPr="006032FF">
        <w:rPr>
          <w:rFonts w:cs="Arial"/>
          <w:sz w:val="20"/>
          <w:szCs w:val="20"/>
        </w:rPr>
        <w:t xml:space="preserve">Johannessen GS, Eckner KF, Heiberg N, Monshaugen M, Begum M, Økland M, Høgåsen HR (2015) Occurrence of </w:t>
      </w:r>
      <w:bookmarkEnd w:id="647"/>
      <w:r w:rsidRPr="006032FF">
        <w:rPr>
          <w:rFonts w:cs="Arial"/>
          <w:i/>
          <w:sz w:val="20"/>
          <w:szCs w:val="20"/>
        </w:rPr>
        <w:t>Escherichia coli, Campylob</w:t>
      </w:r>
      <w:r w:rsidR="00482DC1">
        <w:rPr>
          <w:rFonts w:cs="Arial"/>
          <w:i/>
          <w:sz w:val="20"/>
          <w:szCs w:val="20"/>
        </w:rPr>
        <w:t>a</w:t>
      </w:r>
      <w:r w:rsidRPr="006032FF">
        <w:rPr>
          <w:rFonts w:cs="Arial"/>
          <w:i/>
          <w:sz w:val="20"/>
          <w:szCs w:val="20"/>
        </w:rPr>
        <w:t xml:space="preserve">cter, Salmonella </w:t>
      </w:r>
      <w:r w:rsidR="00482DC1">
        <w:rPr>
          <w:rFonts w:cs="Arial"/>
          <w:sz w:val="20"/>
          <w:szCs w:val="20"/>
        </w:rPr>
        <w:t>and Shiga-t</w:t>
      </w:r>
      <w:r w:rsidRPr="006032FF">
        <w:rPr>
          <w:rFonts w:cs="Arial"/>
          <w:sz w:val="20"/>
          <w:szCs w:val="20"/>
        </w:rPr>
        <w:t xml:space="preserve">oxin producing </w:t>
      </w:r>
      <w:r w:rsidRPr="006032FF">
        <w:rPr>
          <w:rFonts w:cs="Arial"/>
          <w:i/>
          <w:sz w:val="20"/>
          <w:szCs w:val="20"/>
        </w:rPr>
        <w:t xml:space="preserve">E. coli </w:t>
      </w:r>
      <w:r w:rsidRPr="006032FF">
        <w:rPr>
          <w:rFonts w:cs="Arial"/>
          <w:sz w:val="20"/>
          <w:szCs w:val="20"/>
        </w:rPr>
        <w:t xml:space="preserve">in Norwegian primary strawberry production. International Journal of Environmental Research and Public Health 12:6919–6932. </w:t>
      </w:r>
      <w:hyperlink r:id="rId196" w:history="1">
        <w:r w:rsidR="00010BAE" w:rsidRPr="006032FF">
          <w:rPr>
            <w:rStyle w:val="Hyperlink"/>
            <w:rFonts w:cs="Arial"/>
            <w:sz w:val="20"/>
            <w:szCs w:val="20"/>
          </w:rPr>
          <w:t>https://doi.org/10.3390/ijerph120606919</w:t>
        </w:r>
      </w:hyperlink>
    </w:p>
    <w:p w14:paraId="6793CA3A" w14:textId="4EFF4962" w:rsidR="00657FDB" w:rsidRPr="006032FF" w:rsidRDefault="00657FDB" w:rsidP="006032FF">
      <w:pPr>
        <w:pStyle w:val="CitaviBibliographyEntry"/>
        <w:spacing w:after="120"/>
        <w:ind w:left="0" w:firstLine="0"/>
        <w:rPr>
          <w:rFonts w:cs="Arial"/>
          <w:sz w:val="20"/>
          <w:szCs w:val="20"/>
        </w:rPr>
      </w:pPr>
      <w:bookmarkStart w:id="648" w:name="_CTVL0013041ea805483466c85063482a7b4d9be"/>
      <w:r w:rsidRPr="006032FF">
        <w:rPr>
          <w:rFonts w:cs="Arial"/>
          <w:sz w:val="20"/>
          <w:szCs w:val="20"/>
        </w:rPr>
        <w:t xml:space="preserve">Johnston LM, Jaykus LA, Moll D, Martinez MC, Anciso J, Mora B, Moe CL (2005a) A field study of the microbiological quality of fresh produce. Journal of Food Protection 68:1840–1847. </w:t>
      </w:r>
      <w:hyperlink r:id="rId197" w:history="1">
        <w:r w:rsidR="00010BAE" w:rsidRPr="006032FF">
          <w:rPr>
            <w:rStyle w:val="Hyperlink"/>
            <w:rFonts w:cs="Arial"/>
            <w:sz w:val="20"/>
            <w:szCs w:val="20"/>
          </w:rPr>
          <w:t>https://doi.org/10.4315/0362-028X-68.9.1840</w:t>
        </w:r>
      </w:hyperlink>
    </w:p>
    <w:p w14:paraId="4F1342FA" w14:textId="153999D2" w:rsidR="00657FDB" w:rsidRPr="006032FF" w:rsidRDefault="00657FDB" w:rsidP="006032FF">
      <w:pPr>
        <w:pStyle w:val="CitaviBibliographyEntry"/>
        <w:spacing w:after="120"/>
        <w:ind w:left="0" w:firstLine="0"/>
        <w:rPr>
          <w:rFonts w:cs="Arial"/>
          <w:sz w:val="20"/>
          <w:szCs w:val="20"/>
        </w:rPr>
      </w:pPr>
      <w:bookmarkStart w:id="649" w:name="_CTVL001470a5c55cf714df39336b23c15222174"/>
      <w:bookmarkEnd w:id="648"/>
      <w:r w:rsidRPr="006032FF">
        <w:rPr>
          <w:rFonts w:cs="Arial"/>
          <w:sz w:val="20"/>
          <w:szCs w:val="20"/>
        </w:rPr>
        <w:t xml:space="preserve">Johnston LM, Elhanafi D, Drake M, Jaykus LA (2005b) A simple method for the direct detection of </w:t>
      </w:r>
      <w:bookmarkEnd w:id="649"/>
      <w:r w:rsidRPr="006032FF">
        <w:rPr>
          <w:rFonts w:cs="Arial"/>
          <w:i/>
          <w:sz w:val="20"/>
          <w:szCs w:val="20"/>
        </w:rPr>
        <w:t>Salmonella</w:t>
      </w:r>
      <w:r w:rsidRPr="006032FF">
        <w:rPr>
          <w:rFonts w:cs="Arial"/>
          <w:sz w:val="20"/>
          <w:szCs w:val="20"/>
        </w:rPr>
        <w:t xml:space="preserve"> and </w:t>
      </w:r>
      <w:r w:rsidRPr="006032FF">
        <w:rPr>
          <w:rFonts w:cs="Arial"/>
          <w:i/>
          <w:sz w:val="20"/>
          <w:szCs w:val="20"/>
        </w:rPr>
        <w:t xml:space="preserve">Escherichia coli </w:t>
      </w:r>
      <w:r w:rsidRPr="006032FF">
        <w:rPr>
          <w:rFonts w:cs="Arial"/>
          <w:sz w:val="20"/>
          <w:szCs w:val="20"/>
        </w:rPr>
        <w:t xml:space="preserve">O157:H7 from raw alfalfa sprouts and spent irrigation water using PCR. Journal of Food Protection 68:2256–2263. </w:t>
      </w:r>
      <w:hyperlink r:id="rId198" w:history="1">
        <w:r w:rsidR="00010BAE" w:rsidRPr="006032FF">
          <w:rPr>
            <w:rStyle w:val="Hyperlink"/>
            <w:rFonts w:cs="Arial"/>
            <w:sz w:val="20"/>
            <w:szCs w:val="20"/>
          </w:rPr>
          <w:t>https://doi.org/10.4315/0362-028x-68.11.2256</w:t>
        </w:r>
      </w:hyperlink>
    </w:p>
    <w:p w14:paraId="77DEA643" w14:textId="40041DDA" w:rsidR="00657FDB" w:rsidRPr="006032FF" w:rsidRDefault="00657FDB" w:rsidP="006032FF">
      <w:pPr>
        <w:pStyle w:val="CitaviBibliographyEntry"/>
        <w:spacing w:after="120"/>
        <w:ind w:left="0" w:firstLine="0"/>
        <w:rPr>
          <w:rFonts w:cs="Arial"/>
          <w:sz w:val="20"/>
          <w:szCs w:val="20"/>
        </w:rPr>
      </w:pPr>
      <w:bookmarkStart w:id="650" w:name="_CTVL0013478db2e733044be80a5ea2971e6dd20"/>
      <w:r w:rsidRPr="006032FF">
        <w:rPr>
          <w:rFonts w:cs="Arial"/>
          <w:sz w:val="20"/>
          <w:szCs w:val="20"/>
        </w:rPr>
        <w:t xml:space="preserve">Johnston LM, Jaykus LA, Moll D, Anciso J, Mora B, Moe CL (2006) A field study of the microbiological quality of fresh produce of domestic and Mexican origin. International Journal of Food Microbiology 112:83–95. </w:t>
      </w:r>
      <w:hyperlink r:id="rId199" w:history="1">
        <w:r w:rsidR="00010BAE" w:rsidRPr="006032FF">
          <w:rPr>
            <w:rStyle w:val="Hyperlink"/>
            <w:rFonts w:cs="Arial"/>
            <w:sz w:val="20"/>
            <w:szCs w:val="20"/>
          </w:rPr>
          <w:t>https://doi.org/10.1016/j.ijfoodmicro.2006.05.002</w:t>
        </w:r>
      </w:hyperlink>
    </w:p>
    <w:p w14:paraId="236F460F" w14:textId="77777777" w:rsidR="009155E4" w:rsidRDefault="009155E4">
      <w:pPr>
        <w:widowControl/>
        <w:rPr>
          <w:rFonts w:cs="Arial"/>
          <w:color w:val="000000" w:themeColor="text1"/>
          <w:sz w:val="20"/>
          <w:szCs w:val="20"/>
        </w:rPr>
      </w:pPr>
      <w:bookmarkStart w:id="651" w:name="_CTVL001cf5e5a0ca1a54f4d98e0625790cedaa5"/>
      <w:bookmarkEnd w:id="650"/>
      <w:r>
        <w:rPr>
          <w:rFonts w:cs="Arial"/>
          <w:sz w:val="20"/>
          <w:szCs w:val="20"/>
        </w:rPr>
        <w:br w:type="page"/>
      </w:r>
    </w:p>
    <w:p w14:paraId="3999BC5E" w14:textId="07FD81F5"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Jovicich E, Wiggenhauser H (2015) Protected cropping for specialty melons in North Queensland. </w:t>
      </w:r>
      <w:hyperlink r:id="rId200" w:history="1">
        <w:r w:rsidR="00010BAE" w:rsidRPr="006032FF">
          <w:rPr>
            <w:rStyle w:val="Hyperlink"/>
            <w:rFonts w:cs="Arial"/>
            <w:sz w:val="20"/>
            <w:szCs w:val="20"/>
          </w:rPr>
          <w:t>https://www.melonsaustralia.org.au/wp-content/uploads/2018/12/Protected-cropping-for-melons.pdf</w:t>
        </w:r>
      </w:hyperlink>
      <w:r w:rsidRPr="006032FF">
        <w:rPr>
          <w:rFonts w:cs="Arial"/>
          <w:sz w:val="20"/>
          <w:szCs w:val="20"/>
        </w:rPr>
        <w:t>. Accessed 22 September 2020</w:t>
      </w:r>
    </w:p>
    <w:p w14:paraId="17BB848A" w14:textId="07C26E73" w:rsidR="00657FDB" w:rsidRPr="006032FF" w:rsidRDefault="00657FDB" w:rsidP="006032FF">
      <w:pPr>
        <w:pStyle w:val="CitaviBibliographyEntry"/>
        <w:spacing w:after="120"/>
        <w:ind w:left="0" w:firstLine="0"/>
        <w:rPr>
          <w:rFonts w:cs="Arial"/>
          <w:sz w:val="20"/>
          <w:szCs w:val="20"/>
        </w:rPr>
      </w:pPr>
      <w:bookmarkStart w:id="652" w:name="_CTVL0015de65e57161a43ca88e100bfb6b2cd92"/>
      <w:bookmarkEnd w:id="651"/>
      <w:r w:rsidRPr="006032FF">
        <w:rPr>
          <w:rFonts w:cs="Arial"/>
          <w:sz w:val="20"/>
          <w:szCs w:val="20"/>
        </w:rPr>
        <w:t xml:space="preserve">Jung Y, Jang H, Matthews KR (2014) Effect of the food production chain from farm practices to vegetable processing on outbreak incidence. Microbial Biotechnology 7:517–527. </w:t>
      </w:r>
      <w:hyperlink r:id="rId201" w:history="1">
        <w:r w:rsidR="00010BAE" w:rsidRPr="006032FF">
          <w:rPr>
            <w:rStyle w:val="Hyperlink"/>
            <w:rFonts w:cs="Arial"/>
            <w:sz w:val="20"/>
            <w:szCs w:val="20"/>
          </w:rPr>
          <w:t>https://doi.org/10.1111/1751-7915.12178</w:t>
        </w:r>
      </w:hyperlink>
    </w:p>
    <w:p w14:paraId="52E6C65F" w14:textId="62E01D46" w:rsidR="00657FDB" w:rsidRPr="006032FF" w:rsidRDefault="00657FDB" w:rsidP="006032FF">
      <w:pPr>
        <w:pStyle w:val="CitaviBibliographyEntry"/>
        <w:spacing w:after="120"/>
        <w:ind w:left="0" w:firstLine="0"/>
        <w:rPr>
          <w:rFonts w:cs="Arial"/>
          <w:sz w:val="20"/>
          <w:szCs w:val="20"/>
        </w:rPr>
      </w:pPr>
      <w:bookmarkStart w:id="653" w:name="_CTVL001d77ffb3e270e4b3ba4056bf8a11c57d5"/>
      <w:bookmarkEnd w:id="652"/>
      <w:r w:rsidRPr="006032FF">
        <w:rPr>
          <w:rFonts w:cs="Arial"/>
          <w:sz w:val="20"/>
          <w:szCs w:val="20"/>
        </w:rPr>
        <w:t xml:space="preserve">Jung Y, Gao J, Jang H, Guo M, Matthews KR (2017) Sanitizer efficacy in preventing cross-contamination during retail preparation of whole and fresh-cut cantaloupe. Food Control 75:228–235. </w:t>
      </w:r>
      <w:hyperlink r:id="rId202" w:history="1">
        <w:r w:rsidR="00010BAE" w:rsidRPr="006032FF">
          <w:rPr>
            <w:rStyle w:val="Hyperlink"/>
            <w:rFonts w:cs="Arial"/>
            <w:sz w:val="20"/>
            <w:szCs w:val="20"/>
          </w:rPr>
          <w:t>https://doi.org/10.1016/j.foodcont.2016.12.009</w:t>
        </w:r>
      </w:hyperlink>
    </w:p>
    <w:p w14:paraId="3B348C64" w14:textId="566CD89E" w:rsidR="00657FDB" w:rsidRPr="006032FF" w:rsidRDefault="00657FDB" w:rsidP="006032FF">
      <w:pPr>
        <w:pStyle w:val="CitaviBibliographyEntry"/>
        <w:spacing w:after="120"/>
        <w:ind w:left="0" w:firstLine="0"/>
        <w:rPr>
          <w:rFonts w:cs="Arial"/>
          <w:sz w:val="20"/>
          <w:szCs w:val="20"/>
        </w:rPr>
      </w:pPr>
      <w:bookmarkStart w:id="654" w:name="_CTVL001345a6d1a6dbf4115a3b7ad3e079f9de6"/>
      <w:bookmarkEnd w:id="653"/>
      <w:r w:rsidRPr="006032FF">
        <w:rPr>
          <w:rFonts w:cs="Arial"/>
          <w:sz w:val="20"/>
          <w:szCs w:val="20"/>
        </w:rPr>
        <w:t xml:space="preserve">Karaca H, Velioglu YS (2014) Effects of ozone treatments on microbial quality and some chemical properties of lettuce, spinach, and parsley. Postharvest Biology and Technology 88:46–53. </w:t>
      </w:r>
      <w:hyperlink r:id="rId203" w:history="1">
        <w:r w:rsidR="00010BAE" w:rsidRPr="006032FF">
          <w:rPr>
            <w:rStyle w:val="Hyperlink"/>
            <w:rFonts w:cs="Arial"/>
            <w:sz w:val="20"/>
            <w:szCs w:val="20"/>
          </w:rPr>
          <w:t>https://doi.org/10.1016/j.postharvbio.2013.09.003</w:t>
        </w:r>
      </w:hyperlink>
    </w:p>
    <w:p w14:paraId="190E99F8" w14:textId="77777777" w:rsidR="00657FDB" w:rsidRPr="006032FF" w:rsidRDefault="00657FDB" w:rsidP="006032FF">
      <w:pPr>
        <w:pStyle w:val="CitaviBibliographyEntry"/>
        <w:spacing w:after="120"/>
        <w:ind w:left="0" w:firstLine="0"/>
        <w:rPr>
          <w:rFonts w:cs="Arial"/>
          <w:sz w:val="20"/>
          <w:szCs w:val="20"/>
        </w:rPr>
      </w:pPr>
      <w:bookmarkStart w:id="655" w:name="_CTVL0016d519cc797104acab3d1b677271534f3"/>
      <w:bookmarkEnd w:id="654"/>
      <w:r w:rsidRPr="006032FF">
        <w:rPr>
          <w:rFonts w:cs="Arial"/>
          <w:sz w:val="20"/>
          <w:szCs w:val="20"/>
        </w:rPr>
        <w:t xml:space="preserve">Keelara S, Patel J, Macarisin D, Venkitanarayanan K (2015) Reducing </w:t>
      </w:r>
      <w:bookmarkEnd w:id="655"/>
      <w:r w:rsidRPr="006032FF">
        <w:rPr>
          <w:rFonts w:cs="Arial"/>
          <w:i/>
          <w:sz w:val="20"/>
          <w:szCs w:val="20"/>
        </w:rPr>
        <w:t xml:space="preserve">Listeria </w:t>
      </w:r>
      <w:r w:rsidRPr="006032FF">
        <w:rPr>
          <w:rFonts w:cs="Arial"/>
          <w:sz w:val="20"/>
          <w:szCs w:val="20"/>
        </w:rPr>
        <w:t xml:space="preserve">species and </w:t>
      </w:r>
      <w:r w:rsidRPr="006032FF">
        <w:rPr>
          <w:rFonts w:cs="Arial"/>
          <w:i/>
          <w:sz w:val="20"/>
          <w:szCs w:val="20"/>
        </w:rPr>
        <w:t xml:space="preserve">Escherichia coli </w:t>
      </w:r>
      <w:r w:rsidRPr="006032FF">
        <w:rPr>
          <w:rFonts w:cs="Arial"/>
          <w:sz w:val="20"/>
          <w:szCs w:val="20"/>
        </w:rPr>
        <w:t>O157:H12 on cantaloupes at pre-harvest level by octenidine hydrochloride. Journal of Food Protection 78 Suppl. A:123</w:t>
      </w:r>
    </w:p>
    <w:p w14:paraId="3F9C7E3C" w14:textId="4B3BF14F" w:rsidR="00657FDB" w:rsidRPr="006032FF" w:rsidRDefault="00657FDB" w:rsidP="006032FF">
      <w:pPr>
        <w:pStyle w:val="CitaviBibliographyEntry"/>
        <w:spacing w:after="120"/>
        <w:ind w:left="0" w:firstLine="0"/>
        <w:rPr>
          <w:rFonts w:cs="Arial"/>
          <w:sz w:val="20"/>
          <w:szCs w:val="20"/>
        </w:rPr>
      </w:pPr>
      <w:bookmarkStart w:id="656" w:name="_CTVL0018c547dff44184b36860b100a948aca76"/>
      <w:r w:rsidRPr="006032FF">
        <w:rPr>
          <w:rFonts w:cs="Arial"/>
          <w:sz w:val="20"/>
          <w:szCs w:val="20"/>
        </w:rPr>
        <w:t>Keren-Keiserman A, Tanami Z, Shoseyov O, Ginzberg I (2004) Differing rind characteristics of developing fruits of smooth and netted melons (</w:t>
      </w:r>
      <w:bookmarkEnd w:id="656"/>
      <w:r w:rsidRPr="006032FF">
        <w:rPr>
          <w:rFonts w:cs="Arial"/>
          <w:i/>
          <w:sz w:val="20"/>
          <w:szCs w:val="20"/>
        </w:rPr>
        <w:t>Cucumis melo</w:t>
      </w:r>
      <w:r w:rsidRPr="006032FF">
        <w:rPr>
          <w:rFonts w:cs="Arial"/>
          <w:sz w:val="20"/>
          <w:szCs w:val="20"/>
        </w:rPr>
        <w:t xml:space="preserve">). The Journal of Horticultural Science and Biotechnology 79:107–113. </w:t>
      </w:r>
      <w:hyperlink r:id="rId204" w:history="1">
        <w:r w:rsidR="00010BAE" w:rsidRPr="006032FF">
          <w:rPr>
            <w:rStyle w:val="Hyperlink"/>
            <w:rFonts w:cs="Arial"/>
            <w:sz w:val="20"/>
            <w:szCs w:val="20"/>
          </w:rPr>
          <w:t>https://doi.org/10.1080/14620316.2004.11511721</w:t>
        </w:r>
      </w:hyperlink>
    </w:p>
    <w:p w14:paraId="6B33D3BC" w14:textId="3AEB2445" w:rsidR="00657FDB" w:rsidRPr="006032FF" w:rsidRDefault="00657FDB" w:rsidP="006032FF">
      <w:pPr>
        <w:pStyle w:val="CitaviBibliographyEntry"/>
        <w:spacing w:after="120"/>
        <w:ind w:left="0" w:firstLine="0"/>
        <w:rPr>
          <w:rFonts w:cs="Arial"/>
          <w:sz w:val="20"/>
          <w:szCs w:val="20"/>
        </w:rPr>
      </w:pPr>
      <w:bookmarkStart w:id="657" w:name="_CTVL001d7de21faab724fee8ea808e0d1655951"/>
      <w:r w:rsidRPr="006032FF">
        <w:rPr>
          <w:rFonts w:cs="Arial"/>
          <w:sz w:val="20"/>
          <w:szCs w:val="20"/>
        </w:rPr>
        <w:t xml:space="preserve">Khalil RK, Frank JF (2010) Behavior of </w:t>
      </w:r>
      <w:bookmarkEnd w:id="657"/>
      <w:r w:rsidRPr="006032FF">
        <w:rPr>
          <w:rFonts w:cs="Arial"/>
          <w:i/>
          <w:sz w:val="20"/>
          <w:szCs w:val="20"/>
        </w:rPr>
        <w:t xml:space="preserve">Escherichia coli </w:t>
      </w:r>
      <w:r w:rsidRPr="006032FF">
        <w:rPr>
          <w:rFonts w:cs="Arial"/>
          <w:sz w:val="20"/>
          <w:szCs w:val="20"/>
        </w:rPr>
        <w:t xml:space="preserve">O157:H7 on damaged leaves of spinach, lettuce, cilantro, and parsley stored at abusive temperatures. Journal of Food Protection 73:212–220. </w:t>
      </w:r>
      <w:hyperlink r:id="rId205" w:history="1">
        <w:r w:rsidR="00010BAE" w:rsidRPr="006032FF">
          <w:rPr>
            <w:rStyle w:val="Hyperlink"/>
            <w:rFonts w:cs="Arial"/>
            <w:sz w:val="20"/>
            <w:szCs w:val="20"/>
          </w:rPr>
          <w:t>https://doi.org/10.4315/0362-028X-73.2.212</w:t>
        </w:r>
      </w:hyperlink>
    </w:p>
    <w:p w14:paraId="652104E6" w14:textId="41C07E4C" w:rsidR="00657FDB" w:rsidRPr="006032FF" w:rsidRDefault="00657FDB" w:rsidP="006032FF">
      <w:pPr>
        <w:pStyle w:val="CitaviBibliographyEntry"/>
        <w:spacing w:after="120"/>
        <w:ind w:left="0" w:firstLine="0"/>
        <w:rPr>
          <w:rFonts w:cs="Arial"/>
          <w:sz w:val="20"/>
          <w:szCs w:val="20"/>
        </w:rPr>
      </w:pPr>
      <w:bookmarkStart w:id="658" w:name="_CTVL001c8bf6bdfd8484f36ba3f05db0c709683"/>
      <w:r w:rsidRPr="006032FF">
        <w:rPr>
          <w:rFonts w:cs="Arial"/>
          <w:sz w:val="20"/>
          <w:szCs w:val="20"/>
        </w:rPr>
        <w:t xml:space="preserve">Kilonzo C, Li X, Vivas EJ, Jay-Russell MT, Fernandez KL, Atwill ER (2013) Fecal shedding of zoonotic food-borne pathogens by wild rodents in a major agricultural region of the central California coast. Applied and Environmental Microbiology 79:6337–6344. </w:t>
      </w:r>
      <w:hyperlink r:id="rId206" w:history="1">
        <w:r w:rsidR="00010BAE" w:rsidRPr="006032FF">
          <w:rPr>
            <w:rStyle w:val="Hyperlink"/>
            <w:rFonts w:cs="Arial"/>
            <w:sz w:val="20"/>
            <w:szCs w:val="20"/>
          </w:rPr>
          <w:t>https://doi.org/10.1128/AEM.01503-13</w:t>
        </w:r>
      </w:hyperlink>
    </w:p>
    <w:p w14:paraId="3DBE49F2" w14:textId="2E354050" w:rsidR="00657FDB" w:rsidRPr="006032FF" w:rsidRDefault="00657FDB" w:rsidP="006032FF">
      <w:pPr>
        <w:pStyle w:val="CitaviBibliographyEntry"/>
        <w:spacing w:after="120"/>
        <w:ind w:left="0" w:firstLine="0"/>
        <w:rPr>
          <w:rFonts w:cs="Arial"/>
          <w:sz w:val="20"/>
          <w:szCs w:val="20"/>
        </w:rPr>
      </w:pPr>
      <w:bookmarkStart w:id="659" w:name="_CTVL0014d44bd10df7e4efdb51f14f6bf8fb4cd"/>
      <w:bookmarkEnd w:id="658"/>
      <w:r w:rsidRPr="006032FF">
        <w:rPr>
          <w:rFonts w:cs="Arial"/>
          <w:sz w:val="20"/>
          <w:szCs w:val="20"/>
        </w:rPr>
        <w:t xml:space="preserve">Kilonzo-Nthenge A, Liu S, Hashem F, Millner P, Githua S (2018) Prevalence of Enterobacteriaceae on fresh produce and food safety practices in small-acreage farms in Tennessee, USA. Journal fuer Verbraucherschutz und Lebensmittelsicherheit/Journal of Consumer Protection and Food Safety 13:279–287. </w:t>
      </w:r>
      <w:hyperlink r:id="rId207" w:history="1">
        <w:r w:rsidR="00010BAE" w:rsidRPr="006032FF">
          <w:rPr>
            <w:rStyle w:val="Hyperlink"/>
            <w:rFonts w:cs="Arial"/>
            <w:sz w:val="20"/>
            <w:szCs w:val="20"/>
          </w:rPr>
          <w:t>https://doi.org/10.1007/s00003-018-1172-y</w:t>
        </w:r>
      </w:hyperlink>
    </w:p>
    <w:p w14:paraId="7CD7BA4E" w14:textId="4ECE418B" w:rsidR="00657FDB" w:rsidRPr="006032FF" w:rsidRDefault="00657FDB" w:rsidP="006032FF">
      <w:pPr>
        <w:pStyle w:val="CitaviBibliographyEntry"/>
        <w:spacing w:after="120"/>
        <w:ind w:left="0" w:firstLine="0"/>
        <w:rPr>
          <w:rFonts w:cs="Arial"/>
          <w:sz w:val="20"/>
          <w:szCs w:val="20"/>
        </w:rPr>
      </w:pPr>
      <w:bookmarkStart w:id="660" w:name="_CTVL0019014516c935b4e1d939c2981b49228fa"/>
      <w:bookmarkEnd w:id="659"/>
      <w:r w:rsidRPr="006032FF">
        <w:rPr>
          <w:rFonts w:cs="Arial"/>
          <w:sz w:val="20"/>
          <w:szCs w:val="20"/>
        </w:rPr>
        <w:t xml:space="preserve">Klein M, Brown L, Tucker RW, Ashbolt NJ, Stuetz RM, Roser DJ (2010) Diversity and abundance of zoonotic pathogens and indicators in manures of feedlot cattle in Australia. Applied and Environmental Microbiology 76:6947–6950. </w:t>
      </w:r>
      <w:hyperlink r:id="rId208" w:history="1">
        <w:r w:rsidR="00010BAE" w:rsidRPr="006032FF">
          <w:rPr>
            <w:rStyle w:val="Hyperlink"/>
            <w:rFonts w:cs="Arial"/>
            <w:sz w:val="20"/>
            <w:szCs w:val="20"/>
          </w:rPr>
          <w:t>https://doi.org/10.1128/AEM.01095-10</w:t>
        </w:r>
      </w:hyperlink>
    </w:p>
    <w:p w14:paraId="6139F266" w14:textId="069AB9A9" w:rsidR="00657FDB" w:rsidRPr="006032FF" w:rsidRDefault="00657FDB" w:rsidP="006032FF">
      <w:pPr>
        <w:pStyle w:val="CitaviBibliographyEntry"/>
        <w:spacing w:after="120"/>
        <w:ind w:left="0" w:firstLine="0"/>
        <w:rPr>
          <w:rFonts w:cs="Arial"/>
          <w:sz w:val="20"/>
          <w:szCs w:val="20"/>
        </w:rPr>
      </w:pPr>
      <w:bookmarkStart w:id="661" w:name="_CTVL001e42c81ff5c5741e5a3f2be5eff700b0b"/>
      <w:bookmarkEnd w:id="660"/>
      <w:r w:rsidRPr="006032FF">
        <w:rPr>
          <w:rFonts w:cs="Arial"/>
          <w:sz w:val="20"/>
          <w:szCs w:val="20"/>
        </w:rPr>
        <w:t xml:space="preserve">Klerks MM, Franz E, van Gent-Pelzer M, Zijlstra C, van Bruggen AHC (2007a) Differential interaction of </w:t>
      </w:r>
      <w:bookmarkEnd w:id="661"/>
      <w:r w:rsidRPr="006032FF">
        <w:rPr>
          <w:rFonts w:cs="Arial"/>
          <w:i/>
          <w:sz w:val="20"/>
          <w:szCs w:val="20"/>
        </w:rPr>
        <w:t xml:space="preserve">Salmonella enterica </w:t>
      </w:r>
      <w:r w:rsidRPr="006032FF">
        <w:rPr>
          <w:rFonts w:cs="Arial"/>
          <w:sz w:val="20"/>
          <w:szCs w:val="20"/>
        </w:rPr>
        <w:t xml:space="preserve">serovars with lettuce cultivars and plant-microbe factors influencing the colonization efficiency. The ISME journal 1:620–631. </w:t>
      </w:r>
      <w:hyperlink r:id="rId209" w:history="1">
        <w:r w:rsidR="00010BAE" w:rsidRPr="006032FF">
          <w:rPr>
            <w:rStyle w:val="Hyperlink"/>
            <w:rFonts w:cs="Arial"/>
            <w:sz w:val="20"/>
            <w:szCs w:val="20"/>
          </w:rPr>
          <w:t>https://doi.org/10.1038/ismej.2007.82</w:t>
        </w:r>
      </w:hyperlink>
    </w:p>
    <w:p w14:paraId="66621C9D" w14:textId="41231792" w:rsidR="00657FDB" w:rsidRPr="006032FF" w:rsidRDefault="00657FDB" w:rsidP="006032FF">
      <w:pPr>
        <w:pStyle w:val="CitaviBibliographyEntry"/>
        <w:spacing w:after="120"/>
        <w:ind w:left="0" w:firstLine="0"/>
        <w:rPr>
          <w:rFonts w:cs="Arial"/>
          <w:sz w:val="20"/>
          <w:szCs w:val="20"/>
        </w:rPr>
      </w:pPr>
      <w:bookmarkStart w:id="662" w:name="_CTVL001de57600243f744d3bf4c4bcba7b32ccd"/>
      <w:r w:rsidRPr="006032FF">
        <w:rPr>
          <w:rFonts w:cs="Arial"/>
          <w:sz w:val="20"/>
          <w:szCs w:val="20"/>
        </w:rPr>
        <w:t xml:space="preserve">Klerks MM, van Gent-Pelzer M, Franz E, Zijlstra C, van Bruggen AHC (2007b) Physiological and molecular responses of </w:t>
      </w:r>
      <w:bookmarkEnd w:id="662"/>
      <w:r w:rsidRPr="006032FF">
        <w:rPr>
          <w:rFonts w:cs="Arial"/>
          <w:i/>
          <w:sz w:val="20"/>
          <w:szCs w:val="20"/>
        </w:rPr>
        <w:t xml:space="preserve">Lactuca sativa </w:t>
      </w:r>
      <w:r w:rsidRPr="006032FF">
        <w:rPr>
          <w:rFonts w:cs="Arial"/>
          <w:sz w:val="20"/>
          <w:szCs w:val="20"/>
        </w:rPr>
        <w:t xml:space="preserve">to colonization by </w:t>
      </w:r>
      <w:r w:rsidRPr="006032FF">
        <w:rPr>
          <w:rFonts w:cs="Arial"/>
          <w:i/>
          <w:sz w:val="20"/>
          <w:szCs w:val="20"/>
        </w:rPr>
        <w:t xml:space="preserve">Salmonella enterica </w:t>
      </w:r>
      <w:r w:rsidRPr="006032FF">
        <w:rPr>
          <w:rFonts w:cs="Arial"/>
          <w:sz w:val="20"/>
          <w:szCs w:val="20"/>
        </w:rPr>
        <w:t xml:space="preserve">serovar Dublin. Applied and Environmental Microbiology 73:4905–4914. </w:t>
      </w:r>
      <w:hyperlink r:id="rId210" w:history="1">
        <w:r w:rsidR="00010BAE" w:rsidRPr="006032FF">
          <w:rPr>
            <w:rStyle w:val="Hyperlink"/>
            <w:rFonts w:cs="Arial"/>
            <w:sz w:val="20"/>
            <w:szCs w:val="20"/>
          </w:rPr>
          <w:t>https://doi.org/10.1128/AEM.02522-06</w:t>
        </w:r>
      </w:hyperlink>
    </w:p>
    <w:p w14:paraId="0B70112D" w14:textId="5DF496CF" w:rsidR="00657FDB" w:rsidRPr="006032FF" w:rsidRDefault="00657FDB" w:rsidP="006032FF">
      <w:pPr>
        <w:pStyle w:val="CitaviBibliographyEntry"/>
        <w:spacing w:after="120"/>
        <w:ind w:left="0" w:firstLine="0"/>
        <w:rPr>
          <w:rFonts w:cs="Arial"/>
          <w:sz w:val="20"/>
          <w:szCs w:val="20"/>
        </w:rPr>
      </w:pPr>
      <w:bookmarkStart w:id="663" w:name="_CTVL00179801cbcb3fb46e9838e91fd7be57ac8"/>
      <w:r w:rsidRPr="006032FF">
        <w:rPr>
          <w:rFonts w:cs="Arial"/>
          <w:sz w:val="20"/>
          <w:szCs w:val="20"/>
        </w:rPr>
        <w:t xml:space="preserve">Knudsen DM, Yamamoto SA, Harris LJ (2001) Survival of </w:t>
      </w:r>
      <w:bookmarkEnd w:id="663"/>
      <w:r w:rsidRPr="006032FF">
        <w:rPr>
          <w:rFonts w:cs="Arial"/>
          <w:i/>
          <w:sz w:val="20"/>
          <w:szCs w:val="20"/>
        </w:rPr>
        <w:t xml:space="preserve">Salmonella </w:t>
      </w:r>
      <w:r w:rsidRPr="006032FF">
        <w:rPr>
          <w:rFonts w:cs="Arial"/>
          <w:sz w:val="20"/>
          <w:szCs w:val="20"/>
        </w:rPr>
        <w:t xml:space="preserve">spp. and </w:t>
      </w:r>
      <w:r w:rsidRPr="006032FF">
        <w:rPr>
          <w:rFonts w:cs="Arial"/>
          <w:i/>
          <w:sz w:val="20"/>
          <w:szCs w:val="20"/>
        </w:rPr>
        <w:t>Escherichia</w:t>
      </w:r>
      <w:r w:rsidR="0057637C">
        <w:rPr>
          <w:rFonts w:cs="Arial"/>
          <w:i/>
          <w:sz w:val="20"/>
          <w:szCs w:val="20"/>
        </w:rPr>
        <w:t> coli </w:t>
      </w:r>
      <w:r w:rsidRPr="006032FF">
        <w:rPr>
          <w:rFonts w:cs="Arial"/>
          <w:sz w:val="20"/>
          <w:szCs w:val="20"/>
        </w:rPr>
        <w:t xml:space="preserve">O157:H7 on fresh and frozen strawberries. Journal of Food Protection 64:1483–1488. </w:t>
      </w:r>
      <w:hyperlink r:id="rId211" w:history="1">
        <w:r w:rsidR="00010BAE" w:rsidRPr="006032FF">
          <w:rPr>
            <w:rStyle w:val="Hyperlink"/>
            <w:rFonts w:cs="Arial"/>
            <w:sz w:val="20"/>
            <w:szCs w:val="20"/>
          </w:rPr>
          <w:t>https://doi.org/10.4315/0362-028X-64.10.1483</w:t>
        </w:r>
      </w:hyperlink>
    </w:p>
    <w:p w14:paraId="51C6EDAB" w14:textId="24894303" w:rsidR="00657FDB" w:rsidRPr="006032FF" w:rsidRDefault="00657FDB" w:rsidP="006032FF">
      <w:pPr>
        <w:pStyle w:val="CitaviBibliographyEntry"/>
        <w:spacing w:after="120"/>
        <w:ind w:left="0" w:firstLine="0"/>
        <w:rPr>
          <w:rFonts w:cs="Arial"/>
          <w:sz w:val="20"/>
          <w:szCs w:val="20"/>
        </w:rPr>
      </w:pPr>
      <w:bookmarkStart w:id="664" w:name="_CTVL001e87070a4de5b43bc9172fd2238adee0b"/>
      <w:r w:rsidRPr="006032FF">
        <w:rPr>
          <w:rFonts w:cs="Arial"/>
          <w:sz w:val="20"/>
          <w:szCs w:val="20"/>
        </w:rPr>
        <w:t xml:space="preserve">Koseki S, Isobe S (2005a) Growth of </w:t>
      </w:r>
      <w:bookmarkEnd w:id="664"/>
      <w:r w:rsidRPr="006032FF">
        <w:rPr>
          <w:rFonts w:cs="Arial"/>
          <w:i/>
          <w:sz w:val="20"/>
          <w:szCs w:val="20"/>
        </w:rPr>
        <w:t xml:space="preserve">Listeria monocytogenes </w:t>
      </w:r>
      <w:r w:rsidRPr="006032FF">
        <w:rPr>
          <w:rFonts w:cs="Arial"/>
          <w:sz w:val="20"/>
          <w:szCs w:val="20"/>
        </w:rPr>
        <w:t xml:space="preserve">on iceberg lettuce and solid media. International Journal of Food Microbiology 101:217–225. </w:t>
      </w:r>
      <w:hyperlink r:id="rId212" w:history="1">
        <w:r w:rsidR="00010BAE" w:rsidRPr="006032FF">
          <w:rPr>
            <w:rStyle w:val="Hyperlink"/>
            <w:rFonts w:cs="Arial"/>
            <w:sz w:val="20"/>
            <w:szCs w:val="20"/>
          </w:rPr>
          <w:t>https://doi.org/10.1016/j.ijfoodmicro.2004.11.008</w:t>
        </w:r>
      </w:hyperlink>
    </w:p>
    <w:p w14:paraId="2E786D68" w14:textId="4B3AAEE7" w:rsidR="00657FDB" w:rsidRPr="006032FF" w:rsidRDefault="00657FDB" w:rsidP="006032FF">
      <w:pPr>
        <w:pStyle w:val="CitaviBibliographyEntry"/>
        <w:spacing w:after="120"/>
        <w:ind w:left="0" w:firstLine="0"/>
        <w:rPr>
          <w:rFonts w:cs="Arial"/>
          <w:sz w:val="20"/>
          <w:szCs w:val="20"/>
        </w:rPr>
      </w:pPr>
      <w:bookmarkStart w:id="665" w:name="_CTVL00134335d3c32bb468c90772de0f8a48b19"/>
      <w:r w:rsidRPr="006032FF">
        <w:rPr>
          <w:rFonts w:cs="Arial"/>
          <w:sz w:val="20"/>
          <w:szCs w:val="20"/>
        </w:rPr>
        <w:t xml:space="preserve">Koseki S, Isobe S (2005b) Prediction of pathogen growth on iceberg lettuce under real temperature history during distribution from farm to table. International Journal of Food Microbiology 104:239–248. </w:t>
      </w:r>
      <w:hyperlink r:id="rId213" w:history="1">
        <w:r w:rsidR="00010BAE" w:rsidRPr="006032FF">
          <w:rPr>
            <w:rStyle w:val="Hyperlink"/>
            <w:rFonts w:cs="Arial"/>
            <w:sz w:val="20"/>
            <w:szCs w:val="20"/>
          </w:rPr>
          <w:t>https://doi.org/10.1016/j.ijfoodmicro.2005.02.012</w:t>
        </w:r>
      </w:hyperlink>
    </w:p>
    <w:p w14:paraId="57746486" w14:textId="7FFFC330" w:rsidR="00657FDB" w:rsidRPr="006032FF" w:rsidRDefault="00657FDB" w:rsidP="006032FF">
      <w:pPr>
        <w:pStyle w:val="CitaviBibliographyEntry"/>
        <w:spacing w:after="120"/>
        <w:ind w:left="0" w:firstLine="0"/>
        <w:rPr>
          <w:rFonts w:cs="Arial"/>
          <w:sz w:val="20"/>
          <w:szCs w:val="20"/>
        </w:rPr>
      </w:pPr>
      <w:bookmarkStart w:id="666" w:name="_CTVL00169051d031fea4d509b70a8c8f42b269d"/>
      <w:bookmarkEnd w:id="665"/>
      <w:r w:rsidRPr="006032FF">
        <w:rPr>
          <w:rFonts w:cs="Arial"/>
          <w:sz w:val="20"/>
          <w:szCs w:val="20"/>
        </w:rPr>
        <w:t xml:space="preserve">Koseki S, Mizuno Y, Yamamoto K (2011) Comparison of two possible routes of pathogen contamination of spinach leaves in a hydroponic cultivation system. Journal of Food Protection 74:1536–1542. </w:t>
      </w:r>
      <w:hyperlink r:id="rId214" w:history="1">
        <w:r w:rsidR="00010BAE" w:rsidRPr="006032FF">
          <w:rPr>
            <w:rStyle w:val="Hyperlink"/>
            <w:rFonts w:cs="Arial"/>
            <w:sz w:val="20"/>
            <w:szCs w:val="20"/>
          </w:rPr>
          <w:t>https://doi.org/10.4315/0362-028X.JFP-11-031</w:t>
        </w:r>
      </w:hyperlink>
    </w:p>
    <w:p w14:paraId="0043ECAC" w14:textId="449F9D5E" w:rsidR="00657FDB" w:rsidRPr="006032FF" w:rsidRDefault="00657FDB" w:rsidP="006032FF">
      <w:pPr>
        <w:pStyle w:val="CitaviBibliographyEntry"/>
        <w:spacing w:after="120"/>
        <w:ind w:left="0" w:firstLine="0"/>
        <w:rPr>
          <w:rFonts w:cs="Arial"/>
          <w:sz w:val="20"/>
          <w:szCs w:val="20"/>
        </w:rPr>
      </w:pPr>
      <w:bookmarkStart w:id="667" w:name="_CTVL001c2bc38fb059e4b5c9f30e5148ade578e"/>
      <w:bookmarkEnd w:id="666"/>
      <w:r w:rsidRPr="006032FF">
        <w:rPr>
          <w:rFonts w:cs="Arial"/>
          <w:sz w:val="20"/>
          <w:szCs w:val="20"/>
        </w:rPr>
        <w:t xml:space="preserve">Ku K-M, Chiu Y-C, Shen C, Jenks M (2020) Leaf cuticular waxes of lettuce are associated with reduced attachment of the foodborne pathogen </w:t>
      </w:r>
      <w:bookmarkEnd w:id="667"/>
      <w:r w:rsidRPr="006032FF">
        <w:rPr>
          <w:rFonts w:cs="Arial"/>
          <w:i/>
          <w:sz w:val="20"/>
          <w:szCs w:val="20"/>
        </w:rPr>
        <w:t xml:space="preserve">Salmonella </w:t>
      </w:r>
      <w:r w:rsidRPr="006032FF">
        <w:rPr>
          <w:rFonts w:cs="Arial"/>
          <w:sz w:val="20"/>
          <w:szCs w:val="20"/>
        </w:rPr>
        <w:t xml:space="preserve">spp. at harvest and after postharvest storage. LWT 117. </w:t>
      </w:r>
      <w:hyperlink r:id="rId215" w:history="1">
        <w:r w:rsidR="00010BAE" w:rsidRPr="006032FF">
          <w:rPr>
            <w:rStyle w:val="Hyperlink"/>
            <w:rFonts w:cs="Arial"/>
            <w:sz w:val="20"/>
            <w:szCs w:val="20"/>
          </w:rPr>
          <w:t>https://doi.org/10.1016/j.lwt.2019.108657</w:t>
        </w:r>
      </w:hyperlink>
    </w:p>
    <w:p w14:paraId="6C18FE90" w14:textId="7E89F046" w:rsidR="00657FDB" w:rsidRPr="006032FF" w:rsidRDefault="00657FDB" w:rsidP="006032FF">
      <w:pPr>
        <w:pStyle w:val="CitaviBibliographyEntry"/>
        <w:spacing w:after="120"/>
        <w:ind w:left="0" w:firstLine="0"/>
        <w:rPr>
          <w:rFonts w:cs="Arial"/>
          <w:sz w:val="20"/>
          <w:szCs w:val="20"/>
        </w:rPr>
      </w:pPr>
      <w:bookmarkStart w:id="668" w:name="_CTVL001ca92adb9c5ab438fbb17d92c81d5cfc9"/>
      <w:r w:rsidRPr="006032FF">
        <w:rPr>
          <w:rFonts w:cs="Arial"/>
          <w:sz w:val="20"/>
          <w:szCs w:val="20"/>
        </w:rPr>
        <w:t xml:space="preserve">Kuan CH, Rukayadi Y, Ahmad SH, Radzi C, Thung TY, Premarathne J, Chang WS, Loo YY, Tan CW, Ramzi OB, Fadzil S, Kuan CS, Yeo s, Nishibuchi M, Radu S (2017) Comparison of the microbiological quality and safety between conventional and organic vegetables sold in Malaysia. Frontiers in Microbiology 8:1433. </w:t>
      </w:r>
      <w:hyperlink r:id="rId216" w:history="1">
        <w:r w:rsidR="00010BAE" w:rsidRPr="006032FF">
          <w:rPr>
            <w:rStyle w:val="Hyperlink"/>
            <w:rFonts w:cs="Arial"/>
            <w:sz w:val="20"/>
            <w:szCs w:val="20"/>
          </w:rPr>
          <w:t>https://doi.org/10.3389/fmicb.2017.01433</w:t>
        </w:r>
      </w:hyperlink>
    </w:p>
    <w:p w14:paraId="627E4E77" w14:textId="0964DB31" w:rsidR="00657FDB" w:rsidRPr="006032FF" w:rsidRDefault="00657FDB" w:rsidP="006032FF">
      <w:pPr>
        <w:pStyle w:val="CitaviBibliographyEntry"/>
        <w:spacing w:after="120"/>
        <w:ind w:left="0" w:firstLine="0"/>
        <w:rPr>
          <w:rFonts w:cs="Arial"/>
          <w:sz w:val="20"/>
          <w:szCs w:val="20"/>
        </w:rPr>
      </w:pPr>
      <w:bookmarkStart w:id="669" w:name="_CTVL0013d389fca64b8403096372dbe93f6086d"/>
      <w:bookmarkEnd w:id="668"/>
      <w:r w:rsidRPr="006032FF">
        <w:rPr>
          <w:rFonts w:cs="Arial"/>
          <w:sz w:val="20"/>
          <w:szCs w:val="20"/>
        </w:rPr>
        <w:t xml:space="preserve">Kurtböke DI, Palk A, Marker A, Neuman C, Moss L, Streeter K, Katouli M (2016) Isolation and characterization of Enterobacteriaceae species infesting post-harvest strawberries and their biological control using bacteriophages. Applied Microbiology and Biotechnology 100:8593–8606. </w:t>
      </w:r>
      <w:hyperlink r:id="rId217" w:history="1">
        <w:r w:rsidR="00010BAE" w:rsidRPr="006032FF">
          <w:rPr>
            <w:rStyle w:val="Hyperlink"/>
            <w:rFonts w:cs="Arial"/>
            <w:sz w:val="20"/>
            <w:szCs w:val="20"/>
          </w:rPr>
          <w:t>https://doi.org/10.1007/s00253-016-7651-0</w:t>
        </w:r>
      </w:hyperlink>
    </w:p>
    <w:p w14:paraId="2E2C76E0" w14:textId="338F6D36" w:rsidR="00657FDB" w:rsidRPr="006032FF" w:rsidRDefault="00657FDB" w:rsidP="006032FF">
      <w:pPr>
        <w:pStyle w:val="CitaviBibliographyEntry"/>
        <w:spacing w:after="120"/>
        <w:ind w:left="0" w:firstLine="0"/>
        <w:rPr>
          <w:rFonts w:cs="Arial"/>
          <w:sz w:val="20"/>
          <w:szCs w:val="20"/>
        </w:rPr>
      </w:pPr>
      <w:bookmarkStart w:id="670" w:name="_CTVL001a40bf812af264d7ab087fb4f863bebcc"/>
      <w:bookmarkEnd w:id="669"/>
      <w:r w:rsidRPr="006032FF">
        <w:rPr>
          <w:rFonts w:cs="Arial"/>
          <w:sz w:val="20"/>
          <w:szCs w:val="20"/>
        </w:rPr>
        <w:t xml:space="preserve">Kwon SA, Song WJ, Kang DH (2018) Comparison of the effect of saturated and superheated steam on the inactivation of </w:t>
      </w:r>
      <w:bookmarkEnd w:id="670"/>
      <w:r w:rsidRPr="006032FF">
        <w:rPr>
          <w:rFonts w:cs="Arial"/>
          <w:i/>
          <w:sz w:val="20"/>
          <w:szCs w:val="20"/>
        </w:rPr>
        <w:t xml:space="preserve">Escherichia coli </w:t>
      </w:r>
      <w:r w:rsidRPr="006032FF">
        <w:rPr>
          <w:rFonts w:cs="Arial"/>
          <w:sz w:val="20"/>
          <w:szCs w:val="20"/>
        </w:rPr>
        <w:t xml:space="preserve">O157:H7, </w:t>
      </w:r>
      <w:r w:rsidRPr="006032FF">
        <w:rPr>
          <w:rFonts w:cs="Arial"/>
          <w:i/>
          <w:sz w:val="20"/>
          <w:szCs w:val="20"/>
        </w:rPr>
        <w:t xml:space="preserve">Salmonella </w:t>
      </w:r>
      <w:r w:rsidRPr="006032FF">
        <w:rPr>
          <w:rFonts w:cs="Arial"/>
          <w:sz w:val="20"/>
          <w:szCs w:val="20"/>
        </w:rPr>
        <w:t xml:space="preserve">Typhimurium and </w:t>
      </w:r>
      <w:r w:rsidRPr="006032FF">
        <w:rPr>
          <w:rFonts w:cs="Arial"/>
          <w:i/>
          <w:sz w:val="20"/>
          <w:szCs w:val="20"/>
        </w:rPr>
        <w:t xml:space="preserve">Listeria monocytogenes </w:t>
      </w:r>
      <w:r w:rsidRPr="006032FF">
        <w:rPr>
          <w:rFonts w:cs="Arial"/>
          <w:sz w:val="20"/>
          <w:szCs w:val="20"/>
        </w:rPr>
        <w:t xml:space="preserve">on cantaloupe and watermelon surfaces. Food Microbiology 72:157–165. </w:t>
      </w:r>
      <w:hyperlink r:id="rId218" w:history="1">
        <w:r w:rsidR="00010BAE" w:rsidRPr="006032FF">
          <w:rPr>
            <w:rStyle w:val="Hyperlink"/>
            <w:rFonts w:cs="Arial"/>
            <w:sz w:val="20"/>
            <w:szCs w:val="20"/>
          </w:rPr>
          <w:t>https://doi.org/10.1016/j.fm.2017.10.012</w:t>
        </w:r>
      </w:hyperlink>
    </w:p>
    <w:p w14:paraId="30B38A58" w14:textId="165D9412" w:rsidR="00657FDB" w:rsidRPr="006032FF" w:rsidRDefault="00657FDB" w:rsidP="006032FF">
      <w:pPr>
        <w:pStyle w:val="CitaviBibliographyEntry"/>
        <w:spacing w:after="120"/>
        <w:ind w:left="0" w:firstLine="0"/>
        <w:rPr>
          <w:rFonts w:cs="Arial"/>
          <w:sz w:val="20"/>
          <w:szCs w:val="20"/>
        </w:rPr>
      </w:pPr>
      <w:bookmarkStart w:id="671" w:name="_CTVL00180bfdec6d3084c35841c955c03421c78"/>
      <w:r w:rsidRPr="006032FF">
        <w:rPr>
          <w:rFonts w:cs="Arial"/>
          <w:sz w:val="20"/>
          <w:szCs w:val="20"/>
        </w:rPr>
        <w:t xml:space="preserve">Kyere EO, Foong G, Palmer J, Wargent JJ, Fletcher GC, Flint S (2019) Rapid attachment of </w:t>
      </w:r>
      <w:bookmarkEnd w:id="671"/>
      <w:r w:rsidR="0057637C">
        <w:rPr>
          <w:rFonts w:cs="Arial"/>
          <w:i/>
          <w:sz w:val="20"/>
          <w:szCs w:val="20"/>
        </w:rPr>
        <w:t>Listeria </w:t>
      </w:r>
      <w:r w:rsidRPr="006032FF">
        <w:rPr>
          <w:rFonts w:cs="Arial"/>
          <w:i/>
          <w:sz w:val="20"/>
          <w:szCs w:val="20"/>
        </w:rPr>
        <w:t xml:space="preserve">monocytogenes </w:t>
      </w:r>
      <w:r w:rsidRPr="006032FF">
        <w:rPr>
          <w:rFonts w:cs="Arial"/>
          <w:sz w:val="20"/>
          <w:szCs w:val="20"/>
        </w:rPr>
        <w:t xml:space="preserve">to hydroponic and soil grown lettuce leaves. Food Control 101:77–80. </w:t>
      </w:r>
      <w:hyperlink r:id="rId219" w:history="1">
        <w:r w:rsidR="00010BAE" w:rsidRPr="006032FF">
          <w:rPr>
            <w:rStyle w:val="Hyperlink"/>
            <w:rFonts w:cs="Arial"/>
            <w:sz w:val="20"/>
            <w:szCs w:val="20"/>
          </w:rPr>
          <w:t>https://doi.org/10.1016/j.foodcont.2019.02.015</w:t>
        </w:r>
      </w:hyperlink>
    </w:p>
    <w:p w14:paraId="55B02E7D" w14:textId="0242B2EF" w:rsidR="00657FDB" w:rsidRPr="006032FF" w:rsidRDefault="00657FDB" w:rsidP="006032FF">
      <w:pPr>
        <w:pStyle w:val="CitaviBibliographyEntry"/>
        <w:spacing w:after="120"/>
        <w:ind w:left="0" w:firstLine="0"/>
        <w:rPr>
          <w:rFonts w:cs="Arial"/>
          <w:sz w:val="20"/>
          <w:szCs w:val="20"/>
        </w:rPr>
      </w:pPr>
      <w:bookmarkStart w:id="672" w:name="_CTVL0015ad48dc5bc3348c884eaf61da82e0941"/>
      <w:r w:rsidRPr="006032FF">
        <w:rPr>
          <w:rFonts w:cs="Arial"/>
          <w:sz w:val="20"/>
          <w:szCs w:val="20"/>
        </w:rPr>
        <w:t xml:space="preserve">Laidler MR, Tourdjman M, Buser GL, Hostetler T, Repp KK, Leman R, Samadpour M, Keene WE (2013) </w:t>
      </w:r>
      <w:bookmarkEnd w:id="672"/>
      <w:r w:rsidRPr="006032FF">
        <w:rPr>
          <w:rFonts w:cs="Arial"/>
          <w:i/>
          <w:sz w:val="20"/>
          <w:szCs w:val="20"/>
        </w:rPr>
        <w:t>Escherichia coli</w:t>
      </w:r>
      <w:r w:rsidRPr="006032FF">
        <w:rPr>
          <w:rFonts w:cs="Arial"/>
          <w:sz w:val="20"/>
          <w:szCs w:val="20"/>
        </w:rPr>
        <w:t xml:space="preserve"> O157:H7 infections associated with consumption of locally grown strawberries contaminated by deer. Clinical Infectious Diseases 57:1129–1134. </w:t>
      </w:r>
      <w:hyperlink r:id="rId220" w:history="1">
        <w:r w:rsidR="00010BAE" w:rsidRPr="006032FF">
          <w:rPr>
            <w:rStyle w:val="Hyperlink"/>
            <w:rFonts w:cs="Arial"/>
            <w:sz w:val="20"/>
            <w:szCs w:val="20"/>
          </w:rPr>
          <w:t>https://doi.org/10.1093/cid/cit468</w:t>
        </w:r>
      </w:hyperlink>
    </w:p>
    <w:p w14:paraId="5D985D77" w14:textId="732F956E" w:rsidR="00657FDB" w:rsidRPr="006032FF" w:rsidRDefault="00657FDB" w:rsidP="006032FF">
      <w:pPr>
        <w:pStyle w:val="CitaviBibliographyEntry"/>
        <w:spacing w:after="120"/>
        <w:ind w:left="0" w:firstLine="0"/>
        <w:rPr>
          <w:rFonts w:cs="Arial"/>
          <w:sz w:val="20"/>
          <w:szCs w:val="20"/>
        </w:rPr>
      </w:pPr>
      <w:bookmarkStart w:id="673" w:name="_CTVL001b47c8841052a44728742e50d8fbcb73c"/>
      <w:r w:rsidRPr="006032FF">
        <w:rPr>
          <w:rFonts w:cs="Arial"/>
          <w:sz w:val="20"/>
          <w:szCs w:val="20"/>
        </w:rPr>
        <w:t xml:space="preserve">Lamhoujeb S, Fliss I, Ngazoa SE, Jean J (2009) Molecular study of the persistence of infectious human norovirus on food-contact surfaces. Food and Environmental Virology 1:51–56. </w:t>
      </w:r>
      <w:hyperlink r:id="rId221" w:history="1">
        <w:r w:rsidR="00010BAE" w:rsidRPr="006032FF">
          <w:rPr>
            <w:rStyle w:val="Hyperlink"/>
            <w:rFonts w:cs="Arial"/>
            <w:sz w:val="20"/>
            <w:szCs w:val="20"/>
          </w:rPr>
          <w:t>https://doi.org/10.1007/s12560-009-9010-0</w:t>
        </w:r>
      </w:hyperlink>
    </w:p>
    <w:p w14:paraId="0C8A86A8" w14:textId="25977C20" w:rsidR="00657FDB" w:rsidRPr="006032FF" w:rsidRDefault="00657FDB" w:rsidP="006032FF">
      <w:pPr>
        <w:pStyle w:val="CitaviBibliographyEntry"/>
        <w:spacing w:after="120"/>
        <w:ind w:left="0" w:firstLine="0"/>
        <w:rPr>
          <w:rFonts w:cs="Arial"/>
          <w:sz w:val="20"/>
          <w:szCs w:val="20"/>
        </w:rPr>
      </w:pPr>
      <w:bookmarkStart w:id="674" w:name="_CTVL0011962353b18cf44c397fde2bdc91f1350"/>
      <w:bookmarkEnd w:id="673"/>
      <w:r w:rsidRPr="006032FF">
        <w:rPr>
          <w:rFonts w:cs="Arial"/>
          <w:sz w:val="20"/>
          <w:szCs w:val="20"/>
        </w:rPr>
        <w:t xml:space="preserve">Lang MM, Harris LJ, Beuchat LR (2004) Survival and recovery of </w:t>
      </w:r>
      <w:bookmarkEnd w:id="674"/>
      <w:r w:rsidRPr="006032FF">
        <w:rPr>
          <w:rFonts w:cs="Arial"/>
          <w:i/>
          <w:sz w:val="20"/>
          <w:szCs w:val="20"/>
        </w:rPr>
        <w:t xml:space="preserve">Escherichia coli </w:t>
      </w:r>
      <w:r w:rsidRPr="006032FF">
        <w:rPr>
          <w:rFonts w:cs="Arial"/>
          <w:sz w:val="20"/>
          <w:szCs w:val="20"/>
        </w:rPr>
        <w:t xml:space="preserve">O157:H7, </w:t>
      </w:r>
      <w:r w:rsidRPr="006032FF">
        <w:rPr>
          <w:rFonts w:cs="Arial"/>
          <w:i/>
          <w:sz w:val="20"/>
          <w:szCs w:val="20"/>
        </w:rPr>
        <w:t>Salmonella</w:t>
      </w:r>
      <w:r w:rsidRPr="006032FF">
        <w:rPr>
          <w:rFonts w:cs="Arial"/>
          <w:sz w:val="20"/>
          <w:szCs w:val="20"/>
        </w:rPr>
        <w:t xml:space="preserve">, and </w:t>
      </w:r>
      <w:r w:rsidRPr="006032FF">
        <w:rPr>
          <w:rFonts w:cs="Arial"/>
          <w:i/>
          <w:sz w:val="20"/>
          <w:szCs w:val="20"/>
        </w:rPr>
        <w:t xml:space="preserve">Listeria monocytogenes </w:t>
      </w:r>
      <w:r w:rsidRPr="006032FF">
        <w:rPr>
          <w:rFonts w:cs="Arial"/>
          <w:sz w:val="20"/>
          <w:szCs w:val="20"/>
        </w:rPr>
        <w:t xml:space="preserve">on lettuce and parsley as affected by method of inoculation, time between inoculation and analysis, and treatment with chlorinated water. Journal of Food Protection 67:1092–1103. </w:t>
      </w:r>
      <w:hyperlink r:id="rId222" w:history="1">
        <w:r w:rsidR="00010BAE" w:rsidRPr="006032FF">
          <w:rPr>
            <w:rStyle w:val="Hyperlink"/>
            <w:rFonts w:cs="Arial"/>
            <w:sz w:val="20"/>
            <w:szCs w:val="20"/>
          </w:rPr>
          <w:t>https://doi.org/10.4315/0362-028X-67.6.1092</w:t>
        </w:r>
      </w:hyperlink>
    </w:p>
    <w:p w14:paraId="2414D16D" w14:textId="236DE3E0" w:rsidR="00657FDB" w:rsidRPr="006032FF" w:rsidRDefault="00657FDB" w:rsidP="006032FF">
      <w:pPr>
        <w:pStyle w:val="CitaviBibliographyEntry"/>
        <w:spacing w:after="120"/>
        <w:ind w:left="0" w:firstLine="0"/>
        <w:rPr>
          <w:rFonts w:cs="Arial"/>
          <w:sz w:val="20"/>
          <w:szCs w:val="20"/>
        </w:rPr>
      </w:pPr>
      <w:bookmarkStart w:id="675" w:name="_CTVL001d9774edfa6964729a9ab28159f0e8d3d"/>
      <w:r w:rsidRPr="006032FF">
        <w:rPr>
          <w:rFonts w:cs="Arial"/>
          <w:sz w:val="20"/>
          <w:szCs w:val="20"/>
        </w:rPr>
        <w:t xml:space="preserve">Lapidot A, Romling U, Yaron S (2006) Biofilm formation and the survival of </w:t>
      </w:r>
      <w:bookmarkEnd w:id="675"/>
      <w:r w:rsidRPr="006032FF">
        <w:rPr>
          <w:rFonts w:cs="Arial"/>
          <w:i/>
          <w:sz w:val="20"/>
          <w:szCs w:val="20"/>
        </w:rPr>
        <w:t xml:space="preserve">Salmonella </w:t>
      </w:r>
      <w:r w:rsidRPr="006032FF">
        <w:rPr>
          <w:rFonts w:cs="Arial"/>
          <w:sz w:val="20"/>
          <w:szCs w:val="20"/>
        </w:rPr>
        <w:t xml:space="preserve">Typhimurium on parsley. International Journal of Food Microbiology 109:229–233. </w:t>
      </w:r>
      <w:hyperlink r:id="rId223" w:history="1">
        <w:r w:rsidR="00010BAE" w:rsidRPr="006032FF">
          <w:rPr>
            <w:rStyle w:val="Hyperlink"/>
            <w:rFonts w:cs="Arial"/>
            <w:sz w:val="20"/>
            <w:szCs w:val="20"/>
          </w:rPr>
          <w:t>https://doi.org/10.1016/j.ijfoodmicro.2006.01.012</w:t>
        </w:r>
      </w:hyperlink>
    </w:p>
    <w:p w14:paraId="65EA1869" w14:textId="2A7C3FF1" w:rsidR="00657FDB" w:rsidRPr="006032FF" w:rsidRDefault="00657FDB" w:rsidP="006032FF">
      <w:pPr>
        <w:pStyle w:val="CitaviBibliographyEntry"/>
        <w:spacing w:after="120"/>
        <w:ind w:left="0" w:firstLine="0"/>
        <w:rPr>
          <w:rFonts w:cs="Arial"/>
          <w:sz w:val="20"/>
          <w:szCs w:val="20"/>
        </w:rPr>
      </w:pPr>
      <w:bookmarkStart w:id="676" w:name="_CTVL0012023095d24494c2e8c083d52baa96562"/>
      <w:r w:rsidRPr="006032FF">
        <w:rPr>
          <w:rFonts w:cs="Arial"/>
          <w:sz w:val="20"/>
          <w:szCs w:val="20"/>
        </w:rPr>
        <w:t xml:space="preserve">Lazouskaya V, Sun T, Liu L, Wang G, Jin Y (2016) Effect of surface properties on colloid retention on natural and surrogate produce surfaces. Journal of Food Science 81:E2956-E2965. </w:t>
      </w:r>
      <w:hyperlink r:id="rId224" w:history="1">
        <w:r w:rsidR="00010BAE" w:rsidRPr="006032FF">
          <w:rPr>
            <w:rStyle w:val="Hyperlink"/>
            <w:rFonts w:cs="Arial"/>
            <w:sz w:val="20"/>
            <w:szCs w:val="20"/>
          </w:rPr>
          <w:t>https://doi.org/10.1111/1750-3841.13543</w:t>
        </w:r>
      </w:hyperlink>
    </w:p>
    <w:p w14:paraId="48995578" w14:textId="77B80FAD" w:rsidR="00657FDB" w:rsidRPr="006032FF" w:rsidRDefault="00657FDB" w:rsidP="006032FF">
      <w:pPr>
        <w:pStyle w:val="CitaviBibliographyEntry"/>
        <w:spacing w:after="120"/>
        <w:ind w:left="0" w:firstLine="0"/>
        <w:rPr>
          <w:rFonts w:cs="Arial"/>
          <w:sz w:val="20"/>
          <w:szCs w:val="20"/>
        </w:rPr>
      </w:pPr>
      <w:bookmarkStart w:id="677" w:name="_CTVL001be14b1f03c9441bc9535c777a425e4e8"/>
      <w:bookmarkEnd w:id="676"/>
      <w:r w:rsidRPr="006032FF">
        <w:rPr>
          <w:rFonts w:cs="Arial"/>
          <w:sz w:val="20"/>
          <w:szCs w:val="20"/>
        </w:rPr>
        <w:t xml:space="preserve">Leblanc D, Gagné M-J, Poitras É, Brassard J (2019) Persistence of murine norovirus, bovine rotavirus, and hepatitis A virus on stainless steel surfaces, in spring </w:t>
      </w:r>
      <w:r w:rsidR="009155E4">
        <w:rPr>
          <w:rFonts w:cs="Arial"/>
          <w:sz w:val="20"/>
          <w:szCs w:val="20"/>
        </w:rPr>
        <w:t>water, and on blueberries. Food </w:t>
      </w:r>
      <w:r w:rsidRPr="006032FF">
        <w:rPr>
          <w:rFonts w:cs="Arial"/>
          <w:sz w:val="20"/>
          <w:szCs w:val="20"/>
        </w:rPr>
        <w:t xml:space="preserve">Microbiology 84:103257. </w:t>
      </w:r>
      <w:hyperlink r:id="rId225" w:history="1">
        <w:r w:rsidR="00010BAE" w:rsidRPr="006032FF">
          <w:rPr>
            <w:rStyle w:val="Hyperlink"/>
            <w:rFonts w:cs="Arial"/>
            <w:sz w:val="20"/>
            <w:szCs w:val="20"/>
          </w:rPr>
          <w:t>https://doi.org/10.1016/j.fm.2019.103257</w:t>
        </w:r>
      </w:hyperlink>
    </w:p>
    <w:p w14:paraId="7086AF15" w14:textId="5DEEF76C" w:rsidR="00657FDB" w:rsidRPr="006032FF" w:rsidRDefault="00657FDB" w:rsidP="006032FF">
      <w:pPr>
        <w:pStyle w:val="CitaviBibliographyEntry"/>
        <w:spacing w:after="120"/>
        <w:ind w:left="0" w:firstLine="0"/>
        <w:rPr>
          <w:rFonts w:cs="Arial"/>
          <w:sz w:val="20"/>
          <w:szCs w:val="20"/>
        </w:rPr>
      </w:pPr>
      <w:bookmarkStart w:id="678" w:name="_CTVL0018427591dbda04b6cadb910f00f2e9608"/>
      <w:bookmarkEnd w:id="677"/>
      <w:r w:rsidRPr="006032FF">
        <w:rPr>
          <w:rFonts w:cs="Arial"/>
          <w:sz w:val="20"/>
          <w:szCs w:val="20"/>
        </w:rPr>
        <w:t xml:space="preserve">Lehto M, Kuisma R, Maatta J, Kymalainen HR, Mäki M (2011) Hygienic level and surface contamination in fresh-cut vegetable production plants. Food Control 22:469–475. </w:t>
      </w:r>
      <w:hyperlink r:id="rId226" w:history="1">
        <w:r w:rsidR="00010BAE" w:rsidRPr="006032FF">
          <w:rPr>
            <w:rStyle w:val="Hyperlink"/>
            <w:rFonts w:cs="Arial"/>
            <w:sz w:val="20"/>
            <w:szCs w:val="20"/>
          </w:rPr>
          <w:t>https://doi.org/10.1016/j.foodcont.2010.09.029</w:t>
        </w:r>
      </w:hyperlink>
    </w:p>
    <w:p w14:paraId="4047DABF" w14:textId="4530285E" w:rsidR="00657FDB" w:rsidRPr="006032FF" w:rsidRDefault="00657FDB" w:rsidP="006032FF">
      <w:pPr>
        <w:pStyle w:val="CitaviBibliographyEntry"/>
        <w:spacing w:after="120"/>
        <w:ind w:left="0" w:firstLine="0"/>
        <w:rPr>
          <w:rFonts w:cs="Arial"/>
          <w:sz w:val="20"/>
          <w:szCs w:val="20"/>
        </w:rPr>
      </w:pPr>
      <w:bookmarkStart w:id="679" w:name="_CTVL001f220d53f7da24521a630cbc17eb87663"/>
      <w:bookmarkEnd w:id="678"/>
      <w:r w:rsidRPr="006032FF">
        <w:rPr>
          <w:rFonts w:cs="Arial"/>
          <w:sz w:val="20"/>
          <w:szCs w:val="20"/>
        </w:rPr>
        <w:t xml:space="preserve">Leifert C, Ball K, Volakakis N, Cooper JM (2008) Control of enteric pathogens in ready-to-eat vegetable crops in organic and </w:t>
      </w:r>
      <w:r w:rsidR="00010BAE" w:rsidRPr="006032FF">
        <w:rPr>
          <w:rFonts w:cs="Arial"/>
          <w:sz w:val="20"/>
          <w:szCs w:val="20"/>
        </w:rPr>
        <w:t>‘</w:t>
      </w:r>
      <w:r w:rsidRPr="006032FF">
        <w:rPr>
          <w:rFonts w:cs="Arial"/>
          <w:sz w:val="20"/>
          <w:szCs w:val="20"/>
        </w:rPr>
        <w:t>low input</w:t>
      </w:r>
      <w:r w:rsidR="00010BAE" w:rsidRPr="006032FF">
        <w:rPr>
          <w:rFonts w:cs="Arial"/>
          <w:sz w:val="20"/>
          <w:szCs w:val="20"/>
        </w:rPr>
        <w:t>’</w:t>
      </w:r>
      <w:r w:rsidRPr="006032FF">
        <w:rPr>
          <w:rFonts w:cs="Arial"/>
          <w:sz w:val="20"/>
          <w:szCs w:val="20"/>
        </w:rPr>
        <w:t xml:space="preserve"> production systems: A HACCP-based approach. Journal of Applied Microbiology 105:931–950. </w:t>
      </w:r>
      <w:hyperlink r:id="rId227" w:history="1">
        <w:r w:rsidR="00010BAE" w:rsidRPr="006032FF">
          <w:rPr>
            <w:rStyle w:val="Hyperlink"/>
            <w:rFonts w:cs="Arial"/>
            <w:sz w:val="20"/>
            <w:szCs w:val="20"/>
          </w:rPr>
          <w:t>https://doi.org/10.1111/j.1365-2672.2008.03794.x</w:t>
        </w:r>
      </w:hyperlink>
    </w:p>
    <w:p w14:paraId="69E3C1B4" w14:textId="2651E674" w:rsidR="00657FDB" w:rsidRPr="006032FF" w:rsidRDefault="00657FDB" w:rsidP="006032FF">
      <w:pPr>
        <w:pStyle w:val="CitaviBibliographyEntry"/>
        <w:spacing w:after="120"/>
        <w:ind w:left="0" w:firstLine="0"/>
        <w:rPr>
          <w:rFonts w:cs="Arial"/>
          <w:sz w:val="20"/>
          <w:szCs w:val="20"/>
        </w:rPr>
      </w:pPr>
      <w:bookmarkStart w:id="680" w:name="_CTVL0017ccce03b789e4276b2b5eb407d30fdef"/>
      <w:bookmarkEnd w:id="679"/>
      <w:r w:rsidRPr="006032FF">
        <w:rPr>
          <w:rFonts w:cs="Arial"/>
          <w:sz w:val="20"/>
          <w:szCs w:val="20"/>
        </w:rPr>
        <w:t xml:space="preserve">Lemunier M, Francou C, Rousseaux S, Houot S, Dantigny P, Piveteau P, Guzzo J (2005) Long-term survival of pathogenic and sanitation indicator bacteria in experimental biowaste composts. Applied and Environmental Microbiology 71:5779–5786. </w:t>
      </w:r>
      <w:hyperlink r:id="rId228" w:history="1">
        <w:r w:rsidR="00010BAE" w:rsidRPr="006032FF">
          <w:rPr>
            <w:rStyle w:val="Hyperlink"/>
            <w:rFonts w:cs="Arial"/>
            <w:sz w:val="20"/>
            <w:szCs w:val="20"/>
          </w:rPr>
          <w:t>https://doi.org/10.1128/AEM.71.10.5779-5786.2005</w:t>
        </w:r>
      </w:hyperlink>
    </w:p>
    <w:p w14:paraId="237769ED" w14:textId="0AA3CAF8" w:rsidR="00657FDB" w:rsidRPr="006032FF" w:rsidRDefault="00657FDB" w:rsidP="006032FF">
      <w:pPr>
        <w:pStyle w:val="CitaviBibliographyEntry"/>
        <w:spacing w:after="120"/>
        <w:ind w:left="0" w:firstLine="0"/>
        <w:rPr>
          <w:rFonts w:cs="Arial"/>
          <w:sz w:val="20"/>
          <w:szCs w:val="20"/>
        </w:rPr>
      </w:pPr>
      <w:bookmarkStart w:id="681" w:name="_CTVL0012985f808c42444098366ff8ec11201d7"/>
      <w:bookmarkEnd w:id="680"/>
      <w:r w:rsidRPr="006032FF">
        <w:rPr>
          <w:rFonts w:cs="Arial"/>
          <w:sz w:val="20"/>
          <w:szCs w:val="20"/>
        </w:rPr>
        <w:t xml:space="preserve">Lewis HC, Ethelberg S, Olsen KEP, Nielsen EM, Lisby M, Madsen SB, Boel J, Stafford R, Kirk M, Smith HV, Tikumrum S, Wisetrojana A, Bangtrakulnonth A, Vithayarungruangsri J, Siriarayaporn P, Ungchusak K, Bishop J, Molbak K (2009) Outbreaks of </w:t>
      </w:r>
      <w:bookmarkEnd w:id="681"/>
      <w:r w:rsidRPr="006032FF">
        <w:rPr>
          <w:rFonts w:cs="Arial"/>
          <w:i/>
          <w:sz w:val="20"/>
          <w:szCs w:val="20"/>
        </w:rPr>
        <w:t xml:space="preserve">Shigella sonnei </w:t>
      </w:r>
      <w:r w:rsidRPr="006032FF">
        <w:rPr>
          <w:rFonts w:cs="Arial"/>
          <w:sz w:val="20"/>
          <w:szCs w:val="20"/>
        </w:rPr>
        <w:t xml:space="preserve">infections in Denmark and Australia linked to consumption of imported raw baby corn. Epidemiology and Infection 137:326–334. </w:t>
      </w:r>
      <w:hyperlink r:id="rId229" w:history="1">
        <w:r w:rsidR="00010BAE" w:rsidRPr="006032FF">
          <w:rPr>
            <w:rStyle w:val="Hyperlink"/>
            <w:rFonts w:cs="Arial"/>
            <w:sz w:val="20"/>
            <w:szCs w:val="20"/>
          </w:rPr>
          <w:t>https://doi.org/10.1017/S0950268808001829</w:t>
        </w:r>
      </w:hyperlink>
    </w:p>
    <w:p w14:paraId="6F86A75D" w14:textId="0052FBBB" w:rsidR="00657FDB" w:rsidRPr="006032FF" w:rsidRDefault="00657FDB" w:rsidP="006032FF">
      <w:pPr>
        <w:pStyle w:val="CitaviBibliographyEntry"/>
        <w:spacing w:after="120"/>
        <w:ind w:left="0" w:firstLine="0"/>
        <w:rPr>
          <w:rFonts w:cs="Arial"/>
          <w:sz w:val="20"/>
          <w:szCs w:val="20"/>
        </w:rPr>
      </w:pPr>
      <w:bookmarkStart w:id="682" w:name="_CTVL0012d9e19cd22114d158b1c303d8d51d067"/>
      <w:r w:rsidRPr="006032FF">
        <w:rPr>
          <w:rFonts w:cs="Arial"/>
          <w:sz w:val="20"/>
          <w:szCs w:val="20"/>
        </w:rPr>
        <w:t xml:space="preserve">Li H, Tajkarimi M, Osburn BI (2008) Impact of vacuum colling on </w:t>
      </w:r>
      <w:bookmarkEnd w:id="682"/>
      <w:r w:rsidRPr="006032FF">
        <w:rPr>
          <w:rFonts w:cs="Arial"/>
          <w:i/>
          <w:sz w:val="20"/>
          <w:szCs w:val="20"/>
        </w:rPr>
        <w:t xml:space="preserve">Escherichia coli </w:t>
      </w:r>
      <w:r w:rsidRPr="006032FF">
        <w:rPr>
          <w:rFonts w:cs="Arial"/>
          <w:sz w:val="20"/>
          <w:szCs w:val="20"/>
        </w:rPr>
        <w:t xml:space="preserve">O157:H7 infiltration into lettuce tissue. Applied and Environmental Microbiology 74:3138–3142. </w:t>
      </w:r>
      <w:hyperlink r:id="rId230" w:history="1">
        <w:r w:rsidR="00010BAE" w:rsidRPr="006032FF">
          <w:rPr>
            <w:rStyle w:val="Hyperlink"/>
            <w:rFonts w:cs="Arial"/>
            <w:sz w:val="20"/>
            <w:szCs w:val="20"/>
          </w:rPr>
          <w:t>https://doi.org/10.1128/AEM.02811-07</w:t>
        </w:r>
      </w:hyperlink>
    </w:p>
    <w:p w14:paraId="18304D47" w14:textId="77777777" w:rsidR="009155E4" w:rsidRDefault="009155E4">
      <w:pPr>
        <w:widowControl/>
        <w:rPr>
          <w:rFonts w:cs="Arial"/>
          <w:color w:val="000000" w:themeColor="text1"/>
          <w:sz w:val="20"/>
          <w:szCs w:val="20"/>
        </w:rPr>
      </w:pPr>
      <w:bookmarkStart w:id="683" w:name="_CTVL0016a85739347db4d14b67bca57a6f1d796"/>
      <w:r>
        <w:rPr>
          <w:rFonts w:cs="Arial"/>
          <w:sz w:val="20"/>
          <w:szCs w:val="20"/>
        </w:rPr>
        <w:br w:type="page"/>
      </w:r>
    </w:p>
    <w:p w14:paraId="04F7EBA6" w14:textId="5D260F92"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Li D, Friedrich LM, Danyluk MD, Harris LJ, Schaffner DW (2013) Development and validation of a mathematical model for growth of pathogens in cut melons. Journal of Food Protection 76:953–958. </w:t>
      </w:r>
      <w:hyperlink r:id="rId231" w:history="1">
        <w:r w:rsidR="00010BAE" w:rsidRPr="006032FF">
          <w:rPr>
            <w:rStyle w:val="Hyperlink"/>
            <w:rFonts w:cs="Arial"/>
            <w:sz w:val="20"/>
            <w:szCs w:val="20"/>
          </w:rPr>
          <w:t>https://doi.org/10.4315/0362-028X.JFP-12-398</w:t>
        </w:r>
      </w:hyperlink>
    </w:p>
    <w:p w14:paraId="13BF6681" w14:textId="1A4C8077" w:rsidR="00657FDB" w:rsidRPr="006032FF" w:rsidRDefault="00657FDB" w:rsidP="006032FF">
      <w:pPr>
        <w:pStyle w:val="CitaviBibliographyEntry"/>
        <w:spacing w:after="120"/>
        <w:ind w:left="0" w:firstLine="0"/>
        <w:rPr>
          <w:rFonts w:cs="Arial"/>
          <w:sz w:val="20"/>
          <w:szCs w:val="20"/>
        </w:rPr>
      </w:pPr>
      <w:bookmarkStart w:id="684" w:name="_CTVL00115df99c29e1845439d6a5bcf013f9b30"/>
      <w:bookmarkEnd w:id="683"/>
      <w:r w:rsidRPr="006032FF">
        <w:rPr>
          <w:rFonts w:cs="Arial"/>
          <w:sz w:val="20"/>
          <w:szCs w:val="20"/>
        </w:rPr>
        <w:t xml:space="preserve">Li Z, Thomas C (2014) Quantitative evaluation of mechanical damage to fresh fruits. Trends in Food Science &amp; Technology 35:138–150. </w:t>
      </w:r>
      <w:hyperlink r:id="rId232" w:history="1">
        <w:r w:rsidR="00010BAE" w:rsidRPr="006032FF">
          <w:rPr>
            <w:rStyle w:val="Hyperlink"/>
            <w:rFonts w:cs="Arial"/>
            <w:sz w:val="20"/>
            <w:szCs w:val="20"/>
          </w:rPr>
          <w:t>https://doi.org/10.1016/j.tifs.2013.12.001</w:t>
        </w:r>
      </w:hyperlink>
    </w:p>
    <w:p w14:paraId="5116E733" w14:textId="307324C3" w:rsidR="00657FDB" w:rsidRPr="006032FF" w:rsidRDefault="00657FDB" w:rsidP="006032FF">
      <w:pPr>
        <w:pStyle w:val="CitaviBibliographyEntry"/>
        <w:spacing w:after="120"/>
        <w:ind w:left="0" w:firstLine="0"/>
        <w:rPr>
          <w:rFonts w:cs="Arial"/>
          <w:sz w:val="20"/>
          <w:szCs w:val="20"/>
        </w:rPr>
      </w:pPr>
      <w:bookmarkStart w:id="685" w:name="_CTVL0019547742a3b0b411d9128cbaf19320d7d"/>
      <w:bookmarkEnd w:id="684"/>
      <w:r w:rsidRPr="006032FF">
        <w:rPr>
          <w:rFonts w:cs="Arial"/>
          <w:sz w:val="20"/>
          <w:szCs w:val="20"/>
        </w:rPr>
        <w:t xml:space="preserve">Liao CH (2008) Growth of Salmonella on sprouting alfalfa seeds as affected by the inoculum size, native microbial load and </w:t>
      </w:r>
      <w:bookmarkEnd w:id="685"/>
      <w:r w:rsidRPr="006032FF">
        <w:rPr>
          <w:rFonts w:cs="Arial"/>
          <w:i/>
          <w:sz w:val="20"/>
          <w:szCs w:val="20"/>
        </w:rPr>
        <w:t xml:space="preserve">Pseudomonas fluorescens </w:t>
      </w:r>
      <w:r w:rsidRPr="006032FF">
        <w:rPr>
          <w:rFonts w:cs="Arial"/>
          <w:sz w:val="20"/>
          <w:szCs w:val="20"/>
        </w:rPr>
        <w:t xml:space="preserve">2-79. Letters in Applied Microbiology 46:232–236. </w:t>
      </w:r>
      <w:hyperlink r:id="rId233" w:history="1">
        <w:r w:rsidR="00010BAE" w:rsidRPr="006032FF">
          <w:rPr>
            <w:rStyle w:val="Hyperlink"/>
            <w:rFonts w:cs="Arial"/>
            <w:sz w:val="20"/>
            <w:szCs w:val="20"/>
          </w:rPr>
          <w:t>https://doi.org/10.1111/j.1472-765X.2007.02302.x</w:t>
        </w:r>
      </w:hyperlink>
    </w:p>
    <w:p w14:paraId="4A228BE5" w14:textId="1E9BEB10" w:rsidR="00657FDB" w:rsidRPr="006032FF" w:rsidRDefault="00657FDB" w:rsidP="006032FF">
      <w:pPr>
        <w:pStyle w:val="CitaviBibliographyEntry"/>
        <w:spacing w:after="120"/>
        <w:ind w:left="0" w:firstLine="0"/>
        <w:rPr>
          <w:rFonts w:cs="Arial"/>
          <w:sz w:val="20"/>
          <w:szCs w:val="20"/>
        </w:rPr>
      </w:pPr>
      <w:bookmarkStart w:id="686" w:name="_CTVL0011f50e42ddec94d40ae44389515f3bab7"/>
      <w:r w:rsidRPr="006032FF">
        <w:rPr>
          <w:rFonts w:cs="Arial"/>
          <w:sz w:val="20"/>
          <w:szCs w:val="20"/>
        </w:rPr>
        <w:t xml:space="preserve">Likotrafiti E, Smirniotis P, Nastou A, Rhoades J (2013) Effect of relative humidity and storage temperature on the behavior of </w:t>
      </w:r>
      <w:bookmarkEnd w:id="686"/>
      <w:r w:rsidRPr="006032FF">
        <w:rPr>
          <w:rFonts w:cs="Arial"/>
          <w:i/>
          <w:sz w:val="20"/>
          <w:szCs w:val="20"/>
        </w:rPr>
        <w:t xml:space="preserve">Listeria monocytogenes </w:t>
      </w:r>
      <w:r w:rsidRPr="006032FF">
        <w:rPr>
          <w:rFonts w:cs="Arial"/>
          <w:sz w:val="20"/>
          <w:szCs w:val="20"/>
        </w:rPr>
        <w:t xml:space="preserve">on fresh vegetables. Journal of Food Safety 33:545–551. </w:t>
      </w:r>
      <w:hyperlink r:id="rId234" w:history="1">
        <w:r w:rsidR="00010BAE" w:rsidRPr="006032FF">
          <w:rPr>
            <w:rStyle w:val="Hyperlink"/>
            <w:rFonts w:cs="Arial"/>
            <w:sz w:val="20"/>
            <w:szCs w:val="20"/>
          </w:rPr>
          <w:t>https://doi.org/10.1111/jfs.12087</w:t>
        </w:r>
      </w:hyperlink>
    </w:p>
    <w:p w14:paraId="4BD7DCBB" w14:textId="371EC4FF" w:rsidR="00657FDB" w:rsidRPr="006032FF" w:rsidRDefault="00657FDB" w:rsidP="006032FF">
      <w:pPr>
        <w:pStyle w:val="CitaviBibliographyEntry"/>
        <w:spacing w:after="120"/>
        <w:ind w:left="0" w:firstLine="0"/>
        <w:rPr>
          <w:rFonts w:cs="Arial"/>
          <w:sz w:val="20"/>
          <w:szCs w:val="20"/>
        </w:rPr>
      </w:pPr>
      <w:bookmarkStart w:id="687" w:name="_CTVL001d19b82a5329e4b4c8a0377299e2b43d8"/>
      <w:r w:rsidRPr="006032FF">
        <w:rPr>
          <w:rFonts w:cs="Arial"/>
          <w:sz w:val="20"/>
          <w:szCs w:val="20"/>
        </w:rPr>
        <w:t xml:space="preserve">Lim S-M, Lim ES, Kim J-S, Paik H-D, Koo OK (2020) Survival of foodborne pathogens on stainless steel soiled with different food residues. Food Science and Biotechnology 29:729–737. </w:t>
      </w:r>
      <w:hyperlink r:id="rId235" w:history="1">
        <w:r w:rsidR="00010BAE" w:rsidRPr="006032FF">
          <w:rPr>
            <w:rStyle w:val="Hyperlink"/>
            <w:rFonts w:cs="Arial"/>
            <w:sz w:val="20"/>
            <w:szCs w:val="20"/>
          </w:rPr>
          <w:t>https://doi.org/10.1007/s10068-019-00705-6</w:t>
        </w:r>
      </w:hyperlink>
    </w:p>
    <w:p w14:paraId="12F824FD" w14:textId="5D3D1FEE" w:rsidR="00657FDB" w:rsidRPr="006032FF" w:rsidRDefault="00657FDB" w:rsidP="006032FF">
      <w:pPr>
        <w:pStyle w:val="CitaviBibliographyEntry"/>
        <w:spacing w:after="120"/>
        <w:ind w:left="0" w:firstLine="0"/>
        <w:rPr>
          <w:rFonts w:cs="Arial"/>
          <w:sz w:val="20"/>
          <w:szCs w:val="20"/>
        </w:rPr>
      </w:pPr>
      <w:bookmarkStart w:id="688" w:name="_CTVL001953e418a55c940d08e373bf00b393374"/>
      <w:bookmarkEnd w:id="687"/>
      <w:r w:rsidRPr="006032FF">
        <w:rPr>
          <w:rFonts w:cs="Arial"/>
          <w:sz w:val="20"/>
          <w:szCs w:val="20"/>
        </w:rPr>
        <w:t xml:space="preserve">Lima PM, São José JF, Andrade NJ, Pires ACS, Ferreira SO (2013) Interaction between natural microbiota and physicochemical characteristics of lettuce surfaces can influence the attachment of </w:t>
      </w:r>
      <w:bookmarkEnd w:id="688"/>
      <w:r w:rsidRPr="006032FF">
        <w:rPr>
          <w:rFonts w:cs="Arial"/>
          <w:i/>
          <w:sz w:val="20"/>
          <w:szCs w:val="20"/>
        </w:rPr>
        <w:t xml:space="preserve">Salmonella </w:t>
      </w:r>
      <w:r w:rsidRPr="006032FF">
        <w:rPr>
          <w:rFonts w:cs="Arial"/>
          <w:sz w:val="20"/>
          <w:szCs w:val="20"/>
        </w:rPr>
        <w:t xml:space="preserve">Enteritidis. Food Control 30:157–161. </w:t>
      </w:r>
      <w:hyperlink r:id="rId236" w:history="1">
        <w:r w:rsidR="00010BAE" w:rsidRPr="006032FF">
          <w:rPr>
            <w:rStyle w:val="Hyperlink"/>
            <w:rFonts w:cs="Arial"/>
            <w:sz w:val="20"/>
            <w:szCs w:val="20"/>
          </w:rPr>
          <w:t>https://doi.org/10.1016/j.foodcont.2012.06.039</w:t>
        </w:r>
      </w:hyperlink>
    </w:p>
    <w:p w14:paraId="38819808" w14:textId="402B4179" w:rsidR="00657FDB" w:rsidRPr="006032FF" w:rsidRDefault="00657FDB" w:rsidP="006032FF">
      <w:pPr>
        <w:pStyle w:val="CitaviBibliographyEntry"/>
        <w:spacing w:after="120"/>
        <w:ind w:left="0" w:firstLine="0"/>
        <w:rPr>
          <w:rFonts w:cs="Arial"/>
          <w:sz w:val="20"/>
          <w:szCs w:val="20"/>
        </w:rPr>
      </w:pPr>
      <w:bookmarkStart w:id="689" w:name="_CTVL00172e964355c4149ba8668448db325cfc9"/>
      <w:r w:rsidRPr="006032FF">
        <w:rPr>
          <w:rFonts w:cs="Arial"/>
          <w:sz w:val="20"/>
          <w:szCs w:val="20"/>
        </w:rPr>
        <w:t xml:space="preserve">Liu B, Schaffner DW (2007) Quantitative analysis of the growth of </w:t>
      </w:r>
      <w:bookmarkEnd w:id="689"/>
      <w:r w:rsidRPr="006032FF">
        <w:rPr>
          <w:rFonts w:cs="Arial"/>
          <w:i/>
          <w:sz w:val="20"/>
          <w:szCs w:val="20"/>
        </w:rPr>
        <w:t xml:space="preserve">Salmonella </w:t>
      </w:r>
      <w:r w:rsidRPr="006032FF">
        <w:rPr>
          <w:rFonts w:cs="Arial"/>
          <w:sz w:val="20"/>
          <w:szCs w:val="20"/>
        </w:rPr>
        <w:t xml:space="preserve">Stanley during alfalfa sprouting and evaluation of </w:t>
      </w:r>
      <w:r w:rsidRPr="006032FF">
        <w:rPr>
          <w:rFonts w:cs="Arial"/>
          <w:i/>
          <w:sz w:val="20"/>
          <w:szCs w:val="20"/>
        </w:rPr>
        <w:t>Enterobacter aerogenes</w:t>
      </w:r>
      <w:r w:rsidRPr="006032FF">
        <w:rPr>
          <w:rFonts w:cs="Arial"/>
          <w:sz w:val="20"/>
          <w:szCs w:val="20"/>
        </w:rPr>
        <w:t xml:space="preserve"> as its surrogate. Journal of Food Protection 70:136–322. </w:t>
      </w:r>
      <w:hyperlink r:id="rId237" w:history="1">
        <w:r w:rsidR="00010BAE" w:rsidRPr="006032FF">
          <w:rPr>
            <w:rStyle w:val="Hyperlink"/>
            <w:rFonts w:cs="Arial"/>
            <w:sz w:val="20"/>
            <w:szCs w:val="20"/>
          </w:rPr>
          <w:t>https://doi.org/10.4315/0362-028x-70.2.316</w:t>
        </w:r>
      </w:hyperlink>
    </w:p>
    <w:p w14:paraId="2A7C47F4" w14:textId="51A735AD" w:rsidR="00657FDB" w:rsidRPr="006032FF" w:rsidRDefault="00657FDB" w:rsidP="006032FF">
      <w:pPr>
        <w:pStyle w:val="CitaviBibliographyEntry"/>
        <w:spacing w:after="120"/>
        <w:ind w:left="0" w:firstLine="0"/>
        <w:rPr>
          <w:rFonts w:cs="Arial"/>
          <w:sz w:val="20"/>
          <w:szCs w:val="20"/>
        </w:rPr>
      </w:pPr>
      <w:bookmarkStart w:id="690" w:name="_CTVL001ad6e8143d2544d20a7924c12a8eb448c"/>
      <w:r w:rsidRPr="006032FF">
        <w:rPr>
          <w:rFonts w:cs="Arial"/>
          <w:sz w:val="20"/>
          <w:szCs w:val="20"/>
        </w:rPr>
        <w:t xml:space="preserve">Liu C, Hofstra N, Franz E (2016) Impacts of climate and management variables on the contamination of preharvest leafy greens with </w:t>
      </w:r>
      <w:bookmarkEnd w:id="690"/>
      <w:r w:rsidRPr="006032FF">
        <w:rPr>
          <w:rFonts w:cs="Arial"/>
          <w:i/>
          <w:sz w:val="20"/>
          <w:szCs w:val="20"/>
        </w:rPr>
        <w:t>Escherichia coli</w:t>
      </w:r>
      <w:r w:rsidRPr="006032FF">
        <w:rPr>
          <w:rFonts w:cs="Arial"/>
          <w:sz w:val="20"/>
          <w:szCs w:val="20"/>
        </w:rPr>
        <w:t xml:space="preserve">. Journal of Food Protection 79:17–29. </w:t>
      </w:r>
      <w:hyperlink r:id="rId238" w:history="1">
        <w:r w:rsidR="00010BAE" w:rsidRPr="006032FF">
          <w:rPr>
            <w:rStyle w:val="Hyperlink"/>
            <w:rFonts w:cs="Arial"/>
            <w:sz w:val="20"/>
            <w:szCs w:val="20"/>
          </w:rPr>
          <w:t>https://doi.org/10.4315/0362-028X.JFP-15-255</w:t>
        </w:r>
      </w:hyperlink>
    </w:p>
    <w:p w14:paraId="58344CAF" w14:textId="0FC65F5C" w:rsidR="00657FDB" w:rsidRPr="006032FF" w:rsidRDefault="00657FDB" w:rsidP="006032FF">
      <w:pPr>
        <w:pStyle w:val="CitaviBibliographyEntry"/>
        <w:spacing w:after="120"/>
        <w:ind w:left="0" w:firstLine="0"/>
        <w:rPr>
          <w:rFonts w:cs="Arial"/>
          <w:sz w:val="20"/>
          <w:szCs w:val="20"/>
        </w:rPr>
      </w:pPr>
      <w:bookmarkStart w:id="691" w:name="_CTVL001d8b4113d0084401eacf2d6f080e9d66a"/>
      <w:r w:rsidRPr="006032FF">
        <w:rPr>
          <w:rFonts w:cs="Arial"/>
          <w:sz w:val="20"/>
          <w:szCs w:val="20"/>
        </w:rPr>
        <w:t xml:space="preserve">Liu H, Whitehouse CA, Li B (2018) Presence and persistence of </w:t>
      </w:r>
      <w:bookmarkEnd w:id="691"/>
      <w:r w:rsidRPr="006032FF">
        <w:rPr>
          <w:rFonts w:cs="Arial"/>
          <w:i/>
          <w:sz w:val="20"/>
          <w:szCs w:val="20"/>
        </w:rPr>
        <w:t>Salmonella</w:t>
      </w:r>
      <w:r w:rsidRPr="006032FF">
        <w:rPr>
          <w:rFonts w:cs="Arial"/>
          <w:sz w:val="20"/>
          <w:szCs w:val="20"/>
        </w:rPr>
        <w:t xml:space="preserve"> in water: The impact on microbial quality of water and food safety. Frontiers in Public Health 6:159. </w:t>
      </w:r>
      <w:hyperlink r:id="rId239" w:history="1">
        <w:r w:rsidR="00010BAE" w:rsidRPr="006032FF">
          <w:rPr>
            <w:rStyle w:val="Hyperlink"/>
            <w:rFonts w:cs="Arial"/>
            <w:sz w:val="20"/>
            <w:szCs w:val="20"/>
          </w:rPr>
          <w:t>https://doi.org/10.3389/fpubh.2018.00159</w:t>
        </w:r>
      </w:hyperlink>
    </w:p>
    <w:p w14:paraId="3A55CDC0" w14:textId="0CF5B39C" w:rsidR="00657FDB" w:rsidRPr="006032FF" w:rsidRDefault="00657FDB" w:rsidP="006032FF">
      <w:pPr>
        <w:pStyle w:val="CitaviBibliographyEntry"/>
        <w:spacing w:after="120"/>
        <w:ind w:left="0" w:firstLine="0"/>
        <w:rPr>
          <w:rFonts w:cs="Arial"/>
          <w:sz w:val="20"/>
          <w:szCs w:val="20"/>
        </w:rPr>
      </w:pPr>
      <w:bookmarkStart w:id="692" w:name="_CTVL001850831d509134933bce3e34c9ed91d5e"/>
      <w:r w:rsidRPr="006032FF">
        <w:rPr>
          <w:rFonts w:cs="Arial"/>
          <w:sz w:val="20"/>
          <w:szCs w:val="20"/>
        </w:rPr>
        <w:t xml:space="preserve">Locatelli A, Spor A, Jolivet C, Piveteau P, Hartmann A (2013) Biotic and abiotic soil properties influence survival of </w:t>
      </w:r>
      <w:bookmarkEnd w:id="692"/>
      <w:r w:rsidRPr="006032FF">
        <w:rPr>
          <w:rFonts w:cs="Arial"/>
          <w:i/>
          <w:sz w:val="20"/>
          <w:szCs w:val="20"/>
        </w:rPr>
        <w:t xml:space="preserve">Listeria monocytogenes </w:t>
      </w:r>
      <w:r w:rsidRPr="006032FF">
        <w:rPr>
          <w:rFonts w:cs="Arial"/>
          <w:sz w:val="20"/>
          <w:szCs w:val="20"/>
        </w:rPr>
        <w:t xml:space="preserve">in soil. PLoS ONE 8:e75969. </w:t>
      </w:r>
      <w:hyperlink r:id="rId240" w:history="1">
        <w:r w:rsidR="00010BAE" w:rsidRPr="006032FF">
          <w:rPr>
            <w:rStyle w:val="Hyperlink"/>
            <w:rFonts w:cs="Arial"/>
            <w:sz w:val="20"/>
            <w:szCs w:val="20"/>
          </w:rPr>
          <w:t>https://doi.org/10.1371/journal.pone.0075969</w:t>
        </w:r>
      </w:hyperlink>
    </w:p>
    <w:p w14:paraId="0C8123F4" w14:textId="547B64F9" w:rsidR="00657FDB" w:rsidRPr="006032FF" w:rsidRDefault="00657FDB" w:rsidP="006032FF">
      <w:pPr>
        <w:pStyle w:val="CitaviBibliographyEntry"/>
        <w:spacing w:after="120"/>
        <w:ind w:left="0" w:firstLine="0"/>
        <w:rPr>
          <w:rFonts w:cs="Arial"/>
          <w:sz w:val="20"/>
          <w:szCs w:val="20"/>
        </w:rPr>
      </w:pPr>
      <w:bookmarkStart w:id="693" w:name="_CTVL001746b608534f34183b900311e6b5ee4cb"/>
      <w:r w:rsidRPr="006032FF">
        <w:rPr>
          <w:rFonts w:cs="Arial"/>
          <w:sz w:val="20"/>
          <w:szCs w:val="20"/>
        </w:rPr>
        <w:t xml:space="preserve">Lockrey S, Verghese K, Danaher J, Newman L, Barichello V (2019) The role of packaging for Australian fresh produce. Australian Fresh Produce Alliance, Melbourne. </w:t>
      </w:r>
      <w:hyperlink r:id="rId241" w:history="1">
        <w:r w:rsidR="00010BAE" w:rsidRPr="006032FF">
          <w:rPr>
            <w:rStyle w:val="Hyperlink"/>
            <w:rFonts w:cs="Arial"/>
            <w:sz w:val="20"/>
            <w:szCs w:val="20"/>
          </w:rPr>
          <w:t>http://freshproduce.org.au/__static/c2df9ce4b622ec059149827dbd08ffa6/afpa-report-2019-digital-book_(7).pdf?dl=1</w:t>
        </w:r>
      </w:hyperlink>
      <w:r w:rsidRPr="006032FF">
        <w:rPr>
          <w:rFonts w:cs="Arial"/>
          <w:sz w:val="20"/>
          <w:szCs w:val="20"/>
        </w:rPr>
        <w:t>. Accessed 7 December 2020</w:t>
      </w:r>
    </w:p>
    <w:p w14:paraId="04559405" w14:textId="21882E31" w:rsidR="00657FDB" w:rsidRPr="006032FF" w:rsidRDefault="00657FDB" w:rsidP="006032FF">
      <w:pPr>
        <w:pStyle w:val="CitaviBibliographyEntry"/>
        <w:spacing w:after="120"/>
        <w:ind w:left="0" w:firstLine="0"/>
        <w:rPr>
          <w:rFonts w:cs="Arial"/>
          <w:sz w:val="20"/>
          <w:szCs w:val="20"/>
        </w:rPr>
      </w:pPr>
      <w:bookmarkStart w:id="694" w:name="_CTVL00162812ccc4a4c497385d59906d0ae09f2"/>
      <w:bookmarkEnd w:id="693"/>
      <w:r w:rsidRPr="006032FF">
        <w:rPr>
          <w:rFonts w:cs="Arial"/>
          <w:sz w:val="20"/>
          <w:szCs w:val="20"/>
        </w:rPr>
        <w:t xml:space="preserve">Lopez-Galvez F, Gil MI, Truchado P, Selma MV, Allende A (2010) Cross-contamination of fresh-cut lettuce after a short-term exposure during pre-washing cannot be controlled after subsequent washing with chlorine dioxide or sodium hypochlorite. Food Microbiology 27:199–204. </w:t>
      </w:r>
      <w:hyperlink r:id="rId242" w:history="1">
        <w:r w:rsidR="00010BAE" w:rsidRPr="006032FF">
          <w:rPr>
            <w:rStyle w:val="Hyperlink"/>
            <w:rFonts w:cs="Arial"/>
            <w:sz w:val="20"/>
            <w:szCs w:val="20"/>
          </w:rPr>
          <w:t>https://doi.org/10.1016/j.fm.2009.09.009</w:t>
        </w:r>
      </w:hyperlink>
    </w:p>
    <w:p w14:paraId="79D4197B" w14:textId="0590E700" w:rsidR="00657FDB" w:rsidRPr="006032FF" w:rsidRDefault="00657FDB" w:rsidP="006032FF">
      <w:pPr>
        <w:pStyle w:val="CitaviBibliographyEntry"/>
        <w:spacing w:after="120"/>
        <w:ind w:left="0" w:firstLine="0"/>
        <w:rPr>
          <w:rFonts w:cs="Arial"/>
          <w:sz w:val="20"/>
          <w:szCs w:val="20"/>
        </w:rPr>
      </w:pPr>
      <w:bookmarkStart w:id="695" w:name="_CTVL0015de5ad2709bb4933ab16cafc1e4f0302"/>
      <w:bookmarkEnd w:id="694"/>
      <w:r w:rsidRPr="006032FF">
        <w:rPr>
          <w:rFonts w:cs="Arial"/>
          <w:sz w:val="20"/>
          <w:szCs w:val="20"/>
        </w:rPr>
        <w:t xml:space="preserve">Lopez-Galvez F, Allende A, Pedrero-Salcedo F, Alarcon JJ, Gil MI (2014) Safety assessment of greenhouse hydroponic tomatoes irrigated with reclaimed and surface water. International Journal of Food Microbiology 191:97–102. </w:t>
      </w:r>
      <w:hyperlink r:id="rId243" w:history="1">
        <w:r w:rsidR="00010BAE" w:rsidRPr="006032FF">
          <w:rPr>
            <w:rStyle w:val="Hyperlink"/>
            <w:rFonts w:cs="Arial"/>
            <w:sz w:val="20"/>
            <w:szCs w:val="20"/>
          </w:rPr>
          <w:t>https://doi.org/10.1016/j.ijfoodmicro.2014.09.004</w:t>
        </w:r>
      </w:hyperlink>
    </w:p>
    <w:p w14:paraId="72FB42D2" w14:textId="55F3F76F" w:rsidR="00657FDB" w:rsidRPr="006032FF" w:rsidRDefault="00657FDB" w:rsidP="006032FF">
      <w:pPr>
        <w:pStyle w:val="CitaviBibliographyEntry"/>
        <w:spacing w:after="120"/>
        <w:ind w:left="0" w:firstLine="0"/>
        <w:rPr>
          <w:rFonts w:cs="Arial"/>
          <w:sz w:val="20"/>
          <w:szCs w:val="20"/>
        </w:rPr>
      </w:pPr>
      <w:bookmarkStart w:id="696" w:name="_CTVL001d48f3484dc854311919fbcb02b68da9d"/>
      <w:bookmarkEnd w:id="695"/>
      <w:r w:rsidRPr="006032FF">
        <w:rPr>
          <w:rFonts w:cs="Arial"/>
          <w:sz w:val="20"/>
          <w:szCs w:val="20"/>
        </w:rPr>
        <w:t xml:space="preserve">López-Gálvez F, Allende A, Selma MV, Gil MI (2009) Prevention of </w:t>
      </w:r>
      <w:bookmarkEnd w:id="696"/>
      <w:r w:rsidRPr="006032FF">
        <w:rPr>
          <w:rFonts w:cs="Arial"/>
          <w:i/>
          <w:sz w:val="20"/>
          <w:szCs w:val="20"/>
        </w:rPr>
        <w:t xml:space="preserve">Escherichia coli </w:t>
      </w:r>
      <w:r w:rsidRPr="006032FF">
        <w:rPr>
          <w:rFonts w:cs="Arial"/>
          <w:sz w:val="20"/>
          <w:szCs w:val="20"/>
        </w:rPr>
        <w:t xml:space="preserve">cross-contamination by different commercial sanitizers during washing of fresh-cut lettuce. International Journal of Food Microbiology 133:167–171. </w:t>
      </w:r>
      <w:hyperlink r:id="rId244" w:history="1">
        <w:r w:rsidR="00010BAE" w:rsidRPr="006032FF">
          <w:rPr>
            <w:rStyle w:val="Hyperlink"/>
            <w:rFonts w:cs="Arial"/>
            <w:sz w:val="20"/>
            <w:szCs w:val="20"/>
          </w:rPr>
          <w:t>https://doi.org/10.1016/j.ijfoodmicro.2009.05.017</w:t>
        </w:r>
      </w:hyperlink>
    </w:p>
    <w:p w14:paraId="24664CD2" w14:textId="282F36C1" w:rsidR="00657FDB" w:rsidRPr="006032FF" w:rsidRDefault="00657FDB" w:rsidP="006032FF">
      <w:pPr>
        <w:pStyle w:val="CitaviBibliographyEntry"/>
        <w:spacing w:after="120"/>
        <w:ind w:left="0" w:firstLine="0"/>
        <w:rPr>
          <w:rFonts w:cs="Arial"/>
          <w:sz w:val="20"/>
          <w:szCs w:val="20"/>
        </w:rPr>
      </w:pPr>
      <w:bookmarkStart w:id="697" w:name="_CTVL001cb896921967341ecb95d364563addc4a"/>
      <w:r w:rsidRPr="006032FF">
        <w:rPr>
          <w:rFonts w:cs="Arial"/>
          <w:sz w:val="20"/>
          <w:szCs w:val="20"/>
        </w:rPr>
        <w:t xml:space="preserve">Lopez-Velasco G, Sbodio A, Tomás-Callejas A, Wei P, Tan KH, Suslow TV (2012) Assessment of root uptake and systemic vine-transport of </w:t>
      </w:r>
      <w:bookmarkEnd w:id="697"/>
      <w:r w:rsidRPr="006032FF">
        <w:rPr>
          <w:rFonts w:cs="Arial"/>
          <w:i/>
          <w:sz w:val="20"/>
          <w:szCs w:val="20"/>
        </w:rPr>
        <w:t xml:space="preserve">Salmonella enterica </w:t>
      </w:r>
      <w:r w:rsidRPr="006032FF">
        <w:rPr>
          <w:rFonts w:cs="Arial"/>
          <w:sz w:val="20"/>
          <w:szCs w:val="20"/>
        </w:rPr>
        <w:t>sv. Typhimurium by melon (</w:t>
      </w:r>
      <w:r w:rsidRPr="006032FF">
        <w:rPr>
          <w:rFonts w:cs="Arial"/>
          <w:i/>
          <w:sz w:val="20"/>
          <w:szCs w:val="20"/>
        </w:rPr>
        <w:t>Cucumis melo</w:t>
      </w:r>
      <w:r w:rsidRPr="006032FF">
        <w:rPr>
          <w:rFonts w:cs="Arial"/>
          <w:sz w:val="20"/>
          <w:szCs w:val="20"/>
        </w:rPr>
        <w:t xml:space="preserve">) during field production. International Journal of Food Microbiology 158:65–72. </w:t>
      </w:r>
      <w:hyperlink r:id="rId245" w:history="1">
        <w:r w:rsidR="00010BAE" w:rsidRPr="006032FF">
          <w:rPr>
            <w:rStyle w:val="Hyperlink"/>
            <w:rFonts w:cs="Arial"/>
            <w:sz w:val="20"/>
            <w:szCs w:val="20"/>
          </w:rPr>
          <w:t>https://doi.org/10.1016/j.ijfoodmicro.2012.07.005</w:t>
        </w:r>
      </w:hyperlink>
    </w:p>
    <w:p w14:paraId="181316BA" w14:textId="7CDEC8FD" w:rsidR="00657FDB" w:rsidRPr="006032FF" w:rsidRDefault="00657FDB" w:rsidP="006032FF">
      <w:pPr>
        <w:pStyle w:val="CitaviBibliographyEntry"/>
        <w:spacing w:after="120"/>
        <w:ind w:left="0" w:firstLine="0"/>
        <w:rPr>
          <w:rFonts w:cs="Arial"/>
          <w:sz w:val="20"/>
          <w:szCs w:val="20"/>
        </w:rPr>
      </w:pPr>
      <w:bookmarkStart w:id="698" w:name="_CTVL0011942ee022a0c467aaad7397acb56c155"/>
      <w:r w:rsidRPr="006032FF">
        <w:rPr>
          <w:rFonts w:cs="Arial"/>
          <w:sz w:val="20"/>
          <w:szCs w:val="20"/>
        </w:rPr>
        <w:t xml:space="preserve">Lopez-Velasco G, Tomas-Callejas A, Diribsa D, Wei P, Suslow TV (2013) Growth of </w:t>
      </w:r>
      <w:bookmarkEnd w:id="698"/>
      <w:r w:rsidRPr="006032FF">
        <w:rPr>
          <w:rFonts w:cs="Arial"/>
          <w:i/>
          <w:sz w:val="20"/>
          <w:szCs w:val="20"/>
        </w:rPr>
        <w:t>Salmonella enterica</w:t>
      </w:r>
      <w:r w:rsidRPr="006032FF">
        <w:rPr>
          <w:rFonts w:cs="Arial"/>
          <w:sz w:val="20"/>
          <w:szCs w:val="20"/>
        </w:rPr>
        <w:t xml:space="preserve"> in foliar pesticide solutions and its survival during field production and postharvest handling of fresh market tomato. Journal of Applied Microbiology 114:1547–1558. </w:t>
      </w:r>
      <w:hyperlink r:id="rId246" w:history="1">
        <w:r w:rsidR="00010BAE" w:rsidRPr="006032FF">
          <w:rPr>
            <w:rStyle w:val="Hyperlink"/>
            <w:rFonts w:cs="Arial"/>
            <w:sz w:val="20"/>
            <w:szCs w:val="20"/>
          </w:rPr>
          <w:t>https://doi.org/10.1111/jam.12150</w:t>
        </w:r>
      </w:hyperlink>
    </w:p>
    <w:p w14:paraId="3BBC2230" w14:textId="77777777" w:rsidR="009155E4" w:rsidRDefault="009155E4">
      <w:pPr>
        <w:widowControl/>
        <w:rPr>
          <w:rFonts w:cs="Arial"/>
          <w:color w:val="000000" w:themeColor="text1"/>
          <w:sz w:val="20"/>
          <w:szCs w:val="20"/>
        </w:rPr>
      </w:pPr>
      <w:bookmarkStart w:id="699" w:name="_CTVL001c9e3f9d941ee4884b3680a669b2faba3"/>
      <w:r>
        <w:rPr>
          <w:rFonts w:cs="Arial"/>
          <w:sz w:val="20"/>
          <w:szCs w:val="20"/>
        </w:rPr>
        <w:br w:type="page"/>
      </w:r>
    </w:p>
    <w:p w14:paraId="557E8449" w14:textId="7B27AA45"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Lopresti J, Tomkins B (1997) Postharvest handling and packaging of fresh herbs: A review for RIRDC. RIRDC research paper, no. 97/5. Rural Industries Research and Development Corp, Barton, A.C.T.</w:t>
      </w:r>
    </w:p>
    <w:p w14:paraId="5385049D" w14:textId="2E03B706" w:rsidR="00657FDB" w:rsidRPr="006032FF" w:rsidRDefault="00657FDB" w:rsidP="006032FF">
      <w:pPr>
        <w:pStyle w:val="CitaviBibliographyEntry"/>
        <w:spacing w:after="120"/>
        <w:ind w:left="0" w:firstLine="0"/>
        <w:rPr>
          <w:rFonts w:cs="Arial"/>
          <w:sz w:val="20"/>
          <w:szCs w:val="20"/>
        </w:rPr>
      </w:pPr>
      <w:bookmarkStart w:id="700" w:name="_CTVL001d2509d24791146239c0c5fdb60bebd5c"/>
      <w:bookmarkEnd w:id="699"/>
      <w:r w:rsidRPr="006032FF">
        <w:rPr>
          <w:rFonts w:cs="Arial"/>
          <w:sz w:val="20"/>
          <w:szCs w:val="20"/>
        </w:rPr>
        <w:t xml:space="preserve">Lun JH, Hewitt J, Sitabkhan A, Eden J-S, Enosi Tuipulotu D, Netzler NE, Morrell L, Merif J, Jones R, Huang B, Warrilow D, Ressler K-A, Ferson MJ, Dwyer DE, Kok J, Rawlinson WD, Deere D, Crosbie ND, White PA (2018) Emerging recombinant noroviruses identified by clinical and waste water screening. Emerging Microbes &amp; Infections 7:50. </w:t>
      </w:r>
      <w:hyperlink r:id="rId247" w:history="1">
        <w:r w:rsidR="00010BAE" w:rsidRPr="006032FF">
          <w:rPr>
            <w:rStyle w:val="Hyperlink"/>
            <w:rFonts w:cs="Arial"/>
            <w:sz w:val="20"/>
            <w:szCs w:val="20"/>
          </w:rPr>
          <w:t>https://doi.org/10.1038/s41426-018-0047-8</w:t>
        </w:r>
      </w:hyperlink>
    </w:p>
    <w:p w14:paraId="76503E0D" w14:textId="336B0B59" w:rsidR="00657FDB" w:rsidRPr="006032FF" w:rsidRDefault="00657FDB" w:rsidP="006032FF">
      <w:pPr>
        <w:pStyle w:val="CitaviBibliographyEntry"/>
        <w:spacing w:after="120"/>
        <w:ind w:left="0" w:firstLine="0"/>
        <w:rPr>
          <w:rFonts w:cs="Arial"/>
          <w:sz w:val="20"/>
          <w:szCs w:val="20"/>
        </w:rPr>
      </w:pPr>
      <w:bookmarkStart w:id="701" w:name="_CTVL00132aa8abd2bd84cfbaf18e353d3d7d507"/>
      <w:bookmarkEnd w:id="700"/>
      <w:r w:rsidRPr="006032FF">
        <w:rPr>
          <w:rFonts w:cs="Arial"/>
          <w:sz w:val="20"/>
          <w:szCs w:val="20"/>
        </w:rPr>
        <w:t xml:space="preserve">Macarisin D, Wooten A, Jesus A de, Hur M, Bae S, Patel J, Evans P, Brown E, Hammack T, Chen Y (2017) Internalization of </w:t>
      </w:r>
      <w:bookmarkEnd w:id="701"/>
      <w:r w:rsidRPr="006032FF">
        <w:rPr>
          <w:rFonts w:cs="Arial"/>
          <w:i/>
          <w:sz w:val="20"/>
          <w:szCs w:val="20"/>
        </w:rPr>
        <w:t xml:space="preserve">Listeria monocytogenes </w:t>
      </w:r>
      <w:r w:rsidRPr="006032FF">
        <w:rPr>
          <w:rFonts w:cs="Arial"/>
          <w:sz w:val="20"/>
          <w:szCs w:val="20"/>
        </w:rPr>
        <w:t xml:space="preserve">in cantaloupes during dump tank washing and hydrocooling. International Journal of Food Microbiology 257:165–175. </w:t>
      </w:r>
      <w:hyperlink r:id="rId248" w:history="1">
        <w:r w:rsidR="00010BAE" w:rsidRPr="006032FF">
          <w:rPr>
            <w:rStyle w:val="Hyperlink"/>
            <w:rFonts w:cs="Arial"/>
            <w:sz w:val="20"/>
            <w:szCs w:val="20"/>
          </w:rPr>
          <w:t>https://doi.org/10.1016/j.ijfoodmicro.2017.06.018</w:t>
        </w:r>
      </w:hyperlink>
    </w:p>
    <w:p w14:paraId="0CD27704" w14:textId="376879B3" w:rsidR="00657FDB" w:rsidRPr="006032FF" w:rsidRDefault="00657FDB" w:rsidP="006032FF">
      <w:pPr>
        <w:pStyle w:val="CitaviBibliographyEntry"/>
        <w:spacing w:after="120"/>
        <w:ind w:left="0" w:firstLine="0"/>
        <w:rPr>
          <w:rFonts w:cs="Arial"/>
          <w:sz w:val="20"/>
          <w:szCs w:val="20"/>
        </w:rPr>
      </w:pPr>
      <w:bookmarkStart w:id="702" w:name="_CTVL00102d493f142a74839889eddb520d665ed"/>
      <w:r w:rsidRPr="006032FF">
        <w:rPr>
          <w:rFonts w:cs="Arial"/>
          <w:sz w:val="20"/>
          <w:szCs w:val="20"/>
        </w:rPr>
        <w:t xml:space="preserve">Marik CM, Zuchel J, Schaffner DW, Strawn LK (2019) Growth and survival of </w:t>
      </w:r>
      <w:bookmarkEnd w:id="702"/>
      <w:r w:rsidRPr="006032FF">
        <w:rPr>
          <w:rFonts w:cs="Arial"/>
          <w:i/>
          <w:sz w:val="20"/>
          <w:szCs w:val="20"/>
        </w:rPr>
        <w:t xml:space="preserve">Listeria monocytogenes </w:t>
      </w:r>
      <w:r w:rsidRPr="006032FF">
        <w:rPr>
          <w:rFonts w:cs="Arial"/>
          <w:sz w:val="20"/>
          <w:szCs w:val="20"/>
        </w:rPr>
        <w:t xml:space="preserve">on intact fruit and vegetable surfaces during postharvest handling: A systematic literature review. Journal of Food Protection 83:108–128. </w:t>
      </w:r>
      <w:hyperlink r:id="rId249" w:history="1">
        <w:r w:rsidR="00010BAE" w:rsidRPr="006032FF">
          <w:rPr>
            <w:rStyle w:val="Hyperlink"/>
            <w:rFonts w:cs="Arial"/>
            <w:sz w:val="20"/>
            <w:szCs w:val="20"/>
          </w:rPr>
          <w:t>https://doi.org/10.4315/0362-028X.JFP-19-283</w:t>
        </w:r>
      </w:hyperlink>
    </w:p>
    <w:p w14:paraId="402674AB" w14:textId="4B609E67" w:rsidR="00657FDB" w:rsidRPr="006032FF" w:rsidRDefault="00657FDB" w:rsidP="006032FF">
      <w:pPr>
        <w:pStyle w:val="CitaviBibliographyEntry"/>
        <w:spacing w:after="120"/>
        <w:ind w:left="0" w:firstLine="0"/>
        <w:rPr>
          <w:rFonts w:cs="Arial"/>
          <w:sz w:val="20"/>
          <w:szCs w:val="20"/>
        </w:rPr>
      </w:pPr>
      <w:bookmarkStart w:id="703" w:name="_CTVL001bb17701503e54f489d6fbca99181be9c"/>
      <w:r w:rsidRPr="006032FF">
        <w:rPr>
          <w:rFonts w:cs="Arial"/>
          <w:sz w:val="20"/>
          <w:szCs w:val="20"/>
        </w:rPr>
        <w:t>Maunula L, Kaupke A, Vasickova P, Söderberg K, Kozyra I, Lazic S, van der Poel WH, Bouwknegt M, Rutjes S, Willems KA, Moloney R, D</w:t>
      </w:r>
      <w:r w:rsidR="00010BAE" w:rsidRPr="006032FF">
        <w:rPr>
          <w:rFonts w:cs="Arial"/>
          <w:sz w:val="20"/>
          <w:szCs w:val="20"/>
        </w:rPr>
        <w:t>’</w:t>
      </w:r>
      <w:r w:rsidRPr="006032FF">
        <w:rPr>
          <w:rFonts w:cs="Arial"/>
          <w:sz w:val="20"/>
          <w:szCs w:val="20"/>
        </w:rPr>
        <w:t xml:space="preserve">Agostino M, Roda Husman AM de, Bonsdorff C-H von, Rzeżutka A, Pavlik I, Petrovic T, Cook N (2013) Tracing enteric viruses in the European berry fruit supply chain. International Journal of Food Microbiology 167:177–185. </w:t>
      </w:r>
      <w:hyperlink r:id="rId250" w:history="1">
        <w:r w:rsidR="00010BAE" w:rsidRPr="006032FF">
          <w:rPr>
            <w:rStyle w:val="Hyperlink"/>
            <w:rFonts w:cs="Arial"/>
            <w:sz w:val="20"/>
            <w:szCs w:val="20"/>
          </w:rPr>
          <w:t>https://doi.org/10.1016/j.ijfoodmicro.2013.09.003</w:t>
        </w:r>
      </w:hyperlink>
    </w:p>
    <w:p w14:paraId="09F87720" w14:textId="785F2B65" w:rsidR="00657FDB" w:rsidRPr="006032FF" w:rsidRDefault="00657FDB" w:rsidP="006032FF">
      <w:pPr>
        <w:pStyle w:val="CitaviBibliographyEntry"/>
        <w:spacing w:after="120"/>
        <w:ind w:left="0" w:firstLine="0"/>
        <w:rPr>
          <w:rFonts w:cs="Arial"/>
          <w:sz w:val="20"/>
          <w:szCs w:val="20"/>
        </w:rPr>
      </w:pPr>
      <w:bookmarkStart w:id="704" w:name="_CTVL0018e30a724d2ba4841b1719b7839e53541"/>
      <w:bookmarkEnd w:id="703"/>
      <w:r w:rsidRPr="006032FF">
        <w:rPr>
          <w:rFonts w:cs="Arial"/>
          <w:sz w:val="20"/>
          <w:szCs w:val="20"/>
        </w:rPr>
        <w:t xml:space="preserve">Mazzola M, Granatstein DM, Elfving DC, Mullinix K (2001) Suppression of specific apple root pathogens by </w:t>
      </w:r>
      <w:bookmarkEnd w:id="704"/>
      <w:r w:rsidRPr="006032FF">
        <w:rPr>
          <w:rFonts w:cs="Arial"/>
          <w:i/>
          <w:sz w:val="20"/>
          <w:szCs w:val="20"/>
        </w:rPr>
        <w:t>Brassica napus</w:t>
      </w:r>
      <w:r w:rsidRPr="006032FF">
        <w:rPr>
          <w:rFonts w:cs="Arial"/>
          <w:sz w:val="20"/>
          <w:szCs w:val="20"/>
        </w:rPr>
        <w:t xml:space="preserve"> seed meal amendment regardless of glucosinolate content. Phytopathology 91:673–679. </w:t>
      </w:r>
      <w:hyperlink r:id="rId251" w:history="1">
        <w:r w:rsidR="00010BAE" w:rsidRPr="006032FF">
          <w:rPr>
            <w:rStyle w:val="Hyperlink"/>
            <w:rFonts w:cs="Arial"/>
            <w:sz w:val="20"/>
            <w:szCs w:val="20"/>
          </w:rPr>
          <w:t>https://doi.org/10.1094/PHYTO.2001.91.7.673</w:t>
        </w:r>
      </w:hyperlink>
    </w:p>
    <w:p w14:paraId="5F130981" w14:textId="06351B2D" w:rsidR="00657FDB" w:rsidRPr="006032FF" w:rsidRDefault="00657FDB" w:rsidP="006032FF">
      <w:pPr>
        <w:pStyle w:val="CitaviBibliographyEntry"/>
        <w:spacing w:after="120"/>
        <w:ind w:left="0" w:firstLine="0"/>
        <w:rPr>
          <w:rFonts w:cs="Arial"/>
          <w:sz w:val="20"/>
          <w:szCs w:val="20"/>
        </w:rPr>
      </w:pPr>
      <w:bookmarkStart w:id="705" w:name="_CTVL0010f1e147e1a06485a80077c65d20d2efe"/>
      <w:r w:rsidRPr="006032FF">
        <w:rPr>
          <w:rFonts w:cs="Arial"/>
          <w:sz w:val="20"/>
          <w:szCs w:val="20"/>
        </w:rPr>
        <w:t xml:space="preserve">McAuley CM, McMillan K, Moore SC, Fegan N, Fox EM (2014) Prevalence and characterization of foodborne pathogens from Australian dairy farm environments. Journal of Dairy Science 97:7402–7412. </w:t>
      </w:r>
      <w:hyperlink r:id="rId252" w:history="1">
        <w:r w:rsidR="00010BAE" w:rsidRPr="006032FF">
          <w:rPr>
            <w:rStyle w:val="Hyperlink"/>
            <w:rFonts w:cs="Arial"/>
            <w:sz w:val="20"/>
            <w:szCs w:val="20"/>
          </w:rPr>
          <w:t>https://doi.org/10.3168/jds.2014-8735</w:t>
        </w:r>
      </w:hyperlink>
    </w:p>
    <w:p w14:paraId="506A8795" w14:textId="0C0625AB" w:rsidR="00657FDB" w:rsidRPr="006032FF" w:rsidRDefault="00657FDB" w:rsidP="006032FF">
      <w:pPr>
        <w:pStyle w:val="CitaviBibliographyEntry"/>
        <w:spacing w:after="120"/>
        <w:ind w:left="0" w:firstLine="0"/>
        <w:rPr>
          <w:rFonts w:cs="Arial"/>
          <w:sz w:val="20"/>
          <w:szCs w:val="20"/>
        </w:rPr>
      </w:pPr>
      <w:bookmarkStart w:id="706" w:name="_CTVL001e0a91d09e10f408394eb40b653ffaa0c"/>
      <w:bookmarkEnd w:id="705"/>
      <w:r w:rsidRPr="006032FF">
        <w:rPr>
          <w:rFonts w:cs="Arial"/>
          <w:sz w:val="20"/>
          <w:szCs w:val="20"/>
        </w:rPr>
        <w:t xml:space="preserve">McEvoy JL, Luo Y, Conway W, Zhou B, Feng H (2009) Potential of </w:t>
      </w:r>
      <w:bookmarkEnd w:id="706"/>
      <w:r w:rsidRPr="006032FF">
        <w:rPr>
          <w:rFonts w:cs="Arial"/>
          <w:i/>
          <w:sz w:val="20"/>
          <w:szCs w:val="20"/>
        </w:rPr>
        <w:t xml:space="preserve">Escherichia coli </w:t>
      </w:r>
      <w:r w:rsidRPr="006032FF">
        <w:rPr>
          <w:rFonts w:cs="Arial"/>
          <w:sz w:val="20"/>
          <w:szCs w:val="20"/>
        </w:rPr>
        <w:t xml:space="preserve">O157:H7 to grow on field-cored lettuce as impacted by postharvest storage time and temperature. International Journal of Food Microbiology 128:506–509. </w:t>
      </w:r>
      <w:hyperlink r:id="rId253" w:history="1">
        <w:r w:rsidR="00010BAE" w:rsidRPr="006032FF">
          <w:rPr>
            <w:rStyle w:val="Hyperlink"/>
            <w:rFonts w:cs="Arial"/>
            <w:sz w:val="20"/>
            <w:szCs w:val="20"/>
          </w:rPr>
          <w:t>https://doi.org/10.1016/j.ijfoodmicro.2008.08.008</w:t>
        </w:r>
      </w:hyperlink>
    </w:p>
    <w:p w14:paraId="3233DE65" w14:textId="70C742E6" w:rsidR="00657FDB" w:rsidRPr="006032FF" w:rsidRDefault="00657FDB" w:rsidP="006032FF">
      <w:pPr>
        <w:pStyle w:val="CitaviBibliographyEntry"/>
        <w:spacing w:after="120"/>
        <w:ind w:left="0" w:firstLine="0"/>
        <w:rPr>
          <w:rFonts w:cs="Arial"/>
          <w:sz w:val="20"/>
          <w:szCs w:val="20"/>
        </w:rPr>
      </w:pPr>
      <w:bookmarkStart w:id="707" w:name="_CTVL001377b4db874bb42c4abc58f0166ad5d29"/>
      <w:r w:rsidRPr="006032FF">
        <w:rPr>
          <w:rFonts w:cs="Arial"/>
          <w:sz w:val="20"/>
          <w:szCs w:val="20"/>
        </w:rPr>
        <w:t xml:space="preserve">McKellar RC, Delaquis P (2011) Development of a dynamic growth-death model for </w:t>
      </w:r>
      <w:r w:rsidR="00482DC1">
        <w:rPr>
          <w:rFonts w:cs="Arial"/>
          <w:i/>
          <w:sz w:val="20"/>
          <w:szCs w:val="20"/>
        </w:rPr>
        <w:t>Escherichia </w:t>
      </w:r>
      <w:r w:rsidRPr="00482DC1">
        <w:rPr>
          <w:rFonts w:cs="Arial"/>
          <w:i/>
          <w:sz w:val="20"/>
          <w:szCs w:val="20"/>
        </w:rPr>
        <w:t>coli</w:t>
      </w:r>
      <w:r w:rsidR="00482DC1">
        <w:rPr>
          <w:rFonts w:cs="Arial"/>
          <w:sz w:val="20"/>
          <w:szCs w:val="20"/>
        </w:rPr>
        <w:t> </w:t>
      </w:r>
      <w:r w:rsidRPr="006032FF">
        <w:rPr>
          <w:rFonts w:cs="Arial"/>
          <w:sz w:val="20"/>
          <w:szCs w:val="20"/>
        </w:rPr>
        <w:t xml:space="preserve">O157:H7 in minimally processed leafy green vegetables. International Journal of Food Microbiology 151:7–14. </w:t>
      </w:r>
      <w:hyperlink r:id="rId254" w:history="1">
        <w:r w:rsidR="00010BAE" w:rsidRPr="006032FF">
          <w:rPr>
            <w:rStyle w:val="Hyperlink"/>
            <w:rFonts w:cs="Arial"/>
            <w:sz w:val="20"/>
            <w:szCs w:val="20"/>
          </w:rPr>
          <w:t>https://doi.org/10.1016/j.ijfoodmicro.2011.07.027</w:t>
        </w:r>
      </w:hyperlink>
    </w:p>
    <w:p w14:paraId="3AB9BC0E" w14:textId="40E0F385" w:rsidR="00657FDB" w:rsidRPr="006032FF" w:rsidRDefault="00657FDB" w:rsidP="006032FF">
      <w:pPr>
        <w:pStyle w:val="CitaviBibliographyEntry"/>
        <w:spacing w:after="120"/>
        <w:ind w:left="0" w:firstLine="0"/>
        <w:rPr>
          <w:rFonts w:cs="Arial"/>
          <w:sz w:val="20"/>
          <w:szCs w:val="20"/>
        </w:rPr>
      </w:pPr>
      <w:bookmarkStart w:id="708" w:name="_CTVL00109e431d0f49d47c4a3730f1c4292bc52"/>
      <w:bookmarkEnd w:id="707"/>
      <w:r w:rsidRPr="006032FF">
        <w:rPr>
          <w:rFonts w:cs="Arial"/>
          <w:sz w:val="20"/>
          <w:szCs w:val="20"/>
        </w:rPr>
        <w:t xml:space="preserve">McLaughlin HP, Casey PG, Cotter J, Gahan CGM, Hill C (2011) Factors affecting survival of </w:t>
      </w:r>
      <w:bookmarkEnd w:id="708"/>
      <w:r w:rsidR="0057637C">
        <w:rPr>
          <w:rFonts w:cs="Arial"/>
          <w:i/>
          <w:sz w:val="20"/>
          <w:szCs w:val="20"/>
        </w:rPr>
        <w:t>Listeria </w:t>
      </w:r>
      <w:r w:rsidRPr="006032FF">
        <w:rPr>
          <w:rFonts w:cs="Arial"/>
          <w:i/>
          <w:sz w:val="20"/>
          <w:szCs w:val="20"/>
        </w:rPr>
        <w:t>monocytogenes</w:t>
      </w:r>
      <w:r w:rsidRPr="006032FF">
        <w:rPr>
          <w:rFonts w:cs="Arial"/>
          <w:sz w:val="20"/>
          <w:szCs w:val="20"/>
        </w:rPr>
        <w:t xml:space="preserve"> and </w:t>
      </w:r>
      <w:r w:rsidRPr="006032FF">
        <w:rPr>
          <w:rFonts w:cs="Arial"/>
          <w:i/>
          <w:sz w:val="20"/>
          <w:szCs w:val="20"/>
        </w:rPr>
        <w:t xml:space="preserve">Listeria innocua </w:t>
      </w:r>
      <w:r w:rsidRPr="006032FF">
        <w:rPr>
          <w:rFonts w:cs="Arial"/>
          <w:sz w:val="20"/>
          <w:szCs w:val="20"/>
        </w:rPr>
        <w:t xml:space="preserve">in soil samples. Archives of Microbiology 193:775–785. </w:t>
      </w:r>
      <w:hyperlink r:id="rId255" w:history="1">
        <w:r w:rsidR="00010BAE" w:rsidRPr="006032FF">
          <w:rPr>
            <w:rStyle w:val="Hyperlink"/>
            <w:rFonts w:cs="Arial"/>
            <w:sz w:val="20"/>
            <w:szCs w:val="20"/>
          </w:rPr>
          <w:t>https://doi.org/10.1007/s00203-011-0716-7</w:t>
        </w:r>
      </w:hyperlink>
    </w:p>
    <w:p w14:paraId="4DB9DACC" w14:textId="55A81C29" w:rsidR="00657FDB" w:rsidRPr="006032FF" w:rsidRDefault="00657FDB" w:rsidP="006032FF">
      <w:pPr>
        <w:pStyle w:val="CitaviBibliographyEntry"/>
        <w:spacing w:after="120"/>
        <w:ind w:left="0" w:firstLine="0"/>
        <w:rPr>
          <w:rFonts w:cs="Arial"/>
          <w:sz w:val="20"/>
          <w:szCs w:val="20"/>
        </w:rPr>
      </w:pPr>
      <w:bookmarkStart w:id="709" w:name="_CTVL0016cc26d7efe6c445d9909b3fc12f0ef93"/>
      <w:r w:rsidRPr="006032FF">
        <w:rPr>
          <w:rFonts w:cs="Arial"/>
          <w:sz w:val="20"/>
          <w:szCs w:val="20"/>
        </w:rPr>
        <w:t xml:space="preserve">Mellor GE, Fegan N, Duffy LL, McMillan K, Jordan D, Barlow RS </w:t>
      </w:r>
      <w:r w:rsidR="0057637C">
        <w:rPr>
          <w:rFonts w:cs="Arial"/>
          <w:sz w:val="20"/>
          <w:szCs w:val="20"/>
        </w:rPr>
        <w:t>(2016) National survey of shiga </w:t>
      </w:r>
      <w:r w:rsidRPr="006032FF">
        <w:rPr>
          <w:rFonts w:cs="Arial"/>
          <w:sz w:val="20"/>
          <w:szCs w:val="20"/>
        </w:rPr>
        <w:t xml:space="preserve">toxin–producing </w:t>
      </w:r>
      <w:bookmarkEnd w:id="709"/>
      <w:r w:rsidRPr="006032FF">
        <w:rPr>
          <w:rFonts w:cs="Arial"/>
          <w:i/>
          <w:sz w:val="20"/>
          <w:szCs w:val="20"/>
        </w:rPr>
        <w:t xml:space="preserve">Escherichia coli </w:t>
      </w:r>
      <w:r w:rsidRPr="006032FF">
        <w:rPr>
          <w:rFonts w:cs="Arial"/>
          <w:sz w:val="20"/>
          <w:szCs w:val="20"/>
        </w:rPr>
        <w:t xml:space="preserve">serotypes O26, O45, O103, O111, O121, O145, and O157 in Australian beef cattle feces. Journal of Food Protection 79:1868–1874. </w:t>
      </w:r>
      <w:hyperlink r:id="rId256" w:history="1">
        <w:r w:rsidR="00010BAE" w:rsidRPr="006032FF">
          <w:rPr>
            <w:rStyle w:val="Hyperlink"/>
            <w:rFonts w:cs="Arial"/>
            <w:sz w:val="20"/>
            <w:szCs w:val="20"/>
          </w:rPr>
          <w:t>https://doi.org/10.4315/0362-028X.JFP-15-507</w:t>
        </w:r>
      </w:hyperlink>
    </w:p>
    <w:p w14:paraId="57CC0B7B" w14:textId="356BA6CE" w:rsidR="00657FDB" w:rsidRPr="006032FF" w:rsidRDefault="00657FDB" w:rsidP="006032FF">
      <w:pPr>
        <w:pStyle w:val="CitaviBibliographyEntry"/>
        <w:spacing w:after="120"/>
        <w:ind w:left="0" w:firstLine="0"/>
        <w:rPr>
          <w:rFonts w:cs="Arial"/>
          <w:sz w:val="20"/>
          <w:szCs w:val="20"/>
        </w:rPr>
      </w:pPr>
      <w:bookmarkStart w:id="710" w:name="_CTVL0018fb4695008e84270b06e5aa0769657b3"/>
      <w:r w:rsidRPr="006032FF">
        <w:rPr>
          <w:rFonts w:cs="Arial"/>
          <w:sz w:val="20"/>
          <w:szCs w:val="20"/>
        </w:rPr>
        <w:t>Menzies R, Brien J (2002) Raspberry growing in NSW. Agfact H3.1.46, 2</w:t>
      </w:r>
      <w:r w:rsidRPr="006032FF">
        <w:rPr>
          <w:rFonts w:cs="Arial"/>
          <w:sz w:val="20"/>
          <w:szCs w:val="20"/>
          <w:vertAlign w:val="superscript"/>
        </w:rPr>
        <w:t>nd</w:t>
      </w:r>
      <w:r w:rsidRPr="006032FF">
        <w:rPr>
          <w:rFonts w:cs="Arial"/>
          <w:sz w:val="20"/>
          <w:szCs w:val="20"/>
        </w:rPr>
        <w:t xml:space="preserve"> edition. NSW Agriculture, Sydney. </w:t>
      </w:r>
      <w:hyperlink r:id="rId257" w:history="1">
        <w:r w:rsidR="00010BAE" w:rsidRPr="006032FF">
          <w:rPr>
            <w:rStyle w:val="Hyperlink"/>
            <w:rFonts w:cs="Arial"/>
            <w:sz w:val="20"/>
            <w:szCs w:val="20"/>
          </w:rPr>
          <w:t>https://irp-cdn.multiscreensite.com/ab1acdf3/files/uploaded/raspberry-growing-in-nsw.pdf</w:t>
        </w:r>
      </w:hyperlink>
      <w:r w:rsidRPr="006032FF">
        <w:rPr>
          <w:rFonts w:cs="Arial"/>
          <w:sz w:val="20"/>
          <w:szCs w:val="20"/>
        </w:rPr>
        <w:t>. Accessed 22 October 2020</w:t>
      </w:r>
    </w:p>
    <w:p w14:paraId="1AC23068" w14:textId="62AD81E3" w:rsidR="00657FDB" w:rsidRPr="006032FF" w:rsidRDefault="00657FDB" w:rsidP="006032FF">
      <w:pPr>
        <w:pStyle w:val="CitaviBibliographyEntry"/>
        <w:spacing w:after="120"/>
        <w:ind w:left="0" w:firstLine="0"/>
        <w:rPr>
          <w:rFonts w:cs="Arial"/>
          <w:sz w:val="20"/>
          <w:szCs w:val="20"/>
        </w:rPr>
      </w:pPr>
      <w:bookmarkStart w:id="711" w:name="_CTVL0013b8a547c3fc944d2ae06e36431c32b9b"/>
      <w:bookmarkEnd w:id="710"/>
      <w:r w:rsidRPr="006032FF">
        <w:rPr>
          <w:rFonts w:cs="Arial"/>
          <w:sz w:val="20"/>
          <w:szCs w:val="20"/>
        </w:rPr>
        <w:t xml:space="preserve">Mikhail AFW, Jenkins C, Dallman TJ, Inns T, Douglas A, Martín AIC, Fox A, Cleary P, Elson R, Hawker J (2018) An outbreak of Shiga toxin-producing </w:t>
      </w:r>
      <w:bookmarkEnd w:id="711"/>
      <w:r w:rsidRPr="006032FF">
        <w:rPr>
          <w:rFonts w:cs="Arial"/>
          <w:i/>
          <w:sz w:val="20"/>
          <w:szCs w:val="20"/>
        </w:rPr>
        <w:t xml:space="preserve">Escherichia coli </w:t>
      </w:r>
      <w:r w:rsidRPr="006032FF">
        <w:rPr>
          <w:rFonts w:cs="Arial"/>
          <w:sz w:val="20"/>
          <w:szCs w:val="20"/>
        </w:rPr>
        <w:t xml:space="preserve">O157: H7 associated with contaminated salad leaves: epidemiological, genomic and food trace back investigations. Epidemiology and Infection 146:187–196. </w:t>
      </w:r>
      <w:hyperlink r:id="rId258" w:history="1">
        <w:r w:rsidR="00010BAE" w:rsidRPr="006032FF">
          <w:rPr>
            <w:rStyle w:val="Hyperlink"/>
            <w:rFonts w:cs="Arial"/>
            <w:sz w:val="20"/>
            <w:szCs w:val="20"/>
          </w:rPr>
          <w:t>https://doi.org/10.1017/S0950268817002874</w:t>
        </w:r>
      </w:hyperlink>
    </w:p>
    <w:p w14:paraId="675E18EE" w14:textId="4705079E" w:rsidR="00657FDB" w:rsidRPr="006032FF" w:rsidRDefault="00657FDB" w:rsidP="006032FF">
      <w:pPr>
        <w:pStyle w:val="CitaviBibliographyEntry"/>
        <w:spacing w:after="120"/>
        <w:ind w:left="0" w:firstLine="0"/>
        <w:rPr>
          <w:rFonts w:cs="Arial"/>
          <w:sz w:val="20"/>
          <w:szCs w:val="20"/>
        </w:rPr>
      </w:pPr>
      <w:bookmarkStart w:id="712" w:name="_CTVL00100598c35db4b4dc6af634c8cfe376b30"/>
      <w:r w:rsidRPr="006032FF">
        <w:rPr>
          <w:rFonts w:cs="Arial"/>
          <w:sz w:val="20"/>
          <w:szCs w:val="20"/>
        </w:rPr>
        <w:t>Miles K, Byrnes J, Bannon K (2010) Review of regional water quality and security: Vo</w:t>
      </w:r>
      <w:r w:rsidR="00455A97">
        <w:rPr>
          <w:rFonts w:cs="Arial"/>
          <w:sz w:val="20"/>
          <w:szCs w:val="20"/>
        </w:rPr>
        <w:t>lume 1 – Review </w:t>
      </w:r>
      <w:r w:rsidRPr="006032FF">
        <w:rPr>
          <w:rFonts w:cs="Arial"/>
          <w:sz w:val="20"/>
          <w:szCs w:val="20"/>
        </w:rPr>
        <w:t xml:space="preserve">and reform strategy. </w:t>
      </w:r>
      <w:hyperlink r:id="rId259" w:history="1">
        <w:r w:rsidR="00010BAE" w:rsidRPr="006032FF">
          <w:rPr>
            <w:rStyle w:val="Hyperlink"/>
            <w:rFonts w:cs="Arial"/>
            <w:sz w:val="20"/>
            <w:szCs w:val="20"/>
          </w:rPr>
          <w:t>https://www.infrastructureaustralia.gov.au/sites/default/files/2019-06/Review_of_RegionalWaterQuality_and_Security_Volume1_251010.pdf</w:t>
        </w:r>
      </w:hyperlink>
      <w:r w:rsidRPr="006032FF">
        <w:rPr>
          <w:rFonts w:cs="Arial"/>
          <w:sz w:val="20"/>
          <w:szCs w:val="20"/>
        </w:rPr>
        <w:t>. Accessed 7 December 2020</w:t>
      </w:r>
    </w:p>
    <w:p w14:paraId="1DF1E387" w14:textId="359877E6" w:rsidR="00657FDB" w:rsidRPr="006032FF" w:rsidRDefault="00657FDB" w:rsidP="006032FF">
      <w:pPr>
        <w:pStyle w:val="CitaviBibliographyEntry"/>
        <w:spacing w:after="120"/>
        <w:ind w:left="0" w:firstLine="0"/>
        <w:rPr>
          <w:rFonts w:cs="Arial"/>
          <w:sz w:val="20"/>
          <w:szCs w:val="20"/>
        </w:rPr>
      </w:pPr>
      <w:bookmarkStart w:id="713" w:name="_CTVL001711ac8b949384000b9c1695ae2e6d206"/>
      <w:bookmarkEnd w:id="712"/>
      <w:r w:rsidRPr="006032FF">
        <w:rPr>
          <w:rFonts w:cs="Arial"/>
          <w:sz w:val="20"/>
          <w:szCs w:val="20"/>
        </w:rPr>
        <w:t xml:space="preserve">Miller FA, Silva CLM, Brandão TRS (2013) A review on ozone-based treatments for fruit and vegetables preservation. Food Engineering Reviews 5:77–106. </w:t>
      </w:r>
      <w:hyperlink r:id="rId260" w:history="1">
        <w:r w:rsidR="00010BAE" w:rsidRPr="006032FF">
          <w:rPr>
            <w:rStyle w:val="Hyperlink"/>
            <w:rFonts w:cs="Arial"/>
            <w:sz w:val="20"/>
            <w:szCs w:val="20"/>
          </w:rPr>
          <w:t>https://doi.org/10.1007/s12393-013-9064-5</w:t>
        </w:r>
      </w:hyperlink>
    </w:p>
    <w:p w14:paraId="4C2A4832" w14:textId="4A79C7AD" w:rsidR="00657FDB" w:rsidRPr="006032FF" w:rsidRDefault="00657FDB" w:rsidP="006032FF">
      <w:pPr>
        <w:pStyle w:val="CitaviBibliographyEntry"/>
        <w:spacing w:after="120"/>
        <w:ind w:left="0" w:firstLine="0"/>
        <w:rPr>
          <w:rFonts w:cs="Arial"/>
          <w:sz w:val="20"/>
          <w:szCs w:val="20"/>
        </w:rPr>
      </w:pPr>
      <w:bookmarkStart w:id="714" w:name="_CTVL0018863578746b44a29bd2c2c016fc7754f"/>
      <w:bookmarkEnd w:id="713"/>
      <w:r w:rsidRPr="006032FF">
        <w:rPr>
          <w:rFonts w:cs="Arial"/>
          <w:sz w:val="20"/>
          <w:szCs w:val="20"/>
        </w:rPr>
        <w:t xml:space="preserve">Miranda RC, Schaffner DW (2018) Farm to fork quantitative microbial risk assessment for norovirus on frozen strawberries. Microbial Risk Analysis 10:44–53. </w:t>
      </w:r>
      <w:hyperlink r:id="rId261" w:history="1">
        <w:r w:rsidR="00010BAE" w:rsidRPr="006032FF">
          <w:rPr>
            <w:rStyle w:val="Hyperlink"/>
            <w:rFonts w:cs="Arial"/>
            <w:sz w:val="20"/>
            <w:szCs w:val="20"/>
          </w:rPr>
          <w:t>https://doi.org/10.1016/j.mran.2018.06.002</w:t>
        </w:r>
      </w:hyperlink>
    </w:p>
    <w:p w14:paraId="5F78E00B" w14:textId="585D4332" w:rsidR="00657FDB" w:rsidRPr="006032FF" w:rsidRDefault="00657FDB" w:rsidP="006032FF">
      <w:pPr>
        <w:pStyle w:val="CitaviBibliographyEntry"/>
        <w:spacing w:after="120"/>
        <w:ind w:left="0" w:firstLine="0"/>
        <w:rPr>
          <w:rFonts w:cs="Arial"/>
          <w:sz w:val="20"/>
          <w:szCs w:val="20"/>
        </w:rPr>
      </w:pPr>
      <w:bookmarkStart w:id="715" w:name="_CTVL0011154be64d83f499b9557e8851cb06203"/>
      <w:bookmarkEnd w:id="714"/>
      <w:r w:rsidRPr="006032FF">
        <w:rPr>
          <w:rFonts w:cs="Arial"/>
          <w:sz w:val="20"/>
          <w:szCs w:val="20"/>
        </w:rPr>
        <w:t xml:space="preserve">Mishra A, Pang H, Buchanan RL, Schaffner DW, Pradhan AK (2017a) A system model for understanding the role of animal feces as a route o contamination of leafy greens before harvest. Applied and Environmental Microbiology 83:e02775-16. </w:t>
      </w:r>
      <w:hyperlink r:id="rId262" w:history="1">
        <w:r w:rsidR="00010BAE" w:rsidRPr="006032FF">
          <w:rPr>
            <w:rStyle w:val="Hyperlink"/>
            <w:rFonts w:cs="Arial"/>
            <w:sz w:val="20"/>
            <w:szCs w:val="20"/>
          </w:rPr>
          <w:t>https://doi.org/10.1128/AEM.02775-16</w:t>
        </w:r>
      </w:hyperlink>
    </w:p>
    <w:p w14:paraId="3F7E1081" w14:textId="79A967E4" w:rsidR="00657FDB" w:rsidRPr="006032FF" w:rsidRDefault="00657FDB" w:rsidP="006032FF">
      <w:pPr>
        <w:pStyle w:val="CitaviBibliographyEntry"/>
        <w:spacing w:after="120"/>
        <w:ind w:left="0" w:firstLine="0"/>
        <w:rPr>
          <w:rFonts w:cs="Arial"/>
          <w:sz w:val="20"/>
          <w:szCs w:val="20"/>
        </w:rPr>
      </w:pPr>
      <w:bookmarkStart w:id="716" w:name="_CTVL00126f3281f7f404e78addf12516f21ec28"/>
      <w:bookmarkEnd w:id="715"/>
      <w:r w:rsidRPr="006032FF">
        <w:rPr>
          <w:rFonts w:cs="Arial"/>
          <w:sz w:val="20"/>
          <w:szCs w:val="20"/>
        </w:rPr>
        <w:t xml:space="preserve">Mishra A, Guo M, Buchanan RL, Schaffner DW, Pradhan AK (2017b) Development of growth and survival models for </w:t>
      </w:r>
      <w:bookmarkEnd w:id="716"/>
      <w:r w:rsidRPr="006032FF">
        <w:rPr>
          <w:rFonts w:cs="Arial"/>
          <w:i/>
          <w:sz w:val="20"/>
          <w:szCs w:val="20"/>
        </w:rPr>
        <w:t xml:space="preserve">Salmonella </w:t>
      </w:r>
      <w:r w:rsidRPr="006032FF">
        <w:rPr>
          <w:rFonts w:cs="Arial"/>
          <w:sz w:val="20"/>
          <w:szCs w:val="20"/>
        </w:rPr>
        <w:t>and</w:t>
      </w:r>
      <w:r w:rsidRPr="006032FF">
        <w:rPr>
          <w:rFonts w:cs="Arial"/>
          <w:i/>
          <w:sz w:val="20"/>
          <w:szCs w:val="20"/>
        </w:rPr>
        <w:t xml:space="preserve"> Listeria monocytogenes </w:t>
      </w:r>
      <w:r w:rsidRPr="006032FF">
        <w:rPr>
          <w:rFonts w:cs="Arial"/>
          <w:sz w:val="20"/>
          <w:szCs w:val="20"/>
        </w:rPr>
        <w:t xml:space="preserve">during non-isothermal time-temperature profiles in leafy greens. Food Control 71:32–41. </w:t>
      </w:r>
      <w:hyperlink r:id="rId263" w:history="1">
        <w:r w:rsidR="00010BAE" w:rsidRPr="006032FF">
          <w:rPr>
            <w:rStyle w:val="Hyperlink"/>
            <w:rFonts w:cs="Arial"/>
            <w:sz w:val="20"/>
            <w:szCs w:val="20"/>
          </w:rPr>
          <w:t>https://doi.org/10.1016/j.foodcont.2016.06.009</w:t>
        </w:r>
      </w:hyperlink>
    </w:p>
    <w:p w14:paraId="7E619D34" w14:textId="474152ED" w:rsidR="00657FDB" w:rsidRPr="006032FF" w:rsidRDefault="00657FDB" w:rsidP="006032FF">
      <w:pPr>
        <w:pStyle w:val="CitaviBibliographyEntry"/>
        <w:spacing w:after="120"/>
        <w:ind w:left="0" w:firstLine="0"/>
        <w:rPr>
          <w:rFonts w:cs="Arial"/>
          <w:sz w:val="20"/>
          <w:szCs w:val="20"/>
        </w:rPr>
      </w:pPr>
      <w:bookmarkStart w:id="717" w:name="_CTVL0013b685adeedec4cb6b816db7b8bc74065"/>
      <w:r w:rsidRPr="006032FF">
        <w:rPr>
          <w:rFonts w:cs="Arial"/>
          <w:sz w:val="20"/>
          <w:szCs w:val="20"/>
        </w:rPr>
        <w:t>Mogren L, Windstam S, Boqvist S, Vågsholm I, Söderqvist K, Rosb</w:t>
      </w:r>
      <w:r w:rsidR="0057637C">
        <w:rPr>
          <w:rFonts w:cs="Arial"/>
          <w:sz w:val="20"/>
          <w:szCs w:val="20"/>
        </w:rPr>
        <w:t>erg AK, Lindén J, Mulaosmanovic </w:t>
      </w:r>
      <w:r w:rsidRPr="006032FF">
        <w:rPr>
          <w:rFonts w:cs="Arial"/>
          <w:sz w:val="20"/>
          <w:szCs w:val="20"/>
        </w:rPr>
        <w:t>E, Karlsson M, Uhlig E, Håkansson Å, Alsanius B</w:t>
      </w:r>
      <w:r w:rsidR="0057637C">
        <w:rPr>
          <w:rFonts w:cs="Arial"/>
          <w:sz w:val="20"/>
          <w:szCs w:val="20"/>
        </w:rPr>
        <w:t xml:space="preserve"> (2018) The hurdle approach – A </w:t>
      </w:r>
      <w:r w:rsidRPr="006032FF">
        <w:rPr>
          <w:rFonts w:cs="Arial"/>
          <w:sz w:val="20"/>
          <w:szCs w:val="20"/>
        </w:rPr>
        <w:t xml:space="preserve">holistic concept for controlling food safety risks associated with pathogenic bacterial contamination of leafy green vegetables: A Review. Frontiers in Microbiology 9:1965. </w:t>
      </w:r>
      <w:hyperlink r:id="rId264" w:history="1">
        <w:r w:rsidR="00010BAE" w:rsidRPr="006032FF">
          <w:rPr>
            <w:rStyle w:val="Hyperlink"/>
            <w:rFonts w:cs="Arial"/>
            <w:sz w:val="20"/>
            <w:szCs w:val="20"/>
          </w:rPr>
          <w:t>https://doi.org/10.3389/fmicb.2018.01965</w:t>
        </w:r>
      </w:hyperlink>
    </w:p>
    <w:p w14:paraId="1C625D40" w14:textId="2BE5FFE9" w:rsidR="00657FDB" w:rsidRPr="006032FF" w:rsidRDefault="00657FDB" w:rsidP="006032FF">
      <w:pPr>
        <w:pStyle w:val="CitaviBibliographyEntry"/>
        <w:spacing w:after="120"/>
        <w:ind w:left="0" w:firstLine="0"/>
        <w:rPr>
          <w:rFonts w:cs="Arial"/>
          <w:sz w:val="20"/>
          <w:szCs w:val="20"/>
        </w:rPr>
      </w:pPr>
      <w:bookmarkStart w:id="718" w:name="_CTVL001c31f0454fe654fb19b925251f22283fc"/>
      <w:bookmarkEnd w:id="717"/>
      <w:r w:rsidRPr="006032FF">
        <w:rPr>
          <w:rFonts w:cs="Arial"/>
          <w:sz w:val="20"/>
          <w:szCs w:val="20"/>
        </w:rPr>
        <w:t>Monaghan JM, Hutchison ML (2012) Distribution and decline of human pathogenic bacteria in soil after application in irrigation water and the potential for soil</w:t>
      </w:r>
      <w:r w:rsidRPr="006032FF">
        <w:rPr>
          <w:rFonts w:ascii="Cambria Math" w:hAnsi="Cambria Math" w:cs="Cambria Math"/>
          <w:sz w:val="20"/>
          <w:szCs w:val="20"/>
        </w:rPr>
        <w:t>‐</w:t>
      </w:r>
      <w:r w:rsidRPr="006032FF">
        <w:rPr>
          <w:rFonts w:cs="Arial"/>
          <w:sz w:val="20"/>
          <w:szCs w:val="20"/>
        </w:rPr>
        <w:t xml:space="preserve"> splash</w:t>
      </w:r>
      <w:r w:rsidRPr="006032FF">
        <w:rPr>
          <w:rFonts w:ascii="Cambria Math" w:hAnsi="Cambria Math" w:cs="Cambria Math"/>
          <w:sz w:val="20"/>
          <w:szCs w:val="20"/>
        </w:rPr>
        <w:t>‐</w:t>
      </w:r>
      <w:r w:rsidRPr="006032FF">
        <w:rPr>
          <w:rFonts w:cs="Arial"/>
          <w:sz w:val="20"/>
          <w:szCs w:val="20"/>
        </w:rPr>
        <w:t xml:space="preserve"> mediated dispersal onto fresh produce. Journal of Applied Microbiology 112:1007–1019. </w:t>
      </w:r>
      <w:hyperlink r:id="rId265" w:history="1">
        <w:r w:rsidR="00010BAE" w:rsidRPr="006032FF">
          <w:rPr>
            <w:rStyle w:val="Hyperlink"/>
            <w:rFonts w:cs="Arial"/>
            <w:sz w:val="20"/>
            <w:szCs w:val="20"/>
          </w:rPr>
          <w:t>https://doi.org/10.1111/j.1365-2672.2012.05269.x</w:t>
        </w:r>
      </w:hyperlink>
    </w:p>
    <w:p w14:paraId="36718DE1" w14:textId="3177A082" w:rsidR="00657FDB" w:rsidRPr="006032FF" w:rsidRDefault="00657FDB" w:rsidP="006032FF">
      <w:pPr>
        <w:pStyle w:val="CitaviBibliographyEntry"/>
        <w:spacing w:after="120"/>
        <w:ind w:left="0" w:firstLine="0"/>
        <w:rPr>
          <w:rFonts w:cs="Arial"/>
          <w:sz w:val="20"/>
          <w:szCs w:val="20"/>
        </w:rPr>
      </w:pPr>
      <w:bookmarkStart w:id="719" w:name="_CTVL0014abba8fb3872432a809e2bb1e3f4de12"/>
      <w:bookmarkEnd w:id="718"/>
      <w:r w:rsidRPr="006032FF">
        <w:rPr>
          <w:rFonts w:cs="Arial"/>
          <w:sz w:val="20"/>
          <w:szCs w:val="20"/>
        </w:rPr>
        <w:t xml:space="preserve">Monaghan JM, Hutchison ML (2016) Ineffective hand washing and the contamination of carrots after using a field latrine. Letters in Applied Microbiology 62:299–303. </w:t>
      </w:r>
      <w:hyperlink r:id="rId266" w:history="1">
        <w:r w:rsidR="00010BAE" w:rsidRPr="006032FF">
          <w:rPr>
            <w:rStyle w:val="Hyperlink"/>
            <w:rFonts w:cs="Arial"/>
            <w:sz w:val="20"/>
            <w:szCs w:val="20"/>
          </w:rPr>
          <w:t>https://doi.org/10.1111/lam.12549</w:t>
        </w:r>
      </w:hyperlink>
    </w:p>
    <w:p w14:paraId="338163CA" w14:textId="43938A5F" w:rsidR="00657FDB" w:rsidRPr="006032FF" w:rsidRDefault="00657FDB" w:rsidP="006032FF">
      <w:pPr>
        <w:pStyle w:val="CitaviBibliographyEntry"/>
        <w:spacing w:after="120"/>
        <w:ind w:left="0" w:firstLine="0"/>
        <w:rPr>
          <w:rFonts w:cs="Arial"/>
          <w:sz w:val="20"/>
          <w:szCs w:val="20"/>
        </w:rPr>
      </w:pPr>
      <w:bookmarkStart w:id="720" w:name="_CTVL001155dba1ce9454913921c2b5b98ac2bad"/>
      <w:bookmarkEnd w:id="719"/>
      <w:r w:rsidRPr="006032FF">
        <w:rPr>
          <w:rFonts w:cs="Arial"/>
          <w:sz w:val="20"/>
          <w:szCs w:val="20"/>
        </w:rPr>
        <w:t xml:space="preserve">Montville R, Schaffner D (2005) Monte Carlo simulation of pathogen behavior during the sprout production process. Applied and Environmental Microbiology 71:746–753. </w:t>
      </w:r>
      <w:hyperlink r:id="rId267" w:history="1">
        <w:r w:rsidR="00010BAE" w:rsidRPr="006032FF">
          <w:rPr>
            <w:rStyle w:val="Hyperlink"/>
            <w:rFonts w:cs="Arial"/>
            <w:sz w:val="20"/>
            <w:szCs w:val="20"/>
          </w:rPr>
          <w:t>https://doi.org/10.1128/AEM.71.2.746-753.2005</w:t>
        </w:r>
      </w:hyperlink>
    </w:p>
    <w:p w14:paraId="3F39CEED" w14:textId="22127773" w:rsidR="00657FDB" w:rsidRPr="006032FF" w:rsidRDefault="00657FDB" w:rsidP="006032FF">
      <w:pPr>
        <w:pStyle w:val="CitaviBibliographyEntry"/>
        <w:spacing w:after="120"/>
        <w:ind w:left="0" w:firstLine="0"/>
        <w:rPr>
          <w:rFonts w:cs="Arial"/>
          <w:sz w:val="20"/>
          <w:szCs w:val="20"/>
        </w:rPr>
      </w:pPr>
      <w:bookmarkStart w:id="721" w:name="_CTVL0019169c06f54f34e868b1d81bd743a174e"/>
      <w:bookmarkEnd w:id="720"/>
      <w:r w:rsidRPr="006032FF">
        <w:rPr>
          <w:rFonts w:cs="Arial"/>
          <w:sz w:val="20"/>
          <w:szCs w:val="20"/>
        </w:rPr>
        <w:t xml:space="preserve">Mootian G, Wu W-H, Matthews KR (2009) Transfer of </w:t>
      </w:r>
      <w:bookmarkEnd w:id="721"/>
      <w:r w:rsidRPr="006032FF">
        <w:rPr>
          <w:rFonts w:cs="Arial"/>
          <w:i/>
          <w:sz w:val="20"/>
          <w:szCs w:val="20"/>
        </w:rPr>
        <w:t xml:space="preserve">Escherichia coli </w:t>
      </w:r>
      <w:r w:rsidRPr="006032FF">
        <w:rPr>
          <w:rFonts w:cs="Arial"/>
          <w:sz w:val="20"/>
          <w:szCs w:val="20"/>
        </w:rPr>
        <w:t xml:space="preserve">O157:H7 from soil, water, and manure contaminated with low numbers of the pathogen to lettuce plants. Journal of Food Protection 72:2308. </w:t>
      </w:r>
      <w:hyperlink r:id="rId268" w:history="1">
        <w:r w:rsidR="00010BAE" w:rsidRPr="006032FF">
          <w:rPr>
            <w:rStyle w:val="Hyperlink"/>
            <w:rFonts w:cs="Arial"/>
            <w:sz w:val="20"/>
            <w:szCs w:val="20"/>
          </w:rPr>
          <w:t>https://doi.org/10.4315/0362-028x-72.11.2308</w:t>
        </w:r>
      </w:hyperlink>
    </w:p>
    <w:p w14:paraId="4B918D0A" w14:textId="5073D40F" w:rsidR="00657FDB" w:rsidRPr="006032FF" w:rsidRDefault="00657FDB" w:rsidP="006032FF">
      <w:pPr>
        <w:pStyle w:val="CitaviBibliographyEntry"/>
        <w:spacing w:after="120"/>
        <w:ind w:left="0" w:firstLine="0"/>
        <w:rPr>
          <w:rFonts w:cs="Arial"/>
          <w:sz w:val="20"/>
          <w:szCs w:val="20"/>
        </w:rPr>
      </w:pPr>
      <w:bookmarkStart w:id="722" w:name="_CTVL0019a2705f076044a11a82f49829e694bf2"/>
      <w:r w:rsidRPr="006032FF">
        <w:rPr>
          <w:rFonts w:cs="Arial"/>
          <w:sz w:val="20"/>
          <w:szCs w:val="20"/>
        </w:rPr>
        <w:t xml:space="preserve">Mormann S, Heißenberg C, Pfannebecker J, Becker B (2015) Tenacity of human norovirus and the surrogates feline calicivirus and murine norovirus during long-term storage on common nonporous food contact surfaces. Journal of Food Protection 78:224–229. </w:t>
      </w:r>
      <w:hyperlink r:id="rId269" w:history="1">
        <w:r w:rsidR="00010BAE" w:rsidRPr="006032FF">
          <w:rPr>
            <w:rStyle w:val="Hyperlink"/>
            <w:rFonts w:cs="Arial"/>
            <w:sz w:val="20"/>
            <w:szCs w:val="20"/>
          </w:rPr>
          <w:t>https://doi.org/10.4315/0362-028X.JFP-14-165</w:t>
        </w:r>
      </w:hyperlink>
    </w:p>
    <w:p w14:paraId="6E938CC8" w14:textId="54786046" w:rsidR="00657FDB" w:rsidRPr="006032FF" w:rsidRDefault="00657FDB" w:rsidP="006032FF">
      <w:pPr>
        <w:pStyle w:val="CitaviBibliographyEntry"/>
        <w:spacing w:after="120"/>
        <w:ind w:left="0" w:firstLine="0"/>
        <w:rPr>
          <w:rFonts w:cs="Arial"/>
          <w:sz w:val="20"/>
          <w:szCs w:val="20"/>
        </w:rPr>
      </w:pPr>
      <w:bookmarkStart w:id="723" w:name="_CTVL00185a53afde9284273b57e87fc515982f4"/>
      <w:bookmarkEnd w:id="722"/>
      <w:r w:rsidRPr="006032FF">
        <w:rPr>
          <w:rFonts w:cs="Arial"/>
          <w:sz w:val="20"/>
          <w:szCs w:val="20"/>
        </w:rPr>
        <w:t>Moyne A-L, Sudarshana MR, Blessington T, Koike ST, Cahn MD, Harri</w:t>
      </w:r>
      <w:r w:rsidR="0057637C">
        <w:rPr>
          <w:rFonts w:cs="Arial"/>
          <w:sz w:val="20"/>
          <w:szCs w:val="20"/>
        </w:rPr>
        <w:t xml:space="preserve">s LJ (2011) Fate of </w:t>
      </w:r>
      <w:r w:rsidR="0057637C" w:rsidRPr="0057637C">
        <w:rPr>
          <w:rFonts w:cs="Arial"/>
          <w:i/>
          <w:sz w:val="20"/>
          <w:szCs w:val="20"/>
        </w:rPr>
        <w:t>Escherichia </w:t>
      </w:r>
      <w:r w:rsidRPr="0057637C">
        <w:rPr>
          <w:rFonts w:cs="Arial"/>
          <w:i/>
          <w:sz w:val="20"/>
          <w:szCs w:val="20"/>
        </w:rPr>
        <w:t>coli</w:t>
      </w:r>
      <w:r w:rsidRPr="006032FF">
        <w:rPr>
          <w:rFonts w:cs="Arial"/>
          <w:sz w:val="20"/>
          <w:szCs w:val="20"/>
        </w:rPr>
        <w:t xml:space="preserve"> O157:H7 in field-inoculated lettuce. Food Microbiology 28:1417–1425. </w:t>
      </w:r>
      <w:hyperlink r:id="rId270" w:history="1">
        <w:r w:rsidR="00010BAE" w:rsidRPr="006032FF">
          <w:rPr>
            <w:rStyle w:val="Hyperlink"/>
            <w:rFonts w:cs="Arial"/>
            <w:sz w:val="20"/>
            <w:szCs w:val="20"/>
          </w:rPr>
          <w:t>https://doi.org/10.1016/j.fm.2011.02.001</w:t>
        </w:r>
      </w:hyperlink>
    </w:p>
    <w:p w14:paraId="2D2C15E6" w14:textId="4ACB9C72" w:rsidR="00657FDB" w:rsidRPr="006032FF" w:rsidRDefault="00657FDB" w:rsidP="006032FF">
      <w:pPr>
        <w:pStyle w:val="CitaviBibliographyEntry"/>
        <w:spacing w:after="120"/>
        <w:ind w:left="0" w:firstLine="0"/>
        <w:rPr>
          <w:rFonts w:cs="Arial"/>
          <w:sz w:val="20"/>
          <w:szCs w:val="20"/>
        </w:rPr>
      </w:pPr>
      <w:bookmarkStart w:id="724" w:name="_CTVL001b27abe5b945d4428a413c20e4981489d"/>
      <w:bookmarkEnd w:id="723"/>
      <w:r w:rsidRPr="006032FF">
        <w:rPr>
          <w:rFonts w:cs="Arial"/>
          <w:sz w:val="20"/>
          <w:szCs w:val="20"/>
        </w:rPr>
        <w:t xml:space="preserve">Mukherjee A, Speh D, Dyck E, Diez-Gonzalez F (2004) Preharvest evaluation of coliforms, </w:t>
      </w:r>
      <w:bookmarkEnd w:id="724"/>
      <w:r w:rsidRPr="006032FF">
        <w:rPr>
          <w:rFonts w:cs="Arial"/>
          <w:i/>
          <w:sz w:val="20"/>
          <w:szCs w:val="20"/>
        </w:rPr>
        <w:t>Escherichia coli, Salmonella</w:t>
      </w:r>
      <w:r w:rsidRPr="006032FF">
        <w:rPr>
          <w:rFonts w:cs="Arial"/>
          <w:sz w:val="20"/>
          <w:szCs w:val="20"/>
        </w:rPr>
        <w:t xml:space="preserve">, and </w:t>
      </w:r>
      <w:r w:rsidRPr="006032FF">
        <w:rPr>
          <w:rFonts w:cs="Arial"/>
          <w:i/>
          <w:sz w:val="20"/>
          <w:szCs w:val="20"/>
        </w:rPr>
        <w:t xml:space="preserve">Escherichia coli </w:t>
      </w:r>
      <w:r w:rsidRPr="006032FF">
        <w:rPr>
          <w:rFonts w:cs="Arial"/>
          <w:sz w:val="20"/>
          <w:szCs w:val="20"/>
        </w:rPr>
        <w:t xml:space="preserve">O157:H7 in organic and conventional produce grown by Minnesota farmers. Journal of Food Protection 67:894–900. </w:t>
      </w:r>
      <w:hyperlink r:id="rId271" w:history="1">
        <w:r w:rsidR="00010BAE" w:rsidRPr="006032FF">
          <w:rPr>
            <w:rStyle w:val="Hyperlink"/>
            <w:rFonts w:cs="Arial"/>
            <w:sz w:val="20"/>
            <w:szCs w:val="20"/>
          </w:rPr>
          <w:t>https://doi.org/10.4315/0362-028X-67.5.894</w:t>
        </w:r>
      </w:hyperlink>
    </w:p>
    <w:p w14:paraId="06DC9D79" w14:textId="093648D9" w:rsidR="00657FDB" w:rsidRPr="006032FF" w:rsidRDefault="00657FDB" w:rsidP="006032FF">
      <w:pPr>
        <w:pStyle w:val="CitaviBibliographyEntry"/>
        <w:spacing w:after="120"/>
        <w:ind w:left="0" w:firstLine="0"/>
        <w:rPr>
          <w:rFonts w:cs="Arial"/>
          <w:sz w:val="20"/>
          <w:szCs w:val="20"/>
        </w:rPr>
      </w:pPr>
      <w:bookmarkStart w:id="725" w:name="_CTVL001aea4db25a2a349388722f258ac02f930"/>
      <w:r w:rsidRPr="006032FF">
        <w:rPr>
          <w:rFonts w:cs="Arial"/>
          <w:sz w:val="20"/>
          <w:szCs w:val="20"/>
        </w:rPr>
        <w:t xml:space="preserve">Munnoch SA, Ward K, Sheridan S, Fitzsimmons GJ, Shadbolt CT, Piispanen JP, Wang Q, Ward TJ, Worgan TLM, Oxenford C, Musto JA, McAnulty J, Durrheim DN (2009) A multi-state outbreak of </w:t>
      </w:r>
      <w:bookmarkEnd w:id="725"/>
      <w:r w:rsidRPr="006032FF">
        <w:rPr>
          <w:rFonts w:cs="Arial"/>
          <w:i/>
          <w:sz w:val="20"/>
          <w:szCs w:val="20"/>
        </w:rPr>
        <w:t xml:space="preserve">Salmonella </w:t>
      </w:r>
      <w:r w:rsidRPr="006032FF">
        <w:rPr>
          <w:rFonts w:cs="Arial"/>
          <w:sz w:val="20"/>
          <w:szCs w:val="20"/>
        </w:rPr>
        <w:t xml:space="preserve">Saintpaul in Australia associated with cantaloupe consumption. Epidemiology and Infection 137:367–374. </w:t>
      </w:r>
      <w:hyperlink r:id="rId272" w:history="1">
        <w:r w:rsidR="00010BAE" w:rsidRPr="006032FF">
          <w:rPr>
            <w:rStyle w:val="Hyperlink"/>
            <w:rFonts w:cs="Arial"/>
            <w:sz w:val="20"/>
            <w:szCs w:val="20"/>
          </w:rPr>
          <w:t>https://doi.org/10.1017/S0950268808000861</w:t>
        </w:r>
      </w:hyperlink>
    </w:p>
    <w:p w14:paraId="3EEBADDA" w14:textId="4B820F09" w:rsidR="00657FDB" w:rsidRPr="006032FF" w:rsidRDefault="00657FDB" w:rsidP="006032FF">
      <w:pPr>
        <w:pStyle w:val="CitaviBibliographyEntry"/>
        <w:spacing w:after="120"/>
        <w:ind w:left="0" w:firstLine="0"/>
        <w:rPr>
          <w:rFonts w:cs="Arial"/>
          <w:sz w:val="20"/>
          <w:szCs w:val="20"/>
        </w:rPr>
      </w:pPr>
      <w:bookmarkStart w:id="726" w:name="_CTVL0019bdb30a13de64dd28f620ad7f2d5040f"/>
      <w:r w:rsidRPr="006032FF">
        <w:rPr>
          <w:rFonts w:cs="Arial"/>
          <w:sz w:val="20"/>
          <w:szCs w:val="20"/>
        </w:rPr>
        <w:t>Murphy S, Jordan P, Mellander P-E, O</w:t>
      </w:r>
      <w:r w:rsidR="00010BAE" w:rsidRPr="006032FF">
        <w:rPr>
          <w:rFonts w:cs="Arial"/>
          <w:sz w:val="20"/>
          <w:szCs w:val="20"/>
        </w:rPr>
        <w:t>’</w:t>
      </w:r>
      <w:r w:rsidRPr="006032FF">
        <w:rPr>
          <w:rFonts w:cs="Arial"/>
          <w:sz w:val="20"/>
          <w:szCs w:val="20"/>
        </w:rPr>
        <w:t xml:space="preserve">Flaherty V (2015) Quantifying faecal indicator organism hydrological transfer pathways and phases in agricultural catchments. Science of the Total Environment 520:286–299. </w:t>
      </w:r>
      <w:hyperlink r:id="rId273" w:history="1">
        <w:r w:rsidR="00010BAE" w:rsidRPr="006032FF">
          <w:rPr>
            <w:rStyle w:val="Hyperlink"/>
            <w:rFonts w:cs="Arial"/>
            <w:sz w:val="20"/>
            <w:szCs w:val="20"/>
          </w:rPr>
          <w:t>https://doi.org/10.1016/j.scitotenv.2015.02.017</w:t>
        </w:r>
      </w:hyperlink>
    </w:p>
    <w:p w14:paraId="73DA3A43" w14:textId="3C0C63A1" w:rsidR="00657FDB" w:rsidRPr="006032FF" w:rsidRDefault="00657FDB" w:rsidP="006032FF">
      <w:pPr>
        <w:pStyle w:val="CitaviBibliographyEntry"/>
        <w:spacing w:after="120"/>
        <w:ind w:left="0" w:firstLine="0"/>
        <w:rPr>
          <w:rFonts w:cs="Arial"/>
          <w:sz w:val="20"/>
          <w:szCs w:val="20"/>
        </w:rPr>
      </w:pPr>
      <w:bookmarkStart w:id="727" w:name="_CTVL0011f342b6aae9344e09abd0d3ad34c12c0"/>
      <w:bookmarkEnd w:id="726"/>
      <w:r w:rsidRPr="006032FF">
        <w:rPr>
          <w:rFonts w:cs="Arial"/>
          <w:sz w:val="20"/>
          <w:szCs w:val="20"/>
        </w:rPr>
        <w:t xml:space="preserve">Murphy S, Gaffney MT, Fanning S, Burgess CM (2016) Potential for transfer of </w:t>
      </w:r>
      <w:bookmarkEnd w:id="727"/>
      <w:r w:rsidRPr="006032FF">
        <w:rPr>
          <w:rFonts w:cs="Arial"/>
          <w:i/>
          <w:sz w:val="20"/>
          <w:szCs w:val="20"/>
        </w:rPr>
        <w:t>E</w:t>
      </w:r>
      <w:r w:rsidR="0057637C">
        <w:rPr>
          <w:rFonts w:cs="Arial"/>
          <w:i/>
          <w:sz w:val="20"/>
          <w:szCs w:val="20"/>
        </w:rPr>
        <w:t>scherichia coli </w:t>
      </w:r>
      <w:r w:rsidRPr="006032FF">
        <w:rPr>
          <w:rFonts w:cs="Arial"/>
          <w:sz w:val="20"/>
          <w:szCs w:val="20"/>
        </w:rPr>
        <w:t xml:space="preserve">O157:H7, </w:t>
      </w:r>
      <w:r w:rsidRPr="006032FF">
        <w:rPr>
          <w:rFonts w:cs="Arial"/>
          <w:i/>
          <w:sz w:val="20"/>
          <w:szCs w:val="20"/>
        </w:rPr>
        <w:t xml:space="preserve">Listeria monocytogenes </w:t>
      </w:r>
      <w:r w:rsidRPr="006032FF">
        <w:rPr>
          <w:rFonts w:cs="Arial"/>
          <w:sz w:val="20"/>
          <w:szCs w:val="20"/>
        </w:rPr>
        <w:t xml:space="preserve">and </w:t>
      </w:r>
      <w:r w:rsidRPr="006032FF">
        <w:rPr>
          <w:rFonts w:cs="Arial"/>
          <w:i/>
          <w:sz w:val="20"/>
          <w:szCs w:val="20"/>
        </w:rPr>
        <w:t xml:space="preserve">Salmonella </w:t>
      </w:r>
      <w:r w:rsidRPr="006032FF">
        <w:rPr>
          <w:rFonts w:cs="Arial"/>
          <w:sz w:val="20"/>
          <w:szCs w:val="20"/>
        </w:rPr>
        <w:t xml:space="preserve">Senftenberg from contaminated food waste derived compost and anaerobic digestate liquid to lettuce plants. Food Microbiology 59:7–13. </w:t>
      </w:r>
      <w:hyperlink r:id="rId274" w:history="1">
        <w:r w:rsidR="00010BAE" w:rsidRPr="006032FF">
          <w:rPr>
            <w:rStyle w:val="Hyperlink"/>
            <w:rFonts w:cs="Arial"/>
            <w:sz w:val="20"/>
            <w:szCs w:val="20"/>
          </w:rPr>
          <w:t>https://doi.org/10.1016/j.fm.2016.04.006</w:t>
        </w:r>
      </w:hyperlink>
    </w:p>
    <w:p w14:paraId="05DCEC48" w14:textId="77777777" w:rsidR="00657FDB" w:rsidRPr="006032FF" w:rsidRDefault="00657FDB" w:rsidP="006032FF">
      <w:pPr>
        <w:pStyle w:val="CitaviBibliographyEntry"/>
        <w:spacing w:after="120"/>
        <w:ind w:left="0" w:firstLine="0"/>
        <w:rPr>
          <w:rFonts w:cs="Arial"/>
          <w:sz w:val="20"/>
          <w:szCs w:val="20"/>
        </w:rPr>
      </w:pPr>
      <w:bookmarkStart w:id="728" w:name="_CTVL00128d9cfacba894437a70dc11389353ad4"/>
      <w:r w:rsidRPr="006032FF">
        <w:rPr>
          <w:rFonts w:cs="Arial"/>
          <w:sz w:val="20"/>
          <w:szCs w:val="20"/>
        </w:rPr>
        <w:t xml:space="preserve">Neal JA, Cabrera-Diaz E, Castillo A (2012) Attachment of </w:t>
      </w:r>
      <w:r w:rsidRPr="0057637C">
        <w:rPr>
          <w:rFonts w:cs="Arial"/>
          <w:i/>
          <w:sz w:val="20"/>
          <w:szCs w:val="20"/>
        </w:rPr>
        <w:t>Escherichia coli</w:t>
      </w:r>
      <w:r w:rsidRPr="006032FF">
        <w:rPr>
          <w:rFonts w:cs="Arial"/>
          <w:sz w:val="20"/>
          <w:szCs w:val="20"/>
        </w:rPr>
        <w:t xml:space="preserve"> O157:H7 and </w:t>
      </w:r>
      <w:r w:rsidRPr="0057637C">
        <w:rPr>
          <w:rFonts w:cs="Arial"/>
          <w:i/>
          <w:sz w:val="20"/>
          <w:szCs w:val="20"/>
        </w:rPr>
        <w:t>Salmonella</w:t>
      </w:r>
      <w:r w:rsidRPr="006032FF">
        <w:rPr>
          <w:rFonts w:cs="Arial"/>
          <w:sz w:val="20"/>
          <w:szCs w:val="20"/>
        </w:rPr>
        <w:t xml:space="preserve"> on spinach (</w:t>
      </w:r>
      <w:r w:rsidRPr="00482DC1">
        <w:rPr>
          <w:rFonts w:cs="Arial"/>
          <w:i/>
          <w:sz w:val="20"/>
          <w:szCs w:val="20"/>
        </w:rPr>
        <w:t>Spinacia oleracea</w:t>
      </w:r>
      <w:r w:rsidRPr="006032FF">
        <w:rPr>
          <w:rFonts w:cs="Arial"/>
          <w:sz w:val="20"/>
          <w:szCs w:val="20"/>
        </w:rPr>
        <w:t>) using confocal microscopy. Agriculture and Food Analytical Bacteriology 2:275–279</w:t>
      </w:r>
    </w:p>
    <w:p w14:paraId="7FE0C46E" w14:textId="0CFE869C" w:rsidR="00657FDB" w:rsidRPr="006032FF" w:rsidRDefault="00657FDB" w:rsidP="006032FF">
      <w:pPr>
        <w:pStyle w:val="CitaviBibliographyEntry"/>
        <w:spacing w:after="120"/>
        <w:ind w:left="0" w:firstLine="0"/>
        <w:rPr>
          <w:rFonts w:cs="Arial"/>
          <w:sz w:val="20"/>
          <w:szCs w:val="20"/>
        </w:rPr>
      </w:pPr>
      <w:bookmarkStart w:id="729" w:name="_CTVL001fb20f3e49bbd4a93a48d0316a24e96a6"/>
      <w:bookmarkEnd w:id="728"/>
      <w:r w:rsidRPr="006032FF">
        <w:rPr>
          <w:rFonts w:cs="Arial"/>
          <w:sz w:val="20"/>
          <w:szCs w:val="20"/>
        </w:rPr>
        <w:t xml:space="preserve">Nguyen TP, Friedrich LM, Danyluk MD (2014) Fate of </w:t>
      </w:r>
      <w:bookmarkEnd w:id="729"/>
      <w:r w:rsidRPr="006032FF">
        <w:rPr>
          <w:rFonts w:cs="Arial"/>
          <w:i/>
          <w:sz w:val="20"/>
          <w:szCs w:val="20"/>
        </w:rPr>
        <w:t xml:space="preserve">Escherichia coli </w:t>
      </w:r>
      <w:r w:rsidRPr="006032FF">
        <w:rPr>
          <w:rFonts w:cs="Arial"/>
          <w:sz w:val="20"/>
          <w:szCs w:val="20"/>
        </w:rPr>
        <w:t xml:space="preserve">O157:H7 and </w:t>
      </w:r>
      <w:r w:rsidRPr="006032FF">
        <w:rPr>
          <w:rFonts w:cs="Arial"/>
          <w:i/>
          <w:sz w:val="20"/>
          <w:szCs w:val="20"/>
        </w:rPr>
        <w:t xml:space="preserve">Salmonella </w:t>
      </w:r>
      <w:r w:rsidRPr="006032FF">
        <w:rPr>
          <w:rFonts w:cs="Arial"/>
          <w:sz w:val="20"/>
          <w:szCs w:val="20"/>
        </w:rPr>
        <w:t xml:space="preserve">on whole strawberries and blueberries of two maturities under different storage conditions. Journal of Food Protection 77:1093–1101. </w:t>
      </w:r>
      <w:hyperlink r:id="rId275" w:history="1">
        <w:r w:rsidR="00010BAE" w:rsidRPr="006032FF">
          <w:rPr>
            <w:rStyle w:val="Hyperlink"/>
            <w:rFonts w:cs="Arial"/>
            <w:sz w:val="20"/>
            <w:szCs w:val="20"/>
          </w:rPr>
          <w:t>https://doi.org/10.4315/0362-028X.JFP-13-517</w:t>
        </w:r>
      </w:hyperlink>
    </w:p>
    <w:p w14:paraId="6BA0C4BE" w14:textId="77777777" w:rsidR="00455A97" w:rsidRDefault="00455A97">
      <w:pPr>
        <w:widowControl/>
        <w:rPr>
          <w:rFonts w:cs="Arial"/>
          <w:color w:val="000000" w:themeColor="text1"/>
          <w:sz w:val="20"/>
          <w:szCs w:val="20"/>
        </w:rPr>
      </w:pPr>
      <w:bookmarkStart w:id="730" w:name="_CTVL001b100057af9e04f2fac148b897dcd7c57"/>
      <w:r>
        <w:rPr>
          <w:rFonts w:cs="Arial"/>
          <w:sz w:val="20"/>
          <w:szCs w:val="20"/>
        </w:rPr>
        <w:br w:type="page"/>
      </w:r>
    </w:p>
    <w:p w14:paraId="099075E0" w14:textId="7F55787E"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Nicholson AM, Gurtler JB, Bailey RB, Niemira BA, Douds DD (2015) Influence of mycorrhizal fungi on fate of </w:t>
      </w:r>
      <w:bookmarkEnd w:id="730"/>
      <w:r w:rsidRPr="006032FF">
        <w:rPr>
          <w:rFonts w:cs="Arial"/>
          <w:i/>
          <w:sz w:val="20"/>
          <w:szCs w:val="20"/>
        </w:rPr>
        <w:t xml:space="preserve">E. coli </w:t>
      </w:r>
      <w:r w:rsidRPr="006032FF">
        <w:rPr>
          <w:rFonts w:cs="Arial"/>
          <w:sz w:val="20"/>
          <w:szCs w:val="20"/>
        </w:rPr>
        <w:t xml:space="preserve">O157:H7 and </w:t>
      </w:r>
      <w:r w:rsidRPr="006032FF">
        <w:rPr>
          <w:rFonts w:cs="Arial"/>
          <w:i/>
          <w:sz w:val="20"/>
          <w:szCs w:val="20"/>
        </w:rPr>
        <w:t xml:space="preserve">Salmonella </w:t>
      </w:r>
      <w:r w:rsidRPr="006032FF">
        <w:rPr>
          <w:rFonts w:cs="Arial"/>
          <w:sz w:val="20"/>
          <w:szCs w:val="20"/>
        </w:rPr>
        <w:t>in</w:t>
      </w:r>
      <w:r w:rsidR="00BB3F91">
        <w:rPr>
          <w:rFonts w:cs="Arial"/>
          <w:sz w:val="20"/>
          <w:szCs w:val="20"/>
        </w:rPr>
        <w:t xml:space="preserve"> soil and internalization into r</w:t>
      </w:r>
      <w:r w:rsidRPr="006032FF">
        <w:rPr>
          <w:rFonts w:cs="Arial"/>
          <w:sz w:val="20"/>
          <w:szCs w:val="20"/>
        </w:rPr>
        <w:t xml:space="preserve">omaine lettuce plants. International Journal of Food Microbiology 192:95–102. </w:t>
      </w:r>
      <w:hyperlink r:id="rId276" w:history="1">
        <w:r w:rsidR="00010BAE" w:rsidRPr="006032FF">
          <w:rPr>
            <w:rStyle w:val="Hyperlink"/>
            <w:rFonts w:cs="Arial"/>
            <w:sz w:val="20"/>
            <w:szCs w:val="20"/>
          </w:rPr>
          <w:t>https://doi.org/10.1016/j.ijfoodmicro.2014.10.001</w:t>
        </w:r>
      </w:hyperlink>
    </w:p>
    <w:p w14:paraId="1400156B" w14:textId="4F934103" w:rsidR="00657FDB" w:rsidRPr="006032FF" w:rsidRDefault="00657FDB" w:rsidP="006032FF">
      <w:pPr>
        <w:pStyle w:val="CitaviBibliographyEntry"/>
        <w:spacing w:after="120"/>
        <w:ind w:left="0" w:firstLine="0"/>
        <w:rPr>
          <w:rFonts w:cs="Arial"/>
          <w:sz w:val="20"/>
          <w:szCs w:val="20"/>
        </w:rPr>
      </w:pPr>
      <w:bookmarkStart w:id="731" w:name="_CTVL00113a7030ce5614d3aa8df640155c699bb"/>
      <w:r w:rsidRPr="006032FF">
        <w:rPr>
          <w:rFonts w:cs="Arial"/>
          <w:sz w:val="20"/>
          <w:szCs w:val="20"/>
        </w:rPr>
        <w:t>Niemira BA (2007) Relative efficacy of sodium hypochlorite wash versus irradiation to inactivate</w:t>
      </w:r>
      <w:bookmarkEnd w:id="731"/>
      <w:r w:rsidRPr="006032FF">
        <w:rPr>
          <w:rFonts w:cs="Arial"/>
          <w:i/>
          <w:sz w:val="20"/>
          <w:szCs w:val="20"/>
        </w:rPr>
        <w:t xml:space="preserve"> Escherichia coli </w:t>
      </w:r>
      <w:r w:rsidRPr="006032FF">
        <w:rPr>
          <w:rFonts w:cs="Arial"/>
          <w:sz w:val="20"/>
          <w:szCs w:val="20"/>
        </w:rPr>
        <w:t xml:space="preserve">O157:H7 internalized in leaves of romaine lettuce and baby spinach. Journal of Food Protection 70:2526–2532. </w:t>
      </w:r>
      <w:hyperlink r:id="rId277" w:history="1">
        <w:r w:rsidR="00010BAE" w:rsidRPr="006032FF">
          <w:rPr>
            <w:rStyle w:val="Hyperlink"/>
            <w:rFonts w:cs="Arial"/>
            <w:sz w:val="20"/>
            <w:szCs w:val="20"/>
          </w:rPr>
          <w:t>https://doi.org/10.4315/0362-028X-70.11.2526</w:t>
        </w:r>
      </w:hyperlink>
    </w:p>
    <w:p w14:paraId="5634B0D5" w14:textId="0027DB34" w:rsidR="00657FDB" w:rsidRPr="006032FF" w:rsidRDefault="00657FDB" w:rsidP="006032FF">
      <w:pPr>
        <w:pStyle w:val="CitaviBibliographyEntry"/>
        <w:spacing w:after="120"/>
        <w:ind w:left="0" w:firstLine="0"/>
        <w:rPr>
          <w:rFonts w:cs="Arial"/>
          <w:sz w:val="20"/>
          <w:szCs w:val="20"/>
        </w:rPr>
      </w:pPr>
      <w:bookmarkStart w:id="732" w:name="_CTVL0015ee059485c1145348e82566b8e4ed149"/>
      <w:r w:rsidRPr="006032FF">
        <w:rPr>
          <w:rFonts w:cs="Arial"/>
          <w:sz w:val="20"/>
          <w:szCs w:val="20"/>
        </w:rPr>
        <w:t xml:space="preserve">Niemira BA (2008) Irradiation compared with chlorination for elimination of </w:t>
      </w:r>
      <w:bookmarkEnd w:id="732"/>
      <w:r w:rsidRPr="006032FF">
        <w:rPr>
          <w:rFonts w:cs="Arial"/>
          <w:i/>
          <w:sz w:val="20"/>
          <w:szCs w:val="20"/>
        </w:rPr>
        <w:t xml:space="preserve">Escherichia coli </w:t>
      </w:r>
      <w:r w:rsidRPr="006032FF">
        <w:rPr>
          <w:rFonts w:cs="Arial"/>
          <w:sz w:val="20"/>
          <w:szCs w:val="20"/>
        </w:rPr>
        <w:t xml:space="preserve">O157:H7 internalized in lettuce leaves: influence of lettuce variety. Journal of Food Science 73:M208-M213. </w:t>
      </w:r>
      <w:hyperlink r:id="rId278" w:history="1">
        <w:r w:rsidR="00010BAE" w:rsidRPr="006032FF">
          <w:rPr>
            <w:rStyle w:val="Hyperlink"/>
            <w:rFonts w:cs="Arial"/>
            <w:sz w:val="20"/>
            <w:szCs w:val="20"/>
          </w:rPr>
          <w:t>https://doi.org/10.1111/j.1750-3841.2008.00746.x</w:t>
        </w:r>
      </w:hyperlink>
    </w:p>
    <w:p w14:paraId="75F4F31B" w14:textId="3669BA8B" w:rsidR="00657FDB" w:rsidRPr="006032FF" w:rsidRDefault="00657FDB" w:rsidP="006032FF">
      <w:pPr>
        <w:pStyle w:val="CitaviBibliographyEntry"/>
        <w:spacing w:after="120"/>
        <w:ind w:left="0" w:firstLine="0"/>
        <w:rPr>
          <w:rFonts w:cs="Arial"/>
          <w:sz w:val="20"/>
          <w:szCs w:val="20"/>
        </w:rPr>
      </w:pPr>
      <w:bookmarkStart w:id="733" w:name="_CTVL0015c242fb639db4a4dbcc7c7b1ad365eb3"/>
      <w:r w:rsidRPr="006032FF">
        <w:rPr>
          <w:rFonts w:cs="Arial"/>
          <w:sz w:val="20"/>
          <w:szCs w:val="20"/>
        </w:rPr>
        <w:t xml:space="preserve">Niemira BA, Cooke PH (2010) </w:t>
      </w:r>
      <w:bookmarkEnd w:id="733"/>
      <w:r w:rsidRPr="006032FF">
        <w:rPr>
          <w:rFonts w:cs="Arial"/>
          <w:i/>
          <w:sz w:val="20"/>
          <w:szCs w:val="20"/>
        </w:rPr>
        <w:t xml:space="preserve">Escherichia coli </w:t>
      </w:r>
      <w:r w:rsidR="00BB3F91">
        <w:rPr>
          <w:rFonts w:cs="Arial"/>
          <w:sz w:val="20"/>
          <w:szCs w:val="20"/>
        </w:rPr>
        <w:t>O157: H7 biofilm formation on r</w:t>
      </w:r>
      <w:r w:rsidRPr="006032FF">
        <w:rPr>
          <w:rFonts w:cs="Arial"/>
          <w:sz w:val="20"/>
          <w:szCs w:val="20"/>
        </w:rPr>
        <w:t xml:space="preserve">omaine lettuce and spinach leaf surfaces reduces efficacy of irradiation and sodium hypochlorite washes. Journal of Food Science 75:M270. </w:t>
      </w:r>
      <w:hyperlink r:id="rId279" w:history="1">
        <w:r w:rsidR="00010BAE" w:rsidRPr="006032FF">
          <w:rPr>
            <w:rStyle w:val="Hyperlink"/>
            <w:rFonts w:cs="Arial"/>
            <w:sz w:val="20"/>
            <w:szCs w:val="20"/>
          </w:rPr>
          <w:t>https://doi.org/10.1111/j.1750-3841.2010.01650.x</w:t>
        </w:r>
      </w:hyperlink>
    </w:p>
    <w:p w14:paraId="70CBEEA4" w14:textId="671E11D7" w:rsidR="00657FDB" w:rsidRPr="006032FF" w:rsidRDefault="00657FDB" w:rsidP="006032FF">
      <w:pPr>
        <w:pStyle w:val="CitaviBibliographyEntry"/>
        <w:spacing w:after="120"/>
        <w:ind w:left="0" w:firstLine="0"/>
        <w:rPr>
          <w:rFonts w:cs="Arial"/>
          <w:sz w:val="20"/>
          <w:szCs w:val="20"/>
        </w:rPr>
      </w:pPr>
      <w:bookmarkStart w:id="734" w:name="_CTVL0014476f57c372e4d99b74c2f42d2faae2c"/>
      <w:r w:rsidRPr="006032FF">
        <w:rPr>
          <w:rFonts w:cs="Arial"/>
          <w:sz w:val="20"/>
          <w:szCs w:val="20"/>
        </w:rPr>
        <w:t xml:space="preserve">Niguma NH, Pelayo JS, Oliveira TCRMd (2017) Microbiological evaluation of lettuce produced by conventional and organic systems in farms of Londrina, PR. Semina: Ciencias Agrarias 38:175–184. </w:t>
      </w:r>
      <w:hyperlink r:id="rId280" w:history="1">
        <w:r w:rsidR="00010BAE" w:rsidRPr="006032FF">
          <w:rPr>
            <w:rStyle w:val="Hyperlink"/>
            <w:rFonts w:cs="Arial"/>
            <w:sz w:val="20"/>
            <w:szCs w:val="20"/>
          </w:rPr>
          <w:t>https://doi.org/10.5433/1679-0359.2017v38n1p175</w:t>
        </w:r>
      </w:hyperlink>
    </w:p>
    <w:p w14:paraId="0DD35A1D" w14:textId="44C5168C" w:rsidR="00657FDB" w:rsidRPr="006032FF" w:rsidRDefault="00657FDB" w:rsidP="006032FF">
      <w:pPr>
        <w:pStyle w:val="CitaviBibliographyEntry"/>
        <w:spacing w:after="120"/>
        <w:ind w:left="0" w:firstLine="0"/>
        <w:rPr>
          <w:rFonts w:cs="Arial"/>
          <w:sz w:val="20"/>
          <w:szCs w:val="20"/>
        </w:rPr>
      </w:pPr>
      <w:bookmarkStart w:id="735" w:name="_CTVL001e7cdacc6b3244defb4e9c46bbe41aefd"/>
      <w:bookmarkEnd w:id="734"/>
      <w:r w:rsidRPr="006032FF">
        <w:rPr>
          <w:rFonts w:cs="Arial"/>
          <w:sz w:val="20"/>
          <w:szCs w:val="20"/>
        </w:rPr>
        <w:t xml:space="preserve">NNDSS (2020) National Notificable Disease Surveillance System, Department of Health, Canberra. </w:t>
      </w:r>
      <w:hyperlink r:id="rId281" w:history="1">
        <w:r w:rsidR="00010BAE" w:rsidRPr="006032FF">
          <w:rPr>
            <w:rStyle w:val="Hyperlink"/>
            <w:rFonts w:cs="Arial"/>
            <w:sz w:val="20"/>
            <w:szCs w:val="20"/>
          </w:rPr>
          <w:t>http://www9.health.gov.au/cda/source/cda-index.cfm</w:t>
        </w:r>
      </w:hyperlink>
      <w:r w:rsidRPr="006032FF">
        <w:rPr>
          <w:rFonts w:cs="Arial"/>
          <w:sz w:val="20"/>
          <w:szCs w:val="20"/>
        </w:rPr>
        <w:t>. Accessed 17 September 2020</w:t>
      </w:r>
    </w:p>
    <w:p w14:paraId="7FAA63EB" w14:textId="7F13238A" w:rsidR="00657FDB" w:rsidRPr="006032FF" w:rsidRDefault="00657FDB" w:rsidP="006032FF">
      <w:pPr>
        <w:pStyle w:val="CitaviBibliographyEntry"/>
        <w:spacing w:after="120"/>
        <w:ind w:left="0" w:firstLine="0"/>
        <w:rPr>
          <w:rFonts w:cs="Arial"/>
          <w:sz w:val="20"/>
          <w:szCs w:val="20"/>
        </w:rPr>
      </w:pPr>
      <w:bookmarkStart w:id="736" w:name="_CTVL00167d5f6cef5564651ad2e73a3088ca582"/>
      <w:bookmarkEnd w:id="735"/>
      <w:r w:rsidRPr="006032FF">
        <w:rPr>
          <w:rFonts w:cs="Arial"/>
          <w:sz w:val="20"/>
          <w:szCs w:val="20"/>
        </w:rPr>
        <w:t xml:space="preserve">NSW DPI (2018) Listeria outbreak investigation - Summary report </w:t>
      </w:r>
      <w:r w:rsidR="00455A97">
        <w:rPr>
          <w:rFonts w:cs="Arial"/>
          <w:sz w:val="20"/>
          <w:szCs w:val="20"/>
        </w:rPr>
        <w:t>for the melon industry, October </w:t>
      </w:r>
      <w:r w:rsidRPr="006032FF">
        <w:rPr>
          <w:rFonts w:cs="Arial"/>
          <w:sz w:val="20"/>
          <w:szCs w:val="20"/>
        </w:rPr>
        <w:t xml:space="preserve">2018. </w:t>
      </w:r>
      <w:hyperlink r:id="rId282" w:history="1">
        <w:r w:rsidR="00010BAE" w:rsidRPr="006032FF">
          <w:rPr>
            <w:rStyle w:val="Hyperlink"/>
            <w:rFonts w:cs="Arial"/>
            <w:sz w:val="20"/>
            <w:szCs w:val="20"/>
          </w:rPr>
          <w:t>https://www.foodauthority.nsw.gov.au/sites/default/files/_Documents/foodsafetyandyou/listeria_outbreak_investigation.pdf</w:t>
        </w:r>
      </w:hyperlink>
      <w:r w:rsidRPr="006032FF">
        <w:rPr>
          <w:rFonts w:cs="Arial"/>
          <w:sz w:val="20"/>
          <w:szCs w:val="20"/>
        </w:rPr>
        <w:t>. Accessed 7 December 2020</w:t>
      </w:r>
    </w:p>
    <w:p w14:paraId="54B5E010" w14:textId="7F5DADFC" w:rsidR="00657FDB" w:rsidRPr="006032FF" w:rsidRDefault="00657FDB" w:rsidP="006032FF">
      <w:pPr>
        <w:pStyle w:val="CitaviBibliographyEntry"/>
        <w:spacing w:after="120"/>
        <w:ind w:left="0" w:firstLine="0"/>
        <w:rPr>
          <w:rFonts w:cs="Arial"/>
          <w:sz w:val="20"/>
          <w:szCs w:val="20"/>
        </w:rPr>
      </w:pPr>
      <w:bookmarkStart w:id="737" w:name="_CTVL001b413377a084b4559aedcb430f0f8c01e"/>
      <w:bookmarkEnd w:id="736"/>
      <w:r w:rsidRPr="006032FF">
        <w:rPr>
          <w:rFonts w:cs="Arial"/>
          <w:sz w:val="20"/>
          <w:szCs w:val="20"/>
        </w:rPr>
        <w:t xml:space="preserve">NSW DPI (2019) Melon food safety: A best practice guide for rockmelons and specialty melons. </w:t>
      </w:r>
      <w:hyperlink r:id="rId283" w:history="1">
        <w:r w:rsidR="00010BAE" w:rsidRPr="006032FF">
          <w:rPr>
            <w:rStyle w:val="Hyperlink"/>
            <w:rFonts w:cs="Arial"/>
            <w:sz w:val="20"/>
            <w:szCs w:val="20"/>
          </w:rPr>
          <w:t>https://www.dpi.nsw.gov.au/__data/assets/pdf_file/0020/1179011/Melon-food-safety-best-practice-guide.pdf</w:t>
        </w:r>
      </w:hyperlink>
      <w:r w:rsidRPr="006032FF">
        <w:rPr>
          <w:rFonts w:cs="Arial"/>
          <w:sz w:val="20"/>
          <w:szCs w:val="20"/>
        </w:rPr>
        <w:t>. Accessed 23 September 2019</w:t>
      </w:r>
    </w:p>
    <w:p w14:paraId="4C0FAAF1" w14:textId="79A3EF15" w:rsidR="00657FDB" w:rsidRPr="006032FF" w:rsidRDefault="00657FDB" w:rsidP="006032FF">
      <w:pPr>
        <w:pStyle w:val="CitaviBibliographyEntry"/>
        <w:spacing w:after="120"/>
        <w:ind w:left="0" w:firstLine="0"/>
        <w:rPr>
          <w:rFonts w:cs="Arial"/>
          <w:sz w:val="20"/>
          <w:szCs w:val="20"/>
        </w:rPr>
      </w:pPr>
      <w:bookmarkStart w:id="738" w:name="_CTVL00193b9b84a63874ff4ac11a72625fae89b"/>
      <w:bookmarkEnd w:id="737"/>
      <w:r w:rsidRPr="006032FF">
        <w:rPr>
          <w:rFonts w:cs="Arial"/>
          <w:sz w:val="20"/>
          <w:szCs w:val="20"/>
        </w:rPr>
        <w:t xml:space="preserve">NSW Food Authority (2017) Annual food testing report 2016-2017. </w:t>
      </w:r>
      <w:hyperlink r:id="rId284" w:history="1">
        <w:r w:rsidR="00010BAE" w:rsidRPr="006032FF">
          <w:rPr>
            <w:rStyle w:val="Hyperlink"/>
            <w:rFonts w:cs="Arial"/>
            <w:sz w:val="20"/>
            <w:szCs w:val="20"/>
          </w:rPr>
          <w:t>https://www.foodauthority.nsw.gov.au/media/2926</w:t>
        </w:r>
      </w:hyperlink>
      <w:r w:rsidRPr="006032FF">
        <w:rPr>
          <w:rFonts w:cs="Arial"/>
          <w:sz w:val="20"/>
          <w:szCs w:val="20"/>
        </w:rPr>
        <w:t>. Accessed 10 October 2019</w:t>
      </w:r>
    </w:p>
    <w:p w14:paraId="2B430309" w14:textId="18C0D631" w:rsidR="00657FDB" w:rsidRPr="006032FF" w:rsidRDefault="00657FDB" w:rsidP="006032FF">
      <w:pPr>
        <w:pStyle w:val="CitaviBibliographyEntry"/>
        <w:spacing w:after="120"/>
        <w:ind w:left="0" w:firstLine="0"/>
        <w:rPr>
          <w:rFonts w:cs="Arial"/>
          <w:sz w:val="20"/>
          <w:szCs w:val="20"/>
        </w:rPr>
      </w:pPr>
      <w:bookmarkStart w:id="739" w:name="_CTVL001aa63455652cd40798875c6d84b9d318a"/>
      <w:bookmarkEnd w:id="738"/>
      <w:r w:rsidRPr="006032FF">
        <w:rPr>
          <w:rFonts w:cs="Arial"/>
          <w:sz w:val="20"/>
          <w:szCs w:val="20"/>
        </w:rPr>
        <w:t xml:space="preserve">NSW OzFoodNet (2017) Third quarter summary, July-September 2016, NSW. NSW Ministry of Health, Sydney. </w:t>
      </w:r>
      <w:hyperlink r:id="rId285" w:history="1">
        <w:r w:rsidR="00010BAE" w:rsidRPr="006032FF">
          <w:rPr>
            <w:rStyle w:val="Hyperlink"/>
            <w:rFonts w:cs="Arial"/>
            <w:sz w:val="20"/>
            <w:szCs w:val="20"/>
          </w:rPr>
          <w:t>https://www.health.nsw.gov.au/Infectious/foodborne/Publications/NSW-3rd-quarterly-report-2016.pdf</w:t>
        </w:r>
      </w:hyperlink>
      <w:r w:rsidRPr="006032FF">
        <w:rPr>
          <w:rFonts w:cs="Arial"/>
          <w:sz w:val="20"/>
          <w:szCs w:val="20"/>
        </w:rPr>
        <w:t>. Accessed 2</w:t>
      </w:r>
      <w:r w:rsidR="00FA3236">
        <w:rPr>
          <w:rFonts w:cs="Arial"/>
          <w:sz w:val="20"/>
          <w:szCs w:val="20"/>
        </w:rPr>
        <w:t>7</w:t>
      </w:r>
      <w:r w:rsidRPr="006032FF">
        <w:rPr>
          <w:rFonts w:cs="Arial"/>
          <w:sz w:val="20"/>
          <w:szCs w:val="20"/>
        </w:rPr>
        <w:t xml:space="preserve"> November 201</w:t>
      </w:r>
      <w:r w:rsidR="00FA3236">
        <w:rPr>
          <w:rFonts w:cs="Arial"/>
          <w:sz w:val="20"/>
          <w:szCs w:val="20"/>
        </w:rPr>
        <w:t>9</w:t>
      </w:r>
    </w:p>
    <w:p w14:paraId="24611198" w14:textId="647E2269" w:rsidR="00657FDB" w:rsidRPr="006032FF" w:rsidRDefault="00657FDB" w:rsidP="006032FF">
      <w:pPr>
        <w:pStyle w:val="CitaviBibliographyEntry"/>
        <w:spacing w:after="120"/>
        <w:ind w:left="0" w:firstLine="0"/>
        <w:rPr>
          <w:rFonts w:cs="Arial"/>
          <w:sz w:val="20"/>
          <w:szCs w:val="20"/>
        </w:rPr>
      </w:pPr>
      <w:bookmarkStart w:id="740" w:name="_CTVL001208172b648bf494bacb09d624d256e9a"/>
      <w:bookmarkEnd w:id="739"/>
      <w:r w:rsidRPr="006032FF">
        <w:rPr>
          <w:rFonts w:cs="Arial"/>
          <w:sz w:val="20"/>
          <w:szCs w:val="20"/>
        </w:rPr>
        <w:t xml:space="preserve">NSW OzFoodNet (2018a) NSW first quarter report, January-March 2018. Health Protection NSW, Sydney. </w:t>
      </w:r>
      <w:hyperlink r:id="rId286" w:history="1">
        <w:r w:rsidR="00010BAE" w:rsidRPr="006032FF">
          <w:rPr>
            <w:rStyle w:val="Hyperlink"/>
            <w:rFonts w:cs="Arial"/>
            <w:sz w:val="20"/>
            <w:szCs w:val="20"/>
          </w:rPr>
          <w:t>https://www.health.nsw.gov.au/Infectious/foodborne/Publications/NSW-1st-quarterly-report-2018.pdf</w:t>
        </w:r>
      </w:hyperlink>
      <w:r w:rsidRPr="006032FF">
        <w:rPr>
          <w:rFonts w:cs="Arial"/>
          <w:sz w:val="20"/>
          <w:szCs w:val="20"/>
        </w:rPr>
        <w:t xml:space="preserve">. Accessed </w:t>
      </w:r>
      <w:r w:rsidR="00FA3236" w:rsidRPr="006032FF">
        <w:rPr>
          <w:rFonts w:cs="Arial"/>
          <w:sz w:val="20"/>
          <w:szCs w:val="20"/>
        </w:rPr>
        <w:t>2</w:t>
      </w:r>
      <w:r w:rsidR="00FA3236">
        <w:rPr>
          <w:rFonts w:cs="Arial"/>
          <w:sz w:val="20"/>
          <w:szCs w:val="20"/>
        </w:rPr>
        <w:t>7</w:t>
      </w:r>
      <w:r w:rsidR="00FA3236" w:rsidRPr="006032FF">
        <w:rPr>
          <w:rFonts w:cs="Arial"/>
          <w:sz w:val="20"/>
          <w:szCs w:val="20"/>
        </w:rPr>
        <w:t xml:space="preserve"> </w:t>
      </w:r>
      <w:r w:rsidRPr="006032FF">
        <w:rPr>
          <w:rFonts w:cs="Arial"/>
          <w:sz w:val="20"/>
          <w:szCs w:val="20"/>
        </w:rPr>
        <w:t>November 201</w:t>
      </w:r>
      <w:r w:rsidR="00FA3236">
        <w:rPr>
          <w:rFonts w:cs="Arial"/>
          <w:sz w:val="20"/>
          <w:szCs w:val="20"/>
        </w:rPr>
        <w:t>9</w:t>
      </w:r>
    </w:p>
    <w:p w14:paraId="59109844" w14:textId="16E0E7B4" w:rsidR="00657FDB" w:rsidRPr="006032FF" w:rsidRDefault="00657FDB" w:rsidP="006032FF">
      <w:pPr>
        <w:pStyle w:val="CitaviBibliographyEntry"/>
        <w:spacing w:after="120"/>
        <w:ind w:left="0" w:firstLine="0"/>
        <w:rPr>
          <w:rFonts w:cs="Arial"/>
          <w:sz w:val="20"/>
          <w:szCs w:val="20"/>
        </w:rPr>
      </w:pPr>
      <w:bookmarkStart w:id="741" w:name="_CTVL001c4461d3bfa044180a86282087a2688ed"/>
      <w:bookmarkEnd w:id="740"/>
      <w:r w:rsidRPr="006032FF">
        <w:rPr>
          <w:rFonts w:cs="Arial"/>
          <w:sz w:val="20"/>
          <w:szCs w:val="20"/>
        </w:rPr>
        <w:t xml:space="preserve">NSW OzFoodNet (2018b) NSW second quarter report, April-June 2018. Health Protection NSW, Sydney. </w:t>
      </w:r>
      <w:hyperlink r:id="rId287" w:history="1">
        <w:r w:rsidR="00010BAE" w:rsidRPr="006032FF">
          <w:rPr>
            <w:rStyle w:val="Hyperlink"/>
            <w:rFonts w:cs="Arial"/>
            <w:sz w:val="20"/>
            <w:szCs w:val="20"/>
          </w:rPr>
          <w:t>https://www.health.nsw.gov.au/Infectious/foodborne/Publications/NSW-2nd-quarterly-report-2018.pdf</w:t>
        </w:r>
      </w:hyperlink>
      <w:r w:rsidRPr="006032FF">
        <w:rPr>
          <w:rFonts w:cs="Arial"/>
          <w:sz w:val="20"/>
          <w:szCs w:val="20"/>
        </w:rPr>
        <w:t xml:space="preserve">. Accessed </w:t>
      </w:r>
      <w:r w:rsidR="00FA3236" w:rsidRPr="006032FF">
        <w:rPr>
          <w:rFonts w:cs="Arial"/>
          <w:sz w:val="20"/>
          <w:szCs w:val="20"/>
        </w:rPr>
        <w:t>2</w:t>
      </w:r>
      <w:r w:rsidR="00FA3236">
        <w:rPr>
          <w:rFonts w:cs="Arial"/>
          <w:sz w:val="20"/>
          <w:szCs w:val="20"/>
        </w:rPr>
        <w:t>7</w:t>
      </w:r>
      <w:r w:rsidR="00FA3236" w:rsidRPr="006032FF">
        <w:rPr>
          <w:rFonts w:cs="Arial"/>
          <w:sz w:val="20"/>
          <w:szCs w:val="20"/>
        </w:rPr>
        <w:t xml:space="preserve"> </w:t>
      </w:r>
      <w:r w:rsidRPr="006032FF">
        <w:rPr>
          <w:rFonts w:cs="Arial"/>
          <w:sz w:val="20"/>
          <w:szCs w:val="20"/>
        </w:rPr>
        <w:t>November 201</w:t>
      </w:r>
      <w:r w:rsidR="00FA3236">
        <w:rPr>
          <w:rFonts w:cs="Arial"/>
          <w:sz w:val="20"/>
          <w:szCs w:val="20"/>
        </w:rPr>
        <w:t>9</w:t>
      </w:r>
    </w:p>
    <w:p w14:paraId="0697DD02" w14:textId="54314528" w:rsidR="00657FDB" w:rsidRPr="006032FF" w:rsidRDefault="00657FDB" w:rsidP="006032FF">
      <w:pPr>
        <w:pStyle w:val="CitaviBibliographyEntry"/>
        <w:spacing w:after="120"/>
        <w:ind w:left="0" w:firstLine="0"/>
        <w:rPr>
          <w:rFonts w:cs="Arial"/>
          <w:sz w:val="20"/>
          <w:szCs w:val="20"/>
        </w:rPr>
      </w:pPr>
      <w:bookmarkStart w:id="742" w:name="_CTVL0017be202ca3b7642e9a5add1d968b21c52"/>
      <w:bookmarkEnd w:id="741"/>
      <w:r w:rsidRPr="006032FF">
        <w:rPr>
          <w:rFonts w:cs="Arial"/>
          <w:sz w:val="20"/>
          <w:szCs w:val="20"/>
        </w:rPr>
        <w:t xml:space="preserve">Nyarko E, Kniel KE, Zhou B, Millner PD, Luo Y, Handy ET, East C, Sharma M (2018) </w:t>
      </w:r>
      <w:bookmarkEnd w:id="742"/>
      <w:r w:rsidR="0057637C">
        <w:rPr>
          <w:rFonts w:cs="Arial"/>
          <w:i/>
          <w:sz w:val="20"/>
          <w:szCs w:val="20"/>
        </w:rPr>
        <w:t>Listeria </w:t>
      </w:r>
      <w:r w:rsidRPr="006032FF">
        <w:rPr>
          <w:rFonts w:cs="Arial"/>
          <w:i/>
          <w:sz w:val="20"/>
          <w:szCs w:val="20"/>
        </w:rPr>
        <w:t xml:space="preserve">monocytogenes </w:t>
      </w:r>
      <w:r w:rsidRPr="006032FF">
        <w:rPr>
          <w:rFonts w:cs="Arial"/>
          <w:sz w:val="20"/>
          <w:szCs w:val="20"/>
        </w:rPr>
        <w:t xml:space="preserve">persistence and transfer to cantaloupes in the packing environment is affected by surface type and cleanliness. Food Control 85:177–185. </w:t>
      </w:r>
      <w:hyperlink r:id="rId288" w:history="1">
        <w:r w:rsidR="00010BAE" w:rsidRPr="006032FF">
          <w:rPr>
            <w:rStyle w:val="Hyperlink"/>
            <w:rFonts w:cs="Arial"/>
            <w:sz w:val="20"/>
            <w:szCs w:val="20"/>
          </w:rPr>
          <w:t>https://doi.org/10.1016/j.foodcont.2017.09.033</w:t>
        </w:r>
      </w:hyperlink>
    </w:p>
    <w:p w14:paraId="08EEA89D" w14:textId="47ED7A2C" w:rsidR="00657FDB" w:rsidRPr="006032FF" w:rsidRDefault="00657FDB" w:rsidP="006032FF">
      <w:pPr>
        <w:pStyle w:val="CitaviBibliographyEntry"/>
        <w:spacing w:after="120"/>
        <w:ind w:left="0" w:firstLine="0"/>
        <w:rPr>
          <w:rFonts w:cs="Arial"/>
          <w:sz w:val="20"/>
          <w:szCs w:val="20"/>
        </w:rPr>
      </w:pPr>
      <w:bookmarkStart w:id="743" w:name="_CTVL001092429e0ab4c4b76a9c50dd599c3b0a5"/>
      <w:r w:rsidRPr="006032FF">
        <w:rPr>
          <w:rFonts w:cs="Arial"/>
          <w:sz w:val="20"/>
          <w:szCs w:val="20"/>
        </w:rPr>
        <w:t xml:space="preserve">Nyberg KA, Vinnerås B, Ottoson JR, Aronsson P, Albihn A (2010) Inactivation of </w:t>
      </w:r>
      <w:bookmarkEnd w:id="743"/>
      <w:r w:rsidR="0057637C">
        <w:rPr>
          <w:rFonts w:cs="Arial"/>
          <w:i/>
          <w:sz w:val="20"/>
          <w:szCs w:val="20"/>
        </w:rPr>
        <w:t>Escherichia coli </w:t>
      </w:r>
      <w:r w:rsidRPr="006032FF">
        <w:rPr>
          <w:rFonts w:cs="Arial"/>
          <w:sz w:val="20"/>
          <w:szCs w:val="20"/>
        </w:rPr>
        <w:t xml:space="preserve">O157: H7 and </w:t>
      </w:r>
      <w:r w:rsidRPr="006032FF">
        <w:rPr>
          <w:rFonts w:cs="Arial"/>
          <w:i/>
          <w:sz w:val="20"/>
          <w:szCs w:val="20"/>
        </w:rPr>
        <w:t xml:space="preserve">Salmonella </w:t>
      </w:r>
      <w:r w:rsidRPr="006032FF">
        <w:rPr>
          <w:rFonts w:cs="Arial"/>
          <w:sz w:val="20"/>
          <w:szCs w:val="20"/>
        </w:rPr>
        <w:t xml:space="preserve">Typhimurium in manure-amended soils studied in outdoor lysimeters. Applied Soil Ecology 46:398–404. </w:t>
      </w:r>
      <w:hyperlink r:id="rId289" w:history="1">
        <w:r w:rsidR="00010BAE" w:rsidRPr="006032FF">
          <w:rPr>
            <w:rStyle w:val="Hyperlink"/>
            <w:rFonts w:cs="Arial"/>
            <w:sz w:val="20"/>
            <w:szCs w:val="20"/>
          </w:rPr>
          <w:t>https://doi.org/10.1016/j.apsoil.2010.10.004</w:t>
        </w:r>
      </w:hyperlink>
    </w:p>
    <w:p w14:paraId="3D1E657A" w14:textId="7CE66A63" w:rsidR="00657FDB" w:rsidRPr="006032FF" w:rsidRDefault="00657FDB" w:rsidP="006032FF">
      <w:pPr>
        <w:pStyle w:val="CitaviBibliographyEntry"/>
        <w:spacing w:after="120"/>
        <w:ind w:left="0" w:firstLine="0"/>
        <w:rPr>
          <w:rFonts w:cs="Arial"/>
          <w:sz w:val="20"/>
          <w:szCs w:val="20"/>
        </w:rPr>
      </w:pPr>
      <w:bookmarkStart w:id="744" w:name="_CTVL0017a16a0ff6c7346d7b9d422f1fd53e9e4"/>
      <w:r w:rsidRPr="006032FF">
        <w:rPr>
          <w:rFonts w:cs="Arial"/>
          <w:sz w:val="20"/>
          <w:szCs w:val="20"/>
        </w:rPr>
        <w:t xml:space="preserve">Oliveira M, Usall J, Viñas I, Anguera M, Gatius F, Abadías M (2010) Microbiological quality of fresh lettuce from organic and conventional production. Food Microbiology 27:679–684. </w:t>
      </w:r>
      <w:hyperlink r:id="rId290" w:history="1">
        <w:r w:rsidR="00010BAE" w:rsidRPr="006032FF">
          <w:rPr>
            <w:rStyle w:val="Hyperlink"/>
            <w:rFonts w:cs="Arial"/>
            <w:sz w:val="20"/>
            <w:szCs w:val="20"/>
          </w:rPr>
          <w:t>https://doi.org/10.1016/j.fm.2010.03.008</w:t>
        </w:r>
      </w:hyperlink>
    </w:p>
    <w:p w14:paraId="6D69054D" w14:textId="563DC4B0" w:rsidR="00657FDB" w:rsidRPr="006032FF" w:rsidRDefault="00657FDB" w:rsidP="006032FF">
      <w:pPr>
        <w:pStyle w:val="CitaviBibliographyEntry"/>
        <w:spacing w:after="120"/>
        <w:ind w:left="0" w:firstLine="0"/>
        <w:rPr>
          <w:rFonts w:cs="Arial"/>
          <w:sz w:val="20"/>
          <w:szCs w:val="20"/>
        </w:rPr>
      </w:pPr>
      <w:bookmarkStart w:id="745" w:name="_CTVL001a0634e0cf33345fab07f82f6cb40ce11"/>
      <w:bookmarkEnd w:id="744"/>
      <w:r w:rsidRPr="006032FF">
        <w:rPr>
          <w:rFonts w:cs="Arial"/>
          <w:sz w:val="20"/>
          <w:szCs w:val="20"/>
        </w:rPr>
        <w:t xml:space="preserve">Oliveira M, Usall J, Viñas I, Solsona C, Abadías M (2011) Transfer of </w:t>
      </w:r>
      <w:bookmarkEnd w:id="745"/>
      <w:r w:rsidRPr="006032FF">
        <w:rPr>
          <w:rFonts w:cs="Arial"/>
          <w:i/>
          <w:sz w:val="20"/>
          <w:szCs w:val="20"/>
        </w:rPr>
        <w:t xml:space="preserve">Listeria innocua </w:t>
      </w:r>
      <w:r w:rsidRPr="006032FF">
        <w:rPr>
          <w:rFonts w:cs="Arial"/>
          <w:sz w:val="20"/>
          <w:szCs w:val="20"/>
        </w:rPr>
        <w:t xml:space="preserve">from contaminated compost and irrigation water to lettuce leaves. Food Microbiology 28:590–596. </w:t>
      </w:r>
      <w:hyperlink r:id="rId291" w:history="1">
        <w:r w:rsidR="00010BAE" w:rsidRPr="006032FF">
          <w:rPr>
            <w:rStyle w:val="Hyperlink"/>
            <w:rFonts w:cs="Arial"/>
            <w:sz w:val="20"/>
            <w:szCs w:val="20"/>
          </w:rPr>
          <w:t>https://doi.org/10.1016/j.fm.2010.11.004</w:t>
        </w:r>
      </w:hyperlink>
    </w:p>
    <w:p w14:paraId="03CC8B23" w14:textId="77777777" w:rsidR="002E23E0" w:rsidRDefault="002E23E0">
      <w:pPr>
        <w:widowControl/>
        <w:rPr>
          <w:rFonts w:cs="Arial"/>
          <w:color w:val="000000" w:themeColor="text1"/>
          <w:sz w:val="20"/>
          <w:szCs w:val="20"/>
        </w:rPr>
      </w:pPr>
      <w:bookmarkStart w:id="746" w:name="_CTVL0016466d567d9bc4147932b1a9374a619c0"/>
      <w:r>
        <w:rPr>
          <w:rFonts w:cs="Arial"/>
          <w:sz w:val="20"/>
          <w:szCs w:val="20"/>
        </w:rPr>
        <w:br w:type="page"/>
      </w:r>
    </w:p>
    <w:p w14:paraId="6F1B297E" w14:textId="45D7D328"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Oliveira M, Viñas I, Usall J, Anguera M, Abadías M (2012) Presence and survival of </w:t>
      </w:r>
      <w:bookmarkEnd w:id="746"/>
      <w:r w:rsidR="0057637C">
        <w:rPr>
          <w:rFonts w:cs="Arial"/>
          <w:i/>
          <w:sz w:val="20"/>
          <w:szCs w:val="20"/>
        </w:rPr>
        <w:t>Escherichia coli </w:t>
      </w:r>
      <w:r w:rsidRPr="006032FF">
        <w:rPr>
          <w:rFonts w:cs="Arial"/>
          <w:sz w:val="20"/>
          <w:szCs w:val="20"/>
        </w:rPr>
        <w:t xml:space="preserve">O157:H7 on lettuce leaves and in soil treated with contaminated compost and irrigation water. International Journal of Food Microbiology 156:133–140. </w:t>
      </w:r>
      <w:hyperlink r:id="rId292" w:history="1">
        <w:r w:rsidR="00010BAE" w:rsidRPr="006032FF">
          <w:rPr>
            <w:rStyle w:val="Hyperlink"/>
            <w:rFonts w:cs="Arial"/>
            <w:sz w:val="20"/>
            <w:szCs w:val="20"/>
          </w:rPr>
          <w:t>https://doi.org/10.1016/j.ijfoodmicro.2012.03.014</w:t>
        </w:r>
      </w:hyperlink>
    </w:p>
    <w:p w14:paraId="09BE8A5E" w14:textId="1AFB2AA6" w:rsidR="00657FDB" w:rsidRPr="006032FF" w:rsidRDefault="00657FDB" w:rsidP="006032FF">
      <w:pPr>
        <w:pStyle w:val="CitaviBibliographyEntry"/>
        <w:spacing w:after="120"/>
        <w:ind w:left="0" w:firstLine="0"/>
        <w:rPr>
          <w:rFonts w:cs="Arial"/>
          <w:sz w:val="20"/>
          <w:szCs w:val="20"/>
        </w:rPr>
      </w:pPr>
      <w:bookmarkStart w:id="747" w:name="_CTVL00112e4309c28b140269318c2be6e7b3cd6"/>
      <w:r w:rsidRPr="006032FF">
        <w:rPr>
          <w:rFonts w:cs="Arial"/>
          <w:sz w:val="20"/>
          <w:szCs w:val="20"/>
        </w:rPr>
        <w:t xml:space="preserve">Oliveira DCV de, Fernandes Júnior A, Kaneno R, Silva MG, Araújo Júnior JP, Silva NCC, Rall VLM (2014) Ability of </w:t>
      </w:r>
      <w:bookmarkEnd w:id="747"/>
      <w:r w:rsidRPr="006032FF">
        <w:rPr>
          <w:rFonts w:cs="Arial"/>
          <w:i/>
          <w:sz w:val="20"/>
          <w:szCs w:val="20"/>
        </w:rPr>
        <w:t>Salmonella</w:t>
      </w:r>
      <w:r w:rsidRPr="006032FF">
        <w:rPr>
          <w:rFonts w:cs="Arial"/>
          <w:sz w:val="20"/>
          <w:szCs w:val="20"/>
        </w:rPr>
        <w:t xml:space="preserve"> spp. to produce biofilm is dependent on temperature and surface material. Foodborne Pathogens and Disease 11:478–483. </w:t>
      </w:r>
      <w:hyperlink r:id="rId293" w:history="1">
        <w:r w:rsidR="00010BAE" w:rsidRPr="006032FF">
          <w:rPr>
            <w:rStyle w:val="Hyperlink"/>
            <w:rFonts w:cs="Arial"/>
            <w:sz w:val="20"/>
            <w:szCs w:val="20"/>
          </w:rPr>
          <w:t>https://doi.org/10.1089/fpd.2013.1710</w:t>
        </w:r>
      </w:hyperlink>
    </w:p>
    <w:p w14:paraId="33BD0AB4" w14:textId="12ADE6D8" w:rsidR="00657FDB" w:rsidRPr="006032FF" w:rsidRDefault="00657FDB" w:rsidP="006032FF">
      <w:pPr>
        <w:pStyle w:val="CitaviBibliographyEntry"/>
        <w:spacing w:after="120"/>
        <w:ind w:left="0" w:firstLine="0"/>
        <w:rPr>
          <w:rFonts w:cs="Arial"/>
          <w:sz w:val="20"/>
          <w:szCs w:val="20"/>
        </w:rPr>
      </w:pPr>
      <w:bookmarkStart w:id="748" w:name="_CTVL0019f2f04c645854626881d7fc814e825b4"/>
      <w:r w:rsidRPr="006032FF">
        <w:rPr>
          <w:rFonts w:cs="Arial"/>
          <w:sz w:val="20"/>
          <w:szCs w:val="20"/>
        </w:rPr>
        <w:t xml:space="preserve">Oliveira Carneiro I de, Sander A-L, Silva N, Moreira-Soto A, Normann A, Flehmig B, Lukashev AN, Dotzauer A, Wieseke N, Franke CR, Drexler JF (2018) A Novel Marsupial Hepatitis A Virus Corroborates Complex Evolutionary Patterns Shaping the Genus Hepatovirus. J Virol 92. </w:t>
      </w:r>
      <w:hyperlink r:id="rId294" w:history="1">
        <w:r w:rsidR="00010BAE" w:rsidRPr="006032FF">
          <w:rPr>
            <w:rStyle w:val="Hyperlink"/>
            <w:rFonts w:cs="Arial"/>
            <w:sz w:val="20"/>
            <w:szCs w:val="20"/>
          </w:rPr>
          <w:t>https://doi.org/10.1128/JVI.00082-18</w:t>
        </w:r>
      </w:hyperlink>
    </w:p>
    <w:p w14:paraId="1F0AD7E8" w14:textId="5472BA07" w:rsidR="00657FDB" w:rsidRPr="006032FF" w:rsidRDefault="00657FDB" w:rsidP="006032FF">
      <w:pPr>
        <w:pStyle w:val="CitaviBibliographyEntry"/>
        <w:spacing w:after="120"/>
        <w:ind w:left="0" w:firstLine="0"/>
        <w:rPr>
          <w:rFonts w:cs="Arial"/>
          <w:sz w:val="20"/>
          <w:szCs w:val="20"/>
        </w:rPr>
      </w:pPr>
      <w:bookmarkStart w:id="749" w:name="_CTVL0018cd1b4dfae074e5d9d1ab659c8b59824"/>
      <w:bookmarkEnd w:id="748"/>
      <w:r w:rsidRPr="006032FF">
        <w:rPr>
          <w:rFonts w:cs="Arial"/>
          <w:sz w:val="20"/>
          <w:szCs w:val="20"/>
        </w:rPr>
        <w:t xml:space="preserve">Oliveira Elias S de, Noronha TB, Tondo EC (2018) Assessment of </w:t>
      </w:r>
      <w:bookmarkEnd w:id="749"/>
      <w:r w:rsidRPr="006032FF">
        <w:rPr>
          <w:rFonts w:cs="Arial"/>
          <w:i/>
          <w:sz w:val="20"/>
          <w:szCs w:val="20"/>
        </w:rPr>
        <w:t>Salmonella</w:t>
      </w:r>
      <w:r w:rsidRPr="006032FF">
        <w:rPr>
          <w:rFonts w:cs="Arial"/>
          <w:sz w:val="20"/>
          <w:szCs w:val="20"/>
        </w:rPr>
        <w:t xml:space="preserve"> spp. and </w:t>
      </w:r>
      <w:r w:rsidR="0057637C">
        <w:rPr>
          <w:rFonts w:cs="Arial"/>
          <w:i/>
          <w:sz w:val="20"/>
          <w:szCs w:val="20"/>
        </w:rPr>
        <w:t>Escherichia </w:t>
      </w:r>
      <w:r w:rsidRPr="006032FF">
        <w:rPr>
          <w:rFonts w:cs="Arial"/>
          <w:i/>
          <w:sz w:val="20"/>
          <w:szCs w:val="20"/>
        </w:rPr>
        <w:t xml:space="preserve">coli </w:t>
      </w:r>
      <w:r w:rsidRPr="006032FF">
        <w:rPr>
          <w:rFonts w:cs="Arial"/>
          <w:sz w:val="20"/>
          <w:szCs w:val="20"/>
        </w:rPr>
        <w:t xml:space="preserve">O157:H7 growth on lettuce exposed to isothermal and non-isothermal conditions. Food Microbiology 72:206–213. </w:t>
      </w:r>
      <w:hyperlink r:id="rId295" w:history="1">
        <w:r w:rsidR="00010BAE" w:rsidRPr="006032FF">
          <w:rPr>
            <w:rStyle w:val="Hyperlink"/>
            <w:rFonts w:cs="Arial"/>
            <w:sz w:val="20"/>
            <w:szCs w:val="20"/>
          </w:rPr>
          <w:t>https://doi.org/10.1016/j.fm.2017.11.016</w:t>
        </w:r>
      </w:hyperlink>
    </w:p>
    <w:p w14:paraId="5C83A7A9" w14:textId="761F6675" w:rsidR="00657FDB" w:rsidRPr="006032FF" w:rsidRDefault="00657FDB" w:rsidP="006032FF">
      <w:pPr>
        <w:pStyle w:val="CitaviBibliographyEntry"/>
        <w:spacing w:after="120"/>
        <w:ind w:left="0" w:firstLine="0"/>
        <w:rPr>
          <w:rFonts w:cs="Arial"/>
          <w:sz w:val="20"/>
          <w:szCs w:val="20"/>
        </w:rPr>
      </w:pPr>
      <w:bookmarkStart w:id="750" w:name="_CTVL00124a041d6800846d2a04840316ac280c3"/>
      <w:r w:rsidRPr="006032FF">
        <w:rPr>
          <w:rFonts w:cs="Arial"/>
          <w:sz w:val="20"/>
          <w:szCs w:val="20"/>
        </w:rPr>
        <w:t xml:space="preserve">Oliver DM, Heathwaite AL, Hodgson CJ, Chadwick DR (2007) Mitigation and current management attempts to limit pathogen survival and movement within farmed grassland. Advances in Agronomy 93:95–152. </w:t>
      </w:r>
      <w:hyperlink r:id="rId296" w:history="1">
        <w:r w:rsidR="00010BAE" w:rsidRPr="006032FF">
          <w:rPr>
            <w:rStyle w:val="Hyperlink"/>
            <w:rFonts w:cs="Arial"/>
            <w:sz w:val="20"/>
            <w:szCs w:val="20"/>
          </w:rPr>
          <w:t>https://doi.org/10.1016/S0065-2113(06)93003-X</w:t>
        </w:r>
      </w:hyperlink>
    </w:p>
    <w:p w14:paraId="52727FC6" w14:textId="1DDB3533" w:rsidR="00657FDB" w:rsidRPr="006032FF" w:rsidRDefault="00657FDB" w:rsidP="006032FF">
      <w:pPr>
        <w:pStyle w:val="CitaviBibliographyEntry"/>
        <w:spacing w:after="120"/>
        <w:ind w:left="0" w:firstLine="0"/>
        <w:rPr>
          <w:rFonts w:cs="Arial"/>
          <w:sz w:val="20"/>
          <w:szCs w:val="20"/>
        </w:rPr>
      </w:pPr>
      <w:bookmarkStart w:id="751" w:name="_CTVL0013a6f6df078154efb842ce233c7741ef7"/>
      <w:bookmarkEnd w:id="750"/>
      <w:r w:rsidRPr="006032FF">
        <w:rPr>
          <w:rFonts w:cs="Arial"/>
          <w:sz w:val="20"/>
          <w:szCs w:val="20"/>
        </w:rPr>
        <w:t xml:space="preserve">Omac B, Moreira RG, Castillo A, Castell-Perez E (2015) Growth of </w:t>
      </w:r>
      <w:bookmarkEnd w:id="751"/>
      <w:r w:rsidRPr="006032FF">
        <w:rPr>
          <w:rFonts w:cs="Arial"/>
          <w:i/>
          <w:sz w:val="20"/>
          <w:szCs w:val="20"/>
        </w:rPr>
        <w:t xml:space="preserve">Listeria monocytogenes </w:t>
      </w:r>
      <w:r w:rsidRPr="006032FF">
        <w:rPr>
          <w:rFonts w:cs="Arial"/>
          <w:sz w:val="20"/>
          <w:szCs w:val="20"/>
        </w:rPr>
        <w:t xml:space="preserve">and </w:t>
      </w:r>
      <w:r w:rsidRPr="006032FF">
        <w:rPr>
          <w:rFonts w:cs="Arial"/>
          <w:i/>
          <w:sz w:val="20"/>
          <w:szCs w:val="20"/>
        </w:rPr>
        <w:t xml:space="preserve">Listeria innocua </w:t>
      </w:r>
      <w:r w:rsidRPr="006032FF">
        <w:rPr>
          <w:rFonts w:cs="Arial"/>
          <w:sz w:val="20"/>
          <w:szCs w:val="20"/>
        </w:rPr>
        <w:t xml:space="preserve">on fresh baby spinach leaves: Effect of storage temperature and natural microflora. Postharvest Biology and Technology 100:41–51. </w:t>
      </w:r>
      <w:hyperlink r:id="rId297" w:history="1">
        <w:r w:rsidR="00010BAE" w:rsidRPr="006032FF">
          <w:rPr>
            <w:rStyle w:val="Hyperlink"/>
            <w:rFonts w:cs="Arial"/>
            <w:sz w:val="20"/>
            <w:szCs w:val="20"/>
          </w:rPr>
          <w:t>https://doi.org/10.1016/j.postharvbio.2014.09.007</w:t>
        </w:r>
      </w:hyperlink>
    </w:p>
    <w:p w14:paraId="3153ACC8" w14:textId="4DD37E6F" w:rsidR="00657FDB" w:rsidRPr="006032FF" w:rsidRDefault="00657FDB" w:rsidP="006032FF">
      <w:pPr>
        <w:pStyle w:val="CitaviBibliographyEntry"/>
        <w:spacing w:after="120"/>
        <w:ind w:left="0" w:firstLine="0"/>
        <w:rPr>
          <w:rFonts w:cs="Arial"/>
          <w:sz w:val="20"/>
          <w:szCs w:val="20"/>
        </w:rPr>
      </w:pPr>
      <w:bookmarkStart w:id="752" w:name="_CTVL001b342c898e75d499a91f5d1d1820a3718"/>
      <w:r w:rsidRPr="006032FF">
        <w:rPr>
          <w:rFonts w:cs="Arial"/>
          <w:sz w:val="20"/>
          <w:szCs w:val="20"/>
        </w:rPr>
        <w:t xml:space="preserve">Omac B, Moreira RG, Puerta-Gomez AF, Caste-Perez E (2017) Effect of intervention strategies on the risk of infection from </w:t>
      </w:r>
      <w:bookmarkEnd w:id="752"/>
      <w:r w:rsidRPr="006032FF">
        <w:rPr>
          <w:rFonts w:cs="Arial"/>
          <w:i/>
          <w:sz w:val="20"/>
          <w:szCs w:val="20"/>
        </w:rPr>
        <w:t xml:space="preserve">Listeria monocytogenes </w:t>
      </w:r>
      <w:r w:rsidRPr="006032FF">
        <w:rPr>
          <w:rFonts w:cs="Arial"/>
          <w:sz w:val="20"/>
          <w:szCs w:val="20"/>
        </w:rPr>
        <w:t>due to consumption of fresh ba</w:t>
      </w:r>
      <w:r w:rsidR="0057637C">
        <w:rPr>
          <w:rFonts w:cs="Arial"/>
          <w:sz w:val="20"/>
          <w:szCs w:val="20"/>
        </w:rPr>
        <w:t>by spinach leaves: A </w:t>
      </w:r>
      <w:r w:rsidRPr="006032FF">
        <w:rPr>
          <w:rFonts w:cs="Arial"/>
          <w:sz w:val="20"/>
          <w:szCs w:val="20"/>
        </w:rPr>
        <w:t xml:space="preserve">quantitative approach. LWT 80:208–220. </w:t>
      </w:r>
      <w:hyperlink r:id="rId298" w:history="1">
        <w:r w:rsidR="00010BAE" w:rsidRPr="006032FF">
          <w:rPr>
            <w:rStyle w:val="Hyperlink"/>
            <w:rFonts w:cs="Arial"/>
            <w:sz w:val="20"/>
            <w:szCs w:val="20"/>
          </w:rPr>
          <w:t>https://doi.org/10.1016/j.lwt.2017.02.019</w:t>
        </w:r>
      </w:hyperlink>
    </w:p>
    <w:p w14:paraId="5B172774" w14:textId="11EC5D81" w:rsidR="00657FDB" w:rsidRPr="006032FF" w:rsidRDefault="00657FDB" w:rsidP="006032FF">
      <w:pPr>
        <w:pStyle w:val="CitaviBibliographyEntry"/>
        <w:spacing w:after="120"/>
        <w:ind w:left="0" w:firstLine="0"/>
        <w:rPr>
          <w:rFonts w:cs="Arial"/>
          <w:sz w:val="20"/>
          <w:szCs w:val="20"/>
        </w:rPr>
      </w:pPr>
      <w:bookmarkStart w:id="753" w:name="_CTVL00130e43af4bf174daeb8f533f7463d3d18"/>
      <w:r w:rsidRPr="006032FF">
        <w:rPr>
          <w:rFonts w:cs="Arial"/>
          <w:sz w:val="20"/>
          <w:szCs w:val="20"/>
        </w:rPr>
        <w:t xml:space="preserve">Omac B, Moreira RG, Castell-Perez E (2018) Quantifying growth of cold-adapted </w:t>
      </w:r>
      <w:bookmarkEnd w:id="753"/>
      <w:r w:rsidR="0057637C">
        <w:rPr>
          <w:rFonts w:cs="Arial"/>
          <w:i/>
          <w:sz w:val="20"/>
          <w:szCs w:val="20"/>
        </w:rPr>
        <w:t>Listeria </w:t>
      </w:r>
      <w:r w:rsidRPr="006032FF">
        <w:rPr>
          <w:rFonts w:cs="Arial"/>
          <w:i/>
          <w:sz w:val="20"/>
          <w:szCs w:val="20"/>
        </w:rPr>
        <w:t xml:space="preserve">monocytogenes </w:t>
      </w:r>
      <w:r w:rsidRPr="006032FF">
        <w:rPr>
          <w:rFonts w:cs="Arial"/>
          <w:sz w:val="20"/>
          <w:szCs w:val="20"/>
        </w:rPr>
        <w:t xml:space="preserve">and </w:t>
      </w:r>
      <w:r w:rsidRPr="006032FF">
        <w:rPr>
          <w:rFonts w:cs="Arial"/>
          <w:i/>
          <w:sz w:val="20"/>
          <w:szCs w:val="20"/>
        </w:rPr>
        <w:t xml:space="preserve">Listeria innocua </w:t>
      </w:r>
      <w:r w:rsidRPr="006032FF">
        <w:rPr>
          <w:rFonts w:cs="Arial"/>
          <w:sz w:val="20"/>
          <w:szCs w:val="20"/>
        </w:rPr>
        <w:t xml:space="preserve">on fresh spinach leaves at refrigeration temperatures. Journal of Food Engineering 224:17–26. </w:t>
      </w:r>
      <w:hyperlink r:id="rId299" w:history="1">
        <w:r w:rsidR="00010BAE" w:rsidRPr="006032FF">
          <w:rPr>
            <w:rStyle w:val="Hyperlink"/>
            <w:rFonts w:cs="Arial"/>
            <w:sz w:val="20"/>
            <w:szCs w:val="20"/>
          </w:rPr>
          <w:t>https://doi.org/10.1016/j.jfoodeng.2017.12.022</w:t>
        </w:r>
      </w:hyperlink>
    </w:p>
    <w:p w14:paraId="432AB0DD" w14:textId="67F4FD44" w:rsidR="00657FDB" w:rsidRPr="006032FF" w:rsidRDefault="00657FDB" w:rsidP="006032FF">
      <w:pPr>
        <w:pStyle w:val="CitaviBibliographyEntry"/>
        <w:spacing w:after="120"/>
        <w:ind w:left="0" w:firstLine="0"/>
        <w:rPr>
          <w:rFonts w:cs="Arial"/>
          <w:sz w:val="20"/>
          <w:szCs w:val="20"/>
        </w:rPr>
      </w:pPr>
      <w:bookmarkStart w:id="754" w:name="_CTVL0012cee9581b621496a947321c9189d68e6"/>
      <w:r w:rsidRPr="006032FF">
        <w:rPr>
          <w:rFonts w:cs="Arial"/>
          <w:sz w:val="20"/>
          <w:szCs w:val="20"/>
        </w:rPr>
        <w:t xml:space="preserve">Ottoson JR, Nyberg K, Lindqvist R, Albihn A (2011) Quantitative microbial risk assessment for </w:t>
      </w:r>
      <w:bookmarkEnd w:id="754"/>
      <w:r w:rsidRPr="006032FF">
        <w:rPr>
          <w:rFonts w:cs="Arial"/>
          <w:i/>
          <w:sz w:val="20"/>
          <w:szCs w:val="20"/>
        </w:rPr>
        <w:t xml:space="preserve">Escherichia coli </w:t>
      </w:r>
      <w:r w:rsidRPr="006032FF">
        <w:rPr>
          <w:rFonts w:cs="Arial"/>
          <w:sz w:val="20"/>
          <w:szCs w:val="20"/>
        </w:rPr>
        <w:t xml:space="preserve">O157 on lettuce, based on survival data from controlled studies in a climate chamber. Journal of Food Protection 74:2000–2007. </w:t>
      </w:r>
      <w:hyperlink r:id="rId300" w:history="1">
        <w:r w:rsidR="00010BAE" w:rsidRPr="006032FF">
          <w:rPr>
            <w:rStyle w:val="Hyperlink"/>
            <w:rFonts w:cs="Arial"/>
            <w:sz w:val="20"/>
            <w:szCs w:val="20"/>
          </w:rPr>
          <w:t>https://doi.org/10.4315/0362-028X.JFP-10-563</w:t>
        </w:r>
      </w:hyperlink>
    </w:p>
    <w:p w14:paraId="357A5DAA" w14:textId="77777777" w:rsidR="00657FDB" w:rsidRPr="006032FF" w:rsidRDefault="00657FDB" w:rsidP="006032FF">
      <w:pPr>
        <w:pStyle w:val="CitaviBibliographyEntry"/>
        <w:spacing w:after="120"/>
        <w:ind w:left="0" w:firstLine="0"/>
        <w:rPr>
          <w:rFonts w:cs="Arial"/>
          <w:sz w:val="20"/>
          <w:szCs w:val="20"/>
        </w:rPr>
      </w:pPr>
      <w:bookmarkStart w:id="755" w:name="_CTVL001afc4262573304278975c1e97575d7122"/>
      <w:r w:rsidRPr="006032FF">
        <w:rPr>
          <w:rFonts w:cs="Arial"/>
          <w:sz w:val="20"/>
          <w:szCs w:val="20"/>
        </w:rPr>
        <w:t>OzFoodNet (2010) OzFoodNet quarterly report, 1 April to 30 June 2010. Communicable Disease Intelligence 34:345–354</w:t>
      </w:r>
    </w:p>
    <w:p w14:paraId="5759F73A" w14:textId="77777777" w:rsidR="00657FDB" w:rsidRPr="006032FF" w:rsidRDefault="00657FDB" w:rsidP="006032FF">
      <w:pPr>
        <w:pStyle w:val="CitaviBibliographyEntry"/>
        <w:spacing w:after="120"/>
        <w:ind w:left="0" w:firstLine="0"/>
        <w:rPr>
          <w:rFonts w:cs="Arial"/>
          <w:sz w:val="20"/>
          <w:szCs w:val="20"/>
        </w:rPr>
      </w:pPr>
      <w:bookmarkStart w:id="756" w:name="_CTVL00127a27211213c4001b540d36ad531f8b6"/>
      <w:bookmarkEnd w:id="755"/>
      <w:r w:rsidRPr="006032FF">
        <w:rPr>
          <w:rFonts w:cs="Arial"/>
          <w:sz w:val="20"/>
          <w:szCs w:val="20"/>
        </w:rPr>
        <w:t>OzFoodNet (2015) Monitoring the incidence and causes of diseases potentially transmitted by food in Australia: Annual report of the OzFoodNet network, 2011. Communicable Disease Intelligence 39:E236-E264</w:t>
      </w:r>
    </w:p>
    <w:p w14:paraId="4E22AB72" w14:textId="1CC4035A" w:rsidR="00657FDB" w:rsidRDefault="00657FDB" w:rsidP="006032FF">
      <w:pPr>
        <w:pStyle w:val="CitaviBibliographyEntry"/>
        <w:spacing w:after="120"/>
        <w:ind w:left="0" w:firstLine="0"/>
        <w:rPr>
          <w:rFonts w:cs="Arial"/>
          <w:sz w:val="20"/>
          <w:szCs w:val="20"/>
        </w:rPr>
      </w:pPr>
      <w:bookmarkStart w:id="757" w:name="_CTVL0015f4c5085c5864f69a13f11fa31d72024"/>
      <w:bookmarkEnd w:id="756"/>
      <w:r w:rsidRPr="006032FF">
        <w:rPr>
          <w:rFonts w:cs="Arial"/>
          <w:sz w:val="20"/>
          <w:szCs w:val="20"/>
        </w:rPr>
        <w:t>OzFoodNet (2018) Monitoring the incidence and causes of diseases potentially transmitted by food in Australia: Annual report of the OzFoodNet network, 2012. Communicable Disease Intelligence 42:PII:S2209-6051(18)00014-3</w:t>
      </w:r>
    </w:p>
    <w:p w14:paraId="6BDE95B0" w14:textId="5B9990C4" w:rsidR="009320AA" w:rsidRDefault="009320AA" w:rsidP="009320AA">
      <w:pPr>
        <w:pStyle w:val="CitaviBibliographyEntry"/>
        <w:spacing w:after="120"/>
        <w:ind w:left="0" w:firstLine="0"/>
        <w:rPr>
          <w:rFonts w:cs="Arial"/>
          <w:sz w:val="20"/>
          <w:szCs w:val="20"/>
        </w:rPr>
      </w:pPr>
      <w:r>
        <w:rPr>
          <w:rFonts w:cs="Arial"/>
          <w:sz w:val="20"/>
          <w:szCs w:val="20"/>
        </w:rPr>
        <w:t>OzFoodNet (2021a</w:t>
      </w:r>
      <w:r w:rsidRPr="006032FF">
        <w:rPr>
          <w:rFonts w:cs="Arial"/>
          <w:sz w:val="20"/>
          <w:szCs w:val="20"/>
        </w:rPr>
        <w:t xml:space="preserve">) Monitoring the </w:t>
      </w:r>
      <w:r>
        <w:rPr>
          <w:rFonts w:cs="Arial"/>
          <w:sz w:val="20"/>
          <w:szCs w:val="20"/>
        </w:rPr>
        <w:t>incidence and causes of disease</w:t>
      </w:r>
      <w:r w:rsidRPr="006032FF">
        <w:rPr>
          <w:rFonts w:cs="Arial"/>
          <w:sz w:val="20"/>
          <w:szCs w:val="20"/>
        </w:rPr>
        <w:t xml:space="preserve"> potentially transmitted by food in Australia: Annual repor</w:t>
      </w:r>
      <w:r>
        <w:rPr>
          <w:rFonts w:cs="Arial"/>
          <w:sz w:val="20"/>
          <w:szCs w:val="20"/>
        </w:rPr>
        <w:t>t of the OzFoodNet network, 2016</w:t>
      </w:r>
      <w:r w:rsidRPr="006032FF">
        <w:rPr>
          <w:rFonts w:cs="Arial"/>
          <w:sz w:val="20"/>
          <w:szCs w:val="20"/>
        </w:rPr>
        <w:t>. Comm</w:t>
      </w:r>
      <w:r>
        <w:rPr>
          <w:rFonts w:cs="Arial"/>
          <w:sz w:val="20"/>
          <w:szCs w:val="20"/>
        </w:rPr>
        <w:t xml:space="preserve">unicable Disease Intelligence 45. </w:t>
      </w:r>
      <w:hyperlink r:id="rId301" w:history="1">
        <w:r w:rsidRPr="007015B2">
          <w:rPr>
            <w:rStyle w:val="Hyperlink"/>
            <w:rFonts w:cs="Arial"/>
            <w:sz w:val="20"/>
            <w:szCs w:val="20"/>
          </w:rPr>
          <w:t>https://doi.org/10.33321/cdi.2021.45.52</w:t>
        </w:r>
      </w:hyperlink>
    </w:p>
    <w:p w14:paraId="7EE9E15C" w14:textId="16227B75" w:rsidR="009320AA" w:rsidRPr="006032FF" w:rsidRDefault="009320AA" w:rsidP="006032FF">
      <w:pPr>
        <w:pStyle w:val="CitaviBibliographyEntry"/>
        <w:spacing w:after="120"/>
        <w:ind w:left="0" w:firstLine="0"/>
        <w:rPr>
          <w:rFonts w:cs="Arial"/>
          <w:sz w:val="20"/>
          <w:szCs w:val="20"/>
        </w:rPr>
      </w:pPr>
      <w:r>
        <w:rPr>
          <w:rFonts w:cs="Arial"/>
          <w:sz w:val="20"/>
          <w:szCs w:val="20"/>
        </w:rPr>
        <w:t>OzFoodNet (2021b</w:t>
      </w:r>
      <w:r w:rsidRPr="006032FF">
        <w:rPr>
          <w:rFonts w:cs="Arial"/>
          <w:sz w:val="20"/>
          <w:szCs w:val="20"/>
        </w:rPr>
        <w:t xml:space="preserve">) Monitoring the </w:t>
      </w:r>
      <w:r>
        <w:rPr>
          <w:rFonts w:cs="Arial"/>
          <w:sz w:val="20"/>
          <w:szCs w:val="20"/>
        </w:rPr>
        <w:t>incidence and causes of diseases</w:t>
      </w:r>
      <w:r w:rsidRPr="006032FF">
        <w:rPr>
          <w:rFonts w:cs="Arial"/>
          <w:sz w:val="20"/>
          <w:szCs w:val="20"/>
        </w:rPr>
        <w:t xml:space="preserve"> potentially transmitted by food in Australia: Annual repor</w:t>
      </w:r>
      <w:r>
        <w:rPr>
          <w:rFonts w:cs="Arial"/>
          <w:sz w:val="20"/>
          <w:szCs w:val="20"/>
        </w:rPr>
        <w:t>t of the OzFoodNet network, 2013-2015</w:t>
      </w:r>
      <w:r w:rsidRPr="006032FF">
        <w:rPr>
          <w:rFonts w:cs="Arial"/>
          <w:sz w:val="20"/>
          <w:szCs w:val="20"/>
        </w:rPr>
        <w:t>. Comm</w:t>
      </w:r>
      <w:r>
        <w:rPr>
          <w:rFonts w:cs="Arial"/>
          <w:sz w:val="20"/>
          <w:szCs w:val="20"/>
        </w:rPr>
        <w:t xml:space="preserve">unicable Disease Intelligence 45. </w:t>
      </w:r>
      <w:hyperlink r:id="rId302" w:history="1">
        <w:r w:rsidRPr="009320AA">
          <w:rPr>
            <w:rStyle w:val="Hyperlink"/>
            <w:rFonts w:cs="Arial"/>
            <w:sz w:val="20"/>
            <w:szCs w:val="20"/>
          </w:rPr>
          <w:t>https://doi.org/10.33321/cdi.2021.45.2</w:t>
        </w:r>
        <w:r w:rsidRPr="007015B2">
          <w:rPr>
            <w:rStyle w:val="Hyperlink"/>
            <w:rFonts w:cs="Arial"/>
            <w:sz w:val="20"/>
            <w:szCs w:val="20"/>
          </w:rPr>
          <w:t>1</w:t>
        </w:r>
      </w:hyperlink>
    </w:p>
    <w:p w14:paraId="1B0EE0BC" w14:textId="12E7B13F" w:rsidR="00657FDB" w:rsidRPr="006032FF" w:rsidRDefault="00657FDB" w:rsidP="006032FF">
      <w:pPr>
        <w:pStyle w:val="CitaviBibliographyEntry"/>
        <w:spacing w:after="120"/>
        <w:ind w:left="0" w:firstLine="0"/>
        <w:rPr>
          <w:rFonts w:cs="Arial"/>
          <w:sz w:val="20"/>
          <w:szCs w:val="20"/>
        </w:rPr>
      </w:pPr>
      <w:bookmarkStart w:id="758" w:name="_CTVL0010d22f18b255545dfa5f579d74164b1a0"/>
      <w:bookmarkEnd w:id="757"/>
      <w:r w:rsidRPr="006032FF">
        <w:rPr>
          <w:rFonts w:cs="Arial"/>
          <w:sz w:val="20"/>
          <w:szCs w:val="20"/>
        </w:rPr>
        <w:t xml:space="preserve">Palmai M, Buchanan RL (2002) Growth of </w:t>
      </w:r>
      <w:bookmarkEnd w:id="758"/>
      <w:r w:rsidRPr="006032FF">
        <w:rPr>
          <w:rFonts w:cs="Arial"/>
          <w:i/>
          <w:sz w:val="20"/>
          <w:szCs w:val="20"/>
        </w:rPr>
        <w:t>Listeria monocytogenes</w:t>
      </w:r>
      <w:r w:rsidRPr="006032FF">
        <w:rPr>
          <w:rFonts w:cs="Arial"/>
          <w:sz w:val="20"/>
          <w:szCs w:val="20"/>
        </w:rPr>
        <w:t xml:space="preserve"> during germination of alfalfa sprouts. Food Microbiology 19:195–200. </w:t>
      </w:r>
      <w:hyperlink r:id="rId303" w:history="1">
        <w:r w:rsidR="00010BAE" w:rsidRPr="006032FF">
          <w:rPr>
            <w:rStyle w:val="Hyperlink"/>
            <w:rFonts w:cs="Arial"/>
            <w:sz w:val="20"/>
            <w:szCs w:val="20"/>
          </w:rPr>
          <w:t>https://doi.org/10.1006/fmic.2001.0470</w:t>
        </w:r>
      </w:hyperlink>
    </w:p>
    <w:p w14:paraId="63C10958" w14:textId="481CC22A" w:rsidR="00657FDB" w:rsidRPr="006032FF" w:rsidRDefault="00657FDB" w:rsidP="006032FF">
      <w:pPr>
        <w:pStyle w:val="CitaviBibliographyEntry"/>
        <w:spacing w:after="120"/>
        <w:ind w:left="0" w:firstLine="0"/>
        <w:rPr>
          <w:rFonts w:cs="Arial"/>
          <w:sz w:val="20"/>
          <w:szCs w:val="20"/>
        </w:rPr>
      </w:pPr>
      <w:bookmarkStart w:id="759" w:name="_CTVL0019a443808ee114bc8841eed7c80a9c9a4"/>
      <w:r w:rsidRPr="006032FF">
        <w:rPr>
          <w:rFonts w:cs="Arial"/>
          <w:sz w:val="20"/>
          <w:szCs w:val="20"/>
        </w:rPr>
        <w:t>Palma-Salgado S, Pearlstein AJ, Luo Y, Park HK, Feng H (2014) Whole-head washing, prior to cutting, provides sanitization advantages for fresh-cut Iceberg lettuce (</w:t>
      </w:r>
      <w:bookmarkEnd w:id="759"/>
      <w:r w:rsidRPr="006032FF">
        <w:rPr>
          <w:rFonts w:cs="Arial"/>
          <w:i/>
          <w:sz w:val="20"/>
          <w:szCs w:val="20"/>
        </w:rPr>
        <w:t>Latuca sativa L.)</w:t>
      </w:r>
      <w:r w:rsidRPr="006032FF">
        <w:rPr>
          <w:rFonts w:cs="Arial"/>
          <w:sz w:val="20"/>
          <w:szCs w:val="20"/>
        </w:rPr>
        <w:t xml:space="preserve">. International Journal of Food Microbiology 179:18–23. </w:t>
      </w:r>
      <w:hyperlink r:id="rId304" w:history="1">
        <w:r w:rsidR="00010BAE" w:rsidRPr="006032FF">
          <w:rPr>
            <w:rStyle w:val="Hyperlink"/>
            <w:rFonts w:cs="Arial"/>
            <w:sz w:val="20"/>
            <w:szCs w:val="20"/>
          </w:rPr>
          <w:t>https://doi.org/10.1016/j.ijfoodmicro.2014.03.018</w:t>
        </w:r>
      </w:hyperlink>
    </w:p>
    <w:p w14:paraId="63F3723F" w14:textId="7F8D2FC6" w:rsidR="00657FDB" w:rsidRPr="006032FF" w:rsidRDefault="00657FDB" w:rsidP="006032FF">
      <w:pPr>
        <w:pStyle w:val="CitaviBibliographyEntry"/>
        <w:spacing w:after="120"/>
        <w:ind w:left="0" w:firstLine="0"/>
        <w:rPr>
          <w:rFonts w:cs="Arial"/>
          <w:sz w:val="20"/>
          <w:szCs w:val="20"/>
        </w:rPr>
      </w:pPr>
      <w:bookmarkStart w:id="760" w:name="_CTVL0011a3fe18afd44406eb11dd3aacb613d5d"/>
      <w:r w:rsidRPr="006032FF">
        <w:rPr>
          <w:rFonts w:cs="Arial"/>
          <w:sz w:val="20"/>
          <w:szCs w:val="20"/>
        </w:rPr>
        <w:t xml:space="preserve">Palma-Salgado S, Ku K-M, Dong M, Nguyen TH, Juvik JA, Feng H (2020) Adhesion and removal of </w:t>
      </w:r>
      <w:bookmarkEnd w:id="760"/>
      <w:r w:rsidRPr="006032FF">
        <w:rPr>
          <w:rFonts w:cs="Arial"/>
          <w:i/>
          <w:sz w:val="20"/>
          <w:szCs w:val="20"/>
        </w:rPr>
        <w:t>E.</w:t>
      </w:r>
      <w:r w:rsidR="0057637C">
        <w:rPr>
          <w:rFonts w:cs="Arial"/>
          <w:i/>
          <w:sz w:val="20"/>
          <w:szCs w:val="20"/>
        </w:rPr>
        <w:t> </w:t>
      </w:r>
      <w:r w:rsidRPr="006032FF">
        <w:rPr>
          <w:rFonts w:cs="Arial"/>
          <w:i/>
          <w:sz w:val="20"/>
          <w:szCs w:val="20"/>
        </w:rPr>
        <w:t>coli</w:t>
      </w:r>
      <w:r w:rsidRPr="006032FF">
        <w:rPr>
          <w:rFonts w:cs="Arial"/>
          <w:sz w:val="20"/>
          <w:szCs w:val="20"/>
        </w:rPr>
        <w:t xml:space="preserve"> K12 as affected by leafy green produce epicuticular wax composition, surface roughness, produce and bacterial surface hydrophobicity, and sanitizers. International Journal of Food Microbiology 334:108834. </w:t>
      </w:r>
      <w:hyperlink r:id="rId305" w:history="1">
        <w:r w:rsidR="00010BAE" w:rsidRPr="006032FF">
          <w:rPr>
            <w:rStyle w:val="Hyperlink"/>
            <w:rFonts w:cs="Arial"/>
            <w:sz w:val="20"/>
            <w:szCs w:val="20"/>
          </w:rPr>
          <w:t>https://doi.org/10.1016/j.ijfoodmicro.2020.108834</w:t>
        </w:r>
      </w:hyperlink>
    </w:p>
    <w:p w14:paraId="5AF76B80" w14:textId="2714CAD1" w:rsidR="00657FDB" w:rsidRPr="006032FF" w:rsidRDefault="00657FDB" w:rsidP="006032FF">
      <w:pPr>
        <w:pStyle w:val="CitaviBibliographyEntry"/>
        <w:spacing w:after="120"/>
        <w:ind w:left="0" w:firstLine="0"/>
        <w:rPr>
          <w:rFonts w:cs="Arial"/>
          <w:sz w:val="20"/>
          <w:szCs w:val="20"/>
        </w:rPr>
      </w:pPr>
      <w:bookmarkStart w:id="761" w:name="_CTVL001aefe80b2a0964f21af12a5bce4a98473"/>
      <w:r w:rsidRPr="006032FF">
        <w:rPr>
          <w:rFonts w:cs="Arial"/>
          <w:sz w:val="20"/>
          <w:szCs w:val="20"/>
        </w:rPr>
        <w:t xml:space="preserve">Pao S, Khalid MF, Kalantari A (2005) Microbial profiles of on-line-procured sprouting seeds and potential hazards associated with enterotoxigenic </w:t>
      </w:r>
      <w:bookmarkEnd w:id="761"/>
      <w:r w:rsidRPr="006032FF">
        <w:rPr>
          <w:rFonts w:cs="Arial"/>
          <w:i/>
          <w:sz w:val="20"/>
          <w:szCs w:val="20"/>
        </w:rPr>
        <w:t xml:space="preserve">Bacillus </w:t>
      </w:r>
      <w:r w:rsidRPr="006032FF">
        <w:rPr>
          <w:rFonts w:cs="Arial"/>
          <w:sz w:val="20"/>
          <w:szCs w:val="20"/>
        </w:rPr>
        <w:t xml:space="preserve">spp. in homegrown sprouts. Journal of Food Protection 68:1648–1653. </w:t>
      </w:r>
      <w:hyperlink r:id="rId306" w:history="1">
        <w:r w:rsidR="00010BAE" w:rsidRPr="006032FF">
          <w:rPr>
            <w:rStyle w:val="Hyperlink"/>
            <w:rFonts w:cs="Arial"/>
            <w:sz w:val="20"/>
            <w:szCs w:val="20"/>
          </w:rPr>
          <w:t>https://doi.org/10.4315/0362-028x-68.8.1648</w:t>
        </w:r>
      </w:hyperlink>
    </w:p>
    <w:p w14:paraId="4C88DBFC" w14:textId="74B819DA" w:rsidR="00657FDB" w:rsidRPr="006032FF" w:rsidRDefault="00657FDB" w:rsidP="006032FF">
      <w:pPr>
        <w:pStyle w:val="CitaviBibliographyEntry"/>
        <w:spacing w:after="120"/>
        <w:ind w:left="0" w:firstLine="0"/>
        <w:rPr>
          <w:rFonts w:cs="Arial"/>
          <w:sz w:val="20"/>
          <w:szCs w:val="20"/>
        </w:rPr>
      </w:pPr>
      <w:bookmarkStart w:id="762" w:name="_CTVL001a92e92476aa441128b81fe2bca681057"/>
      <w:r w:rsidRPr="006032FF">
        <w:rPr>
          <w:rFonts w:cs="Arial"/>
          <w:sz w:val="20"/>
          <w:szCs w:val="20"/>
        </w:rPr>
        <w:t xml:space="preserve">Parish ME, Beuchat LR, Suslow TV, Harris LJ, Garrett EH, Farber JN, Busta FF (2003) Methods to reduce/eliminate pathogens from fresh and fresh-cut produce. Comprehensive Reviews in Food Science and Food Safety 2:161–173. </w:t>
      </w:r>
      <w:hyperlink r:id="rId307" w:history="1">
        <w:r w:rsidR="00010BAE" w:rsidRPr="006032FF">
          <w:rPr>
            <w:rStyle w:val="Hyperlink"/>
            <w:rFonts w:cs="Arial"/>
            <w:sz w:val="20"/>
            <w:szCs w:val="20"/>
          </w:rPr>
          <w:t>https://doi.org/10.1111/j.1541-4337.2003.tb00033.x</w:t>
        </w:r>
      </w:hyperlink>
    </w:p>
    <w:p w14:paraId="6EA9F399" w14:textId="70911DF1" w:rsidR="00657FDB" w:rsidRPr="006032FF" w:rsidRDefault="00657FDB" w:rsidP="006032FF">
      <w:pPr>
        <w:pStyle w:val="CitaviBibliographyEntry"/>
        <w:spacing w:after="120"/>
        <w:ind w:left="0" w:firstLine="0"/>
        <w:rPr>
          <w:rFonts w:cs="Arial"/>
          <w:sz w:val="20"/>
          <w:szCs w:val="20"/>
        </w:rPr>
      </w:pPr>
      <w:bookmarkStart w:id="763" w:name="_CTVL0018b112b24003f424ba69d3bba9428f9b1"/>
      <w:bookmarkEnd w:id="762"/>
      <w:r w:rsidRPr="006032FF">
        <w:rPr>
          <w:rFonts w:cs="Arial"/>
          <w:sz w:val="20"/>
          <w:szCs w:val="20"/>
        </w:rPr>
        <w:t xml:space="preserve">Park H, Hung Y-C, Chung D (2004) Effects of chlorine and pH on efficacy of electrolyzed water for inactivating </w:t>
      </w:r>
      <w:bookmarkEnd w:id="763"/>
      <w:r w:rsidRPr="006032FF">
        <w:rPr>
          <w:rFonts w:cs="Arial"/>
          <w:i/>
          <w:sz w:val="20"/>
          <w:szCs w:val="20"/>
        </w:rPr>
        <w:t xml:space="preserve">Escherichia coli </w:t>
      </w:r>
      <w:r w:rsidRPr="006032FF">
        <w:rPr>
          <w:rFonts w:cs="Arial"/>
          <w:sz w:val="20"/>
          <w:szCs w:val="20"/>
        </w:rPr>
        <w:t xml:space="preserve">O157:H7 and </w:t>
      </w:r>
      <w:r w:rsidRPr="006032FF">
        <w:rPr>
          <w:rFonts w:cs="Arial"/>
          <w:i/>
          <w:sz w:val="20"/>
          <w:szCs w:val="20"/>
        </w:rPr>
        <w:t>Listeria monocytogenes</w:t>
      </w:r>
      <w:r w:rsidRPr="006032FF">
        <w:rPr>
          <w:rFonts w:cs="Arial"/>
          <w:sz w:val="20"/>
          <w:szCs w:val="20"/>
        </w:rPr>
        <w:t xml:space="preserve">. International Journal of Food Microbiology 91:13–18. </w:t>
      </w:r>
      <w:hyperlink r:id="rId308" w:history="1">
        <w:r w:rsidR="00010BAE" w:rsidRPr="006032FF">
          <w:rPr>
            <w:rStyle w:val="Hyperlink"/>
            <w:rFonts w:cs="Arial"/>
            <w:sz w:val="20"/>
            <w:szCs w:val="20"/>
          </w:rPr>
          <w:t>https://doi.org/10.1016/S0168-1605(03)00334-9</w:t>
        </w:r>
      </w:hyperlink>
    </w:p>
    <w:p w14:paraId="14DC4E18" w14:textId="006DF89A" w:rsidR="00657FDB" w:rsidRPr="006032FF" w:rsidRDefault="00657FDB" w:rsidP="006032FF">
      <w:pPr>
        <w:pStyle w:val="CitaviBibliographyEntry"/>
        <w:spacing w:after="120"/>
        <w:ind w:left="0" w:firstLine="0"/>
        <w:rPr>
          <w:rFonts w:cs="Arial"/>
          <w:sz w:val="20"/>
          <w:szCs w:val="20"/>
        </w:rPr>
      </w:pPr>
      <w:bookmarkStart w:id="764" w:name="_CTVL001ce0770a4ede141fa94e982fcc8bb245b"/>
      <w:r w:rsidRPr="006032FF">
        <w:rPr>
          <w:rFonts w:cs="Arial"/>
          <w:sz w:val="20"/>
          <w:szCs w:val="20"/>
        </w:rPr>
        <w:t xml:space="preserve">Park S, Szonyi B, Gautam R, Nightingale K, Anciso J, Ivanek R (2012) Risk factors for microbial contamination in fruits and vegetables at the preharvest level: A systematic review. Journal of Food Protection 75:2055–2081. </w:t>
      </w:r>
      <w:hyperlink r:id="rId309" w:history="1">
        <w:r w:rsidR="00010BAE" w:rsidRPr="006032FF">
          <w:rPr>
            <w:rStyle w:val="Hyperlink"/>
            <w:rFonts w:cs="Arial"/>
            <w:sz w:val="20"/>
            <w:szCs w:val="20"/>
          </w:rPr>
          <w:t>https://doi.org/10.4315/0362-028X.JFP-12-160</w:t>
        </w:r>
      </w:hyperlink>
    </w:p>
    <w:p w14:paraId="20D4F5C9" w14:textId="7E56C300" w:rsidR="00657FDB" w:rsidRPr="006032FF" w:rsidRDefault="00657FDB" w:rsidP="006032FF">
      <w:pPr>
        <w:pStyle w:val="CitaviBibliographyEntry"/>
        <w:spacing w:after="120"/>
        <w:ind w:left="0" w:firstLine="0"/>
        <w:rPr>
          <w:rFonts w:cs="Arial"/>
          <w:sz w:val="20"/>
          <w:szCs w:val="20"/>
        </w:rPr>
      </w:pPr>
      <w:bookmarkStart w:id="765" w:name="_CTVL00135caafa2ec0f4a56920d4a8c7cffefc2"/>
      <w:bookmarkEnd w:id="764"/>
      <w:r w:rsidRPr="006032FF">
        <w:rPr>
          <w:rFonts w:cs="Arial"/>
          <w:sz w:val="20"/>
          <w:szCs w:val="20"/>
        </w:rPr>
        <w:t xml:space="preserve">Park K-H, Yun H-J, Kim W-I, Kang J-W, Millner PD, Micallef SA, Kim B-S (2013a) Analysis of microbiological contamination in cultivation and distribution stage of melon. Korean Journal of Soil Science and Fertilizer 46:615–622. </w:t>
      </w:r>
      <w:hyperlink r:id="rId310" w:history="1">
        <w:r w:rsidR="00010BAE" w:rsidRPr="006032FF">
          <w:rPr>
            <w:rStyle w:val="Hyperlink"/>
            <w:rFonts w:cs="Arial"/>
            <w:sz w:val="20"/>
            <w:szCs w:val="20"/>
          </w:rPr>
          <w:t>https://doi.org/10.7745/KJSSF.2013.46.6.615</w:t>
        </w:r>
      </w:hyperlink>
    </w:p>
    <w:p w14:paraId="3A1048B5" w14:textId="7AA6F44E" w:rsidR="00657FDB" w:rsidRPr="006032FF" w:rsidRDefault="00657FDB" w:rsidP="006032FF">
      <w:pPr>
        <w:pStyle w:val="CitaviBibliographyEntry"/>
        <w:spacing w:after="120"/>
        <w:ind w:left="0" w:firstLine="0"/>
        <w:rPr>
          <w:rFonts w:cs="Arial"/>
          <w:sz w:val="20"/>
          <w:szCs w:val="20"/>
        </w:rPr>
      </w:pPr>
      <w:bookmarkStart w:id="766" w:name="_CTVL001309a8de1bfe044dd9f40a39923574c78"/>
      <w:bookmarkEnd w:id="765"/>
      <w:r w:rsidRPr="006032FF">
        <w:rPr>
          <w:rFonts w:cs="Arial"/>
          <w:sz w:val="20"/>
          <w:szCs w:val="20"/>
        </w:rPr>
        <w:t xml:space="preserve">Park S, Navratil S, Gregory A, Bauer A, Srinath I, Jun M, Szonyi B, Nightingale K, Anciso J, Ivanek R (2013b) Generic </w:t>
      </w:r>
      <w:bookmarkEnd w:id="766"/>
      <w:r w:rsidRPr="006032FF">
        <w:rPr>
          <w:rFonts w:cs="Arial"/>
          <w:i/>
          <w:sz w:val="20"/>
          <w:szCs w:val="20"/>
        </w:rPr>
        <w:t xml:space="preserve">Escherichia coli </w:t>
      </w:r>
      <w:r w:rsidRPr="006032FF">
        <w:rPr>
          <w:rFonts w:cs="Arial"/>
          <w:sz w:val="20"/>
          <w:szCs w:val="20"/>
        </w:rPr>
        <w:t xml:space="preserve">contamination of spinach at the preharvest stage: Effects of farm management and environmental factors. Applied and Environmental Microbiology 79:4347–4358. </w:t>
      </w:r>
      <w:hyperlink r:id="rId311" w:history="1">
        <w:r w:rsidR="00010BAE" w:rsidRPr="006032FF">
          <w:rPr>
            <w:rStyle w:val="Hyperlink"/>
            <w:rFonts w:cs="Arial"/>
            <w:sz w:val="20"/>
            <w:szCs w:val="20"/>
          </w:rPr>
          <w:t>https://doi.org/10.1128/AEM.00474-13</w:t>
        </w:r>
      </w:hyperlink>
    </w:p>
    <w:p w14:paraId="4A75EBC5" w14:textId="49E9C0DA" w:rsidR="00657FDB" w:rsidRPr="006032FF" w:rsidRDefault="00657FDB" w:rsidP="006032FF">
      <w:pPr>
        <w:pStyle w:val="CitaviBibliographyEntry"/>
        <w:spacing w:after="120"/>
        <w:ind w:left="0" w:firstLine="0"/>
        <w:rPr>
          <w:rFonts w:cs="Arial"/>
          <w:sz w:val="20"/>
          <w:szCs w:val="20"/>
        </w:rPr>
      </w:pPr>
      <w:bookmarkStart w:id="767" w:name="_CTVL0015ddba402fd0b45e7a5c642ee82052b5e"/>
      <w:r w:rsidRPr="006032FF">
        <w:rPr>
          <w:rFonts w:cs="Arial"/>
          <w:sz w:val="20"/>
          <w:szCs w:val="20"/>
        </w:rPr>
        <w:t xml:space="preserve">Park S, Navratil S, Gregory A, Bauer A, Srinath I, Szonyi B, Nightingale K, Anciso J, Jun M, Han D, Lawhon S, Ivanek R (2014) Farm management, environment, and weather factors jointly affect the probability of spinach contamination by generic </w:t>
      </w:r>
      <w:bookmarkEnd w:id="767"/>
      <w:r w:rsidRPr="006032FF">
        <w:rPr>
          <w:rFonts w:cs="Arial"/>
          <w:i/>
          <w:sz w:val="20"/>
          <w:szCs w:val="20"/>
        </w:rPr>
        <w:t xml:space="preserve">Escherichia coli </w:t>
      </w:r>
      <w:r w:rsidRPr="006032FF">
        <w:rPr>
          <w:rFonts w:cs="Arial"/>
          <w:sz w:val="20"/>
          <w:szCs w:val="20"/>
        </w:rPr>
        <w:t xml:space="preserve">at the preharvest stage. Applied and Environmental Microbiology 80:2504–2515. </w:t>
      </w:r>
      <w:hyperlink r:id="rId312" w:history="1">
        <w:r w:rsidR="00010BAE" w:rsidRPr="006032FF">
          <w:rPr>
            <w:rStyle w:val="Hyperlink"/>
            <w:rFonts w:cs="Arial"/>
            <w:sz w:val="20"/>
            <w:szCs w:val="20"/>
          </w:rPr>
          <w:t>https://doi.org/10.1128/AEM.03643-13</w:t>
        </w:r>
      </w:hyperlink>
    </w:p>
    <w:p w14:paraId="22C2A1D5" w14:textId="25F5F252" w:rsidR="00657FDB" w:rsidRPr="006032FF" w:rsidRDefault="00657FDB" w:rsidP="006032FF">
      <w:pPr>
        <w:pStyle w:val="CitaviBibliographyEntry"/>
        <w:spacing w:after="120"/>
        <w:ind w:left="0" w:firstLine="0"/>
        <w:rPr>
          <w:rFonts w:cs="Arial"/>
          <w:sz w:val="20"/>
          <w:szCs w:val="20"/>
        </w:rPr>
      </w:pPr>
      <w:bookmarkStart w:id="768" w:name="_CTVL001db3a5d98c15f4787b8857f39bef39af2"/>
      <w:r w:rsidRPr="006032FF">
        <w:rPr>
          <w:rFonts w:cs="Arial"/>
          <w:sz w:val="20"/>
          <w:szCs w:val="20"/>
        </w:rPr>
        <w:t xml:space="preserve">Parsons SK, Bull CM, Gordon DM (2010) Low prevalence of </w:t>
      </w:r>
      <w:bookmarkEnd w:id="768"/>
      <w:r w:rsidRPr="006032FF">
        <w:rPr>
          <w:rFonts w:cs="Arial"/>
          <w:i/>
          <w:sz w:val="20"/>
          <w:szCs w:val="20"/>
        </w:rPr>
        <w:t xml:space="preserve">Salmonella enterica </w:t>
      </w:r>
      <w:r w:rsidRPr="006032FF">
        <w:rPr>
          <w:rFonts w:cs="Arial"/>
          <w:sz w:val="20"/>
          <w:szCs w:val="20"/>
        </w:rPr>
        <w:t xml:space="preserve">in Australian wildlife. Environmental Microbiology Reports 2:657–659. </w:t>
      </w:r>
      <w:hyperlink r:id="rId313" w:history="1">
        <w:r w:rsidR="00010BAE" w:rsidRPr="006032FF">
          <w:rPr>
            <w:rStyle w:val="Hyperlink"/>
            <w:rFonts w:cs="Arial"/>
            <w:sz w:val="20"/>
            <w:szCs w:val="20"/>
          </w:rPr>
          <w:t>https://doi.org/10.1111/j.1758-2229.2010.00152.x</w:t>
        </w:r>
      </w:hyperlink>
    </w:p>
    <w:p w14:paraId="6AD20557" w14:textId="23098D22" w:rsidR="00657FDB" w:rsidRPr="006032FF" w:rsidRDefault="00657FDB" w:rsidP="006032FF">
      <w:pPr>
        <w:pStyle w:val="CitaviBibliographyEntry"/>
        <w:spacing w:after="120"/>
        <w:ind w:left="0" w:firstLine="0"/>
        <w:rPr>
          <w:rFonts w:cs="Arial"/>
          <w:sz w:val="20"/>
          <w:szCs w:val="20"/>
        </w:rPr>
      </w:pPr>
      <w:bookmarkStart w:id="769" w:name="_CTVL00161ab18c8f5504efaba66bcdc38ab3ffa"/>
      <w:r w:rsidRPr="006032FF">
        <w:rPr>
          <w:rFonts w:cs="Arial"/>
          <w:sz w:val="20"/>
          <w:szCs w:val="20"/>
        </w:rPr>
        <w:t xml:space="preserve">Patel J, Sharma M (2010) Differences in attachment of </w:t>
      </w:r>
      <w:bookmarkEnd w:id="769"/>
      <w:r w:rsidRPr="006032FF">
        <w:rPr>
          <w:rFonts w:cs="Arial"/>
          <w:i/>
          <w:sz w:val="20"/>
          <w:szCs w:val="20"/>
        </w:rPr>
        <w:t xml:space="preserve">Salmonella enterica </w:t>
      </w:r>
      <w:r w:rsidRPr="006032FF">
        <w:rPr>
          <w:rFonts w:cs="Arial"/>
          <w:sz w:val="20"/>
          <w:szCs w:val="20"/>
        </w:rPr>
        <w:t xml:space="preserve">serovars to cabbage and lettuce leaves. International Journal of Food Microbiology 139:41–47. </w:t>
      </w:r>
      <w:hyperlink r:id="rId314" w:history="1">
        <w:r w:rsidR="00010BAE" w:rsidRPr="006032FF">
          <w:rPr>
            <w:rStyle w:val="Hyperlink"/>
            <w:rFonts w:cs="Arial"/>
            <w:sz w:val="20"/>
            <w:szCs w:val="20"/>
          </w:rPr>
          <w:t>https://doi.org/10.1016/j.ijfoodmicro.2010.02.005</w:t>
        </w:r>
      </w:hyperlink>
    </w:p>
    <w:p w14:paraId="6BE29A19" w14:textId="59511D26" w:rsidR="00657FDB" w:rsidRPr="006032FF" w:rsidRDefault="00657FDB" w:rsidP="006032FF">
      <w:pPr>
        <w:pStyle w:val="CitaviBibliographyEntry"/>
        <w:spacing w:after="120"/>
        <w:ind w:left="0" w:firstLine="0"/>
        <w:rPr>
          <w:rFonts w:cs="Arial"/>
          <w:sz w:val="20"/>
          <w:szCs w:val="20"/>
        </w:rPr>
      </w:pPr>
      <w:bookmarkStart w:id="770" w:name="_CTVL001fdb3ebad0b4047ea976ffacf61e7dfb9"/>
      <w:r w:rsidRPr="006032FF">
        <w:rPr>
          <w:rFonts w:cs="Arial"/>
          <w:sz w:val="20"/>
          <w:szCs w:val="20"/>
        </w:rPr>
        <w:t xml:space="preserve">Patel J, Millner P, Nou X, Sharma M (2010) Persistence of enterohaemorrhagic and nonpathogenic </w:t>
      </w:r>
      <w:bookmarkEnd w:id="770"/>
      <w:r w:rsidR="0057637C">
        <w:rPr>
          <w:rFonts w:cs="Arial"/>
          <w:i/>
          <w:sz w:val="20"/>
          <w:szCs w:val="20"/>
        </w:rPr>
        <w:t>E. </w:t>
      </w:r>
      <w:r w:rsidRPr="006032FF">
        <w:rPr>
          <w:rFonts w:cs="Arial"/>
          <w:i/>
          <w:sz w:val="20"/>
          <w:szCs w:val="20"/>
        </w:rPr>
        <w:t xml:space="preserve">coli </w:t>
      </w:r>
      <w:r w:rsidRPr="006032FF">
        <w:rPr>
          <w:rFonts w:cs="Arial"/>
          <w:sz w:val="20"/>
          <w:szCs w:val="20"/>
        </w:rPr>
        <w:t xml:space="preserve">on spinach leaves and in rhizosphere soil. Journal of Applied Microbiology 108:1789–1796. </w:t>
      </w:r>
      <w:hyperlink r:id="rId315" w:history="1">
        <w:r w:rsidR="00010BAE" w:rsidRPr="006032FF">
          <w:rPr>
            <w:rStyle w:val="Hyperlink"/>
            <w:rFonts w:cs="Arial"/>
            <w:sz w:val="20"/>
            <w:szCs w:val="20"/>
          </w:rPr>
          <w:t>https://doi.org/10.1111/j.1365-2672.2009.04583.x</w:t>
        </w:r>
      </w:hyperlink>
    </w:p>
    <w:p w14:paraId="7FE023E4" w14:textId="6F3ABF1D" w:rsidR="00657FDB" w:rsidRPr="006032FF" w:rsidRDefault="00657FDB" w:rsidP="006032FF">
      <w:pPr>
        <w:pStyle w:val="CitaviBibliographyEntry"/>
        <w:spacing w:after="120"/>
        <w:ind w:left="0" w:firstLine="0"/>
        <w:rPr>
          <w:rFonts w:cs="Arial"/>
          <w:sz w:val="20"/>
          <w:szCs w:val="20"/>
        </w:rPr>
      </w:pPr>
      <w:bookmarkStart w:id="771" w:name="_CTVL00134481b44da9a46c399e8665a5d506d7f"/>
      <w:r w:rsidRPr="006032FF">
        <w:rPr>
          <w:rFonts w:cs="Arial"/>
          <w:sz w:val="20"/>
          <w:szCs w:val="20"/>
        </w:rPr>
        <w:t xml:space="preserve">Patel J, Sharma M, Millner P, Calaway T, Singh M (2011) Inactivation of </w:t>
      </w:r>
      <w:bookmarkEnd w:id="771"/>
      <w:r w:rsidRPr="006032FF">
        <w:rPr>
          <w:rFonts w:cs="Arial"/>
          <w:i/>
          <w:sz w:val="20"/>
          <w:szCs w:val="20"/>
        </w:rPr>
        <w:t xml:space="preserve">Escherichia coli </w:t>
      </w:r>
      <w:r w:rsidRPr="006032FF">
        <w:rPr>
          <w:rFonts w:cs="Arial"/>
          <w:sz w:val="20"/>
          <w:szCs w:val="20"/>
        </w:rPr>
        <w:t xml:space="preserve">O157:H7 attached to spinach harvester blade using bacteriophage. Foodborne Pathogens and Disease 8:541–546. </w:t>
      </w:r>
      <w:hyperlink r:id="rId316" w:history="1">
        <w:r w:rsidR="00010BAE" w:rsidRPr="006032FF">
          <w:rPr>
            <w:rStyle w:val="Hyperlink"/>
            <w:rFonts w:cs="Arial"/>
            <w:sz w:val="20"/>
            <w:szCs w:val="20"/>
          </w:rPr>
          <w:t>https://doi.org/10.1089/fpd.2010.0734</w:t>
        </w:r>
      </w:hyperlink>
    </w:p>
    <w:p w14:paraId="7A13E5E2" w14:textId="56228344" w:rsidR="00657FDB" w:rsidRPr="006032FF" w:rsidRDefault="00657FDB" w:rsidP="006032FF">
      <w:pPr>
        <w:pStyle w:val="CitaviBibliographyEntry"/>
        <w:spacing w:after="120"/>
        <w:ind w:left="0" w:firstLine="0"/>
        <w:rPr>
          <w:rFonts w:cs="Arial"/>
          <w:sz w:val="20"/>
          <w:szCs w:val="20"/>
        </w:rPr>
      </w:pPr>
      <w:bookmarkStart w:id="772" w:name="_CTVL0019a830e3c2111419cb65105bbb8016c72"/>
      <w:r w:rsidRPr="006032FF">
        <w:rPr>
          <w:rFonts w:cs="Arial"/>
          <w:sz w:val="20"/>
          <w:szCs w:val="20"/>
        </w:rPr>
        <w:t xml:space="preserve">Paterson DL, Wright H, Harris PNA (2018) Health risks of flood disasters. Clinical Infectious Diseases 67:1450–1454. </w:t>
      </w:r>
      <w:hyperlink r:id="rId317" w:history="1">
        <w:r w:rsidR="00010BAE" w:rsidRPr="006032FF">
          <w:rPr>
            <w:rStyle w:val="Hyperlink"/>
            <w:rFonts w:cs="Arial"/>
            <w:sz w:val="20"/>
            <w:szCs w:val="20"/>
          </w:rPr>
          <w:t>https://doi.org/10.1093/cid/ciy227</w:t>
        </w:r>
      </w:hyperlink>
    </w:p>
    <w:p w14:paraId="0E95112A" w14:textId="3ACECBF5" w:rsidR="00657FDB" w:rsidRPr="006032FF" w:rsidRDefault="00657FDB" w:rsidP="006032FF">
      <w:pPr>
        <w:pStyle w:val="CitaviBibliographyEntry"/>
        <w:spacing w:after="120"/>
        <w:ind w:left="0" w:firstLine="0"/>
        <w:rPr>
          <w:rFonts w:cs="Arial"/>
          <w:sz w:val="20"/>
          <w:szCs w:val="20"/>
        </w:rPr>
      </w:pPr>
      <w:bookmarkStart w:id="773" w:name="_CTVL001acdda89db3c04c3bbe3a6c7ceb3a7ccb"/>
      <w:bookmarkEnd w:id="772"/>
      <w:r w:rsidRPr="006032FF">
        <w:rPr>
          <w:rFonts w:cs="Arial"/>
          <w:sz w:val="20"/>
          <w:szCs w:val="20"/>
        </w:rPr>
        <w:t xml:space="preserve">Penteado AL, Leitão MFF (2004a) Growth of </w:t>
      </w:r>
      <w:bookmarkEnd w:id="773"/>
      <w:r w:rsidRPr="006032FF">
        <w:rPr>
          <w:rFonts w:cs="Arial"/>
          <w:i/>
          <w:sz w:val="20"/>
          <w:szCs w:val="20"/>
        </w:rPr>
        <w:t xml:space="preserve">Listeria monocytogenes </w:t>
      </w:r>
      <w:r w:rsidRPr="006032FF">
        <w:rPr>
          <w:rFonts w:cs="Arial"/>
          <w:sz w:val="20"/>
          <w:szCs w:val="20"/>
        </w:rPr>
        <w:t xml:space="preserve">in melon, watermelon and papaya pulps. International Journal of Food Microbiology 92:89–94. </w:t>
      </w:r>
      <w:hyperlink r:id="rId318" w:history="1">
        <w:r w:rsidR="00010BAE" w:rsidRPr="006032FF">
          <w:rPr>
            <w:rStyle w:val="Hyperlink"/>
            <w:rFonts w:cs="Arial"/>
            <w:sz w:val="20"/>
            <w:szCs w:val="20"/>
          </w:rPr>
          <w:t>https://doi.org/10.1016/j.ijfoodmicro.2003.08.020</w:t>
        </w:r>
      </w:hyperlink>
    </w:p>
    <w:p w14:paraId="3C351DDB" w14:textId="44C66440" w:rsidR="00657FDB" w:rsidRPr="006032FF" w:rsidRDefault="00657FDB" w:rsidP="006032FF">
      <w:pPr>
        <w:pStyle w:val="CitaviBibliographyEntry"/>
        <w:spacing w:after="120"/>
        <w:ind w:left="0" w:firstLine="0"/>
        <w:rPr>
          <w:rFonts w:cs="Arial"/>
          <w:sz w:val="20"/>
          <w:szCs w:val="20"/>
        </w:rPr>
      </w:pPr>
      <w:bookmarkStart w:id="774" w:name="_CTVL00180e48334e2b5441fadd1e0e3d57d8645"/>
      <w:r w:rsidRPr="006032FF">
        <w:rPr>
          <w:rFonts w:cs="Arial"/>
          <w:sz w:val="20"/>
          <w:szCs w:val="20"/>
        </w:rPr>
        <w:t xml:space="preserve">Penteado AL, Leitão MF (2004b) Growth of </w:t>
      </w:r>
      <w:bookmarkEnd w:id="774"/>
      <w:r w:rsidRPr="006032FF">
        <w:rPr>
          <w:rFonts w:cs="Arial"/>
          <w:i/>
          <w:sz w:val="20"/>
          <w:szCs w:val="20"/>
        </w:rPr>
        <w:t xml:space="preserve">Salmonella </w:t>
      </w:r>
      <w:r w:rsidRPr="006032FF">
        <w:rPr>
          <w:rFonts w:cs="Arial"/>
          <w:sz w:val="20"/>
          <w:szCs w:val="20"/>
        </w:rPr>
        <w:t xml:space="preserve">Enteritidis in melon, watermelon and papaya pulp stored at different times and temperatures. Food Control 15:369–373. </w:t>
      </w:r>
      <w:hyperlink r:id="rId319" w:history="1">
        <w:r w:rsidR="00010BAE" w:rsidRPr="006032FF">
          <w:rPr>
            <w:rStyle w:val="Hyperlink"/>
            <w:rFonts w:cs="Arial"/>
            <w:sz w:val="20"/>
            <w:szCs w:val="20"/>
          </w:rPr>
          <w:t>https://doi.org/10.1016/S0956-7135(03)00099-9</w:t>
        </w:r>
      </w:hyperlink>
    </w:p>
    <w:p w14:paraId="55ACB6C6" w14:textId="48BEA4F4" w:rsidR="00657FDB" w:rsidRPr="006032FF" w:rsidRDefault="00657FDB" w:rsidP="006032FF">
      <w:pPr>
        <w:pStyle w:val="CitaviBibliographyEntry"/>
        <w:spacing w:after="120"/>
        <w:ind w:left="0" w:firstLine="0"/>
        <w:rPr>
          <w:rFonts w:cs="Arial"/>
          <w:sz w:val="20"/>
          <w:szCs w:val="20"/>
        </w:rPr>
      </w:pPr>
      <w:bookmarkStart w:id="775" w:name="_CTVL0014b8a1b8b49d343598bfc8272c0990351"/>
      <w:r w:rsidRPr="006032FF">
        <w:rPr>
          <w:rFonts w:cs="Arial"/>
          <w:sz w:val="20"/>
          <w:szCs w:val="20"/>
        </w:rPr>
        <w:t xml:space="preserve">Pfuntner R, Truitt L, Chapman B, Danyluk MD, Strawn L (2017) </w:t>
      </w:r>
      <w:bookmarkEnd w:id="775"/>
      <w:r w:rsidRPr="006032FF">
        <w:rPr>
          <w:rFonts w:cs="Arial"/>
          <w:i/>
          <w:sz w:val="20"/>
          <w:szCs w:val="20"/>
        </w:rPr>
        <w:t xml:space="preserve">Salmonella </w:t>
      </w:r>
      <w:r w:rsidRPr="006032FF">
        <w:rPr>
          <w:rFonts w:cs="Arial"/>
          <w:sz w:val="20"/>
          <w:szCs w:val="20"/>
        </w:rPr>
        <w:t xml:space="preserve">transfer potential during field-pack handling of cantaloupe. Journal of Food Protection 80 Suppl. A:252. </w:t>
      </w:r>
      <w:hyperlink r:id="rId320" w:history="1">
        <w:r w:rsidR="00010BAE" w:rsidRPr="006032FF">
          <w:rPr>
            <w:rStyle w:val="Hyperlink"/>
            <w:rFonts w:cs="Arial"/>
            <w:sz w:val="20"/>
            <w:szCs w:val="20"/>
          </w:rPr>
          <w:t>https://doi.org/10.4315/0362-028X-80.sp1.1</w:t>
        </w:r>
      </w:hyperlink>
    </w:p>
    <w:p w14:paraId="44FA21B4" w14:textId="250EDBA6" w:rsidR="00657FDB" w:rsidRPr="006032FF" w:rsidRDefault="00657FDB" w:rsidP="006032FF">
      <w:pPr>
        <w:pStyle w:val="CitaviBibliographyEntry"/>
        <w:spacing w:after="120"/>
        <w:ind w:left="0" w:firstLine="0"/>
        <w:rPr>
          <w:rFonts w:cs="Arial"/>
          <w:sz w:val="20"/>
          <w:szCs w:val="20"/>
        </w:rPr>
      </w:pPr>
      <w:bookmarkStart w:id="776" w:name="_CTVL001242f0794315e48c6bf32bb0fe0654ce4"/>
      <w:r w:rsidRPr="006032FF">
        <w:rPr>
          <w:rFonts w:cs="Arial"/>
          <w:sz w:val="20"/>
          <w:szCs w:val="20"/>
        </w:rPr>
        <w:t xml:space="preserve">Pfuntner R, Truitt L, Danyluk M, Chapman B, Strawn L (2018) </w:t>
      </w:r>
      <w:bookmarkEnd w:id="776"/>
      <w:r w:rsidRPr="006032FF">
        <w:rPr>
          <w:rFonts w:cs="Arial"/>
          <w:i/>
          <w:sz w:val="20"/>
          <w:szCs w:val="20"/>
        </w:rPr>
        <w:t>Listeria monocytogenes</w:t>
      </w:r>
      <w:r w:rsidRPr="006032FF">
        <w:rPr>
          <w:rFonts w:cs="Arial"/>
          <w:sz w:val="20"/>
          <w:szCs w:val="20"/>
        </w:rPr>
        <w:t xml:space="preserve"> transfer potential during field-pack handling of cantaloupe. Journal of Food Protection 81 Suppl. A:125. </w:t>
      </w:r>
      <w:hyperlink r:id="rId321" w:history="1">
        <w:r w:rsidR="00010BAE" w:rsidRPr="006032FF">
          <w:rPr>
            <w:rStyle w:val="Hyperlink"/>
            <w:rFonts w:cs="Arial"/>
            <w:sz w:val="20"/>
            <w:szCs w:val="20"/>
          </w:rPr>
          <w:t>https://doi.org/10.4315/0362-028X-81.sp1.1</w:t>
        </w:r>
      </w:hyperlink>
    </w:p>
    <w:p w14:paraId="08F6F371" w14:textId="37E5EB20" w:rsidR="00657FDB" w:rsidRPr="006032FF" w:rsidRDefault="00657FDB" w:rsidP="006032FF">
      <w:pPr>
        <w:pStyle w:val="CitaviBibliographyEntry"/>
        <w:spacing w:after="120"/>
        <w:ind w:left="0" w:firstLine="0"/>
        <w:rPr>
          <w:rFonts w:cs="Arial"/>
          <w:sz w:val="20"/>
          <w:szCs w:val="20"/>
        </w:rPr>
      </w:pPr>
      <w:bookmarkStart w:id="777" w:name="_CTVL001b351f0143e2242a9865de8727bde14b3"/>
      <w:r w:rsidRPr="006032FF">
        <w:rPr>
          <w:rFonts w:cs="Arial"/>
          <w:sz w:val="20"/>
          <w:szCs w:val="20"/>
        </w:rPr>
        <w:t xml:space="preserve">Phan-Thien K, Metaferia MH, Bell TL, Bradbury MI, Sassi HP, van </w:t>
      </w:r>
      <w:r w:rsidR="00455A97">
        <w:rPr>
          <w:rFonts w:cs="Arial"/>
          <w:sz w:val="20"/>
          <w:szCs w:val="20"/>
        </w:rPr>
        <w:t>Ogtrop FF, Suslow TV, McConchie </w:t>
      </w:r>
      <w:r w:rsidRPr="006032FF">
        <w:rPr>
          <w:rFonts w:cs="Arial"/>
          <w:sz w:val="20"/>
          <w:szCs w:val="20"/>
        </w:rPr>
        <w:t xml:space="preserve">R (2020) Effect of soil type and temperature on survival of </w:t>
      </w:r>
      <w:bookmarkEnd w:id="777"/>
      <w:r w:rsidRPr="006032FF">
        <w:rPr>
          <w:rFonts w:cs="Arial"/>
          <w:i/>
          <w:sz w:val="20"/>
          <w:szCs w:val="20"/>
        </w:rPr>
        <w:t xml:space="preserve">Salmonella enterica </w:t>
      </w:r>
      <w:r w:rsidRPr="006032FF">
        <w:rPr>
          <w:rFonts w:cs="Arial"/>
          <w:sz w:val="20"/>
          <w:szCs w:val="20"/>
        </w:rPr>
        <w:t xml:space="preserve">in poultry manure-amended soils. Letters in Applied Microbiology 71:210–217. </w:t>
      </w:r>
      <w:hyperlink r:id="rId322" w:history="1">
        <w:r w:rsidR="00010BAE" w:rsidRPr="006032FF">
          <w:rPr>
            <w:rStyle w:val="Hyperlink"/>
            <w:rFonts w:cs="Arial"/>
            <w:sz w:val="20"/>
            <w:szCs w:val="20"/>
          </w:rPr>
          <w:t>https://doi.org/10.1111/lam.13302</w:t>
        </w:r>
      </w:hyperlink>
    </w:p>
    <w:p w14:paraId="07A3CD13" w14:textId="3E9CAF78" w:rsidR="00657FDB" w:rsidRPr="006032FF" w:rsidRDefault="00657FDB" w:rsidP="006032FF">
      <w:pPr>
        <w:pStyle w:val="CitaviBibliographyEntry"/>
        <w:spacing w:after="120"/>
        <w:ind w:left="0" w:firstLine="0"/>
        <w:rPr>
          <w:rFonts w:cs="Arial"/>
          <w:sz w:val="20"/>
          <w:szCs w:val="20"/>
        </w:rPr>
      </w:pPr>
      <w:bookmarkStart w:id="778" w:name="_CTVL0017e4256a961004d7e83476714f7d37791"/>
      <w:r w:rsidRPr="006032FF">
        <w:rPr>
          <w:rFonts w:cs="Arial"/>
          <w:sz w:val="20"/>
          <w:szCs w:val="20"/>
        </w:rPr>
        <w:t>Posada-Izquierdo G, Del Rosal S, Valero A, Zurera G, Sant</w:t>
      </w:r>
      <w:r w:rsidR="00010BAE" w:rsidRPr="006032FF">
        <w:rPr>
          <w:rFonts w:cs="Arial"/>
          <w:sz w:val="20"/>
          <w:szCs w:val="20"/>
        </w:rPr>
        <w:t>’</w:t>
      </w:r>
      <w:r w:rsidRPr="006032FF">
        <w:rPr>
          <w:rFonts w:cs="Arial"/>
          <w:sz w:val="20"/>
          <w:szCs w:val="20"/>
        </w:rPr>
        <w:t>ana AS, Alvarenga VO</w:t>
      </w:r>
      <w:r w:rsidR="00455A97">
        <w:rPr>
          <w:rFonts w:cs="Arial"/>
          <w:sz w:val="20"/>
          <w:szCs w:val="20"/>
        </w:rPr>
        <w:t>, Pérez-Rodríguez </w:t>
      </w:r>
      <w:r w:rsidRPr="006032FF">
        <w:rPr>
          <w:rFonts w:cs="Arial"/>
          <w:sz w:val="20"/>
          <w:szCs w:val="20"/>
        </w:rPr>
        <w:t xml:space="preserve">F (2016) Assessing the growth of </w:t>
      </w:r>
      <w:bookmarkEnd w:id="778"/>
      <w:r w:rsidRPr="006032FF">
        <w:rPr>
          <w:rFonts w:cs="Arial"/>
          <w:i/>
          <w:sz w:val="20"/>
          <w:szCs w:val="20"/>
        </w:rPr>
        <w:t xml:space="preserve">Escherichia coli </w:t>
      </w:r>
      <w:r w:rsidRPr="006032FF">
        <w:rPr>
          <w:rFonts w:cs="Arial"/>
          <w:sz w:val="20"/>
          <w:szCs w:val="20"/>
        </w:rPr>
        <w:t xml:space="preserve">O157:H7 and </w:t>
      </w:r>
      <w:r w:rsidRPr="006032FF">
        <w:rPr>
          <w:rFonts w:cs="Arial"/>
          <w:i/>
          <w:sz w:val="20"/>
          <w:szCs w:val="20"/>
        </w:rPr>
        <w:t xml:space="preserve">Salmonella </w:t>
      </w:r>
      <w:r w:rsidRPr="006032FF">
        <w:rPr>
          <w:rFonts w:cs="Arial"/>
          <w:sz w:val="20"/>
          <w:szCs w:val="20"/>
        </w:rPr>
        <w:t xml:space="preserve">in spinach, lettuce, parsley and chard extracts at different storage temperatures. Journal of Applied Microbiology 120:1701–1710. </w:t>
      </w:r>
      <w:hyperlink r:id="rId323" w:history="1">
        <w:r w:rsidR="00010BAE" w:rsidRPr="006032FF">
          <w:rPr>
            <w:rStyle w:val="Hyperlink"/>
            <w:rFonts w:cs="Arial"/>
            <w:sz w:val="20"/>
            <w:szCs w:val="20"/>
          </w:rPr>
          <w:t>https://doi.org/10.1111/jam.13122</w:t>
        </w:r>
      </w:hyperlink>
    </w:p>
    <w:p w14:paraId="1EAE689B" w14:textId="13DC212F" w:rsidR="00657FDB" w:rsidRPr="006032FF" w:rsidRDefault="00657FDB" w:rsidP="006032FF">
      <w:pPr>
        <w:pStyle w:val="CitaviBibliographyEntry"/>
        <w:spacing w:after="120"/>
        <w:ind w:left="0" w:firstLine="0"/>
        <w:rPr>
          <w:rFonts w:cs="Arial"/>
          <w:sz w:val="20"/>
          <w:szCs w:val="20"/>
        </w:rPr>
      </w:pPr>
      <w:bookmarkStart w:id="779" w:name="_CTVL001e3249ad2f6fe462e8115062684bfeb09"/>
      <w:r w:rsidRPr="006032FF">
        <w:rPr>
          <w:rFonts w:cs="Arial"/>
          <w:sz w:val="20"/>
          <w:szCs w:val="20"/>
        </w:rPr>
        <w:t xml:space="preserve">Posada-Izquierdo GD, Pérez-Rodríguez F, Zurera G (2013) Mathematical quantification of microbial inactivation of </w:t>
      </w:r>
      <w:bookmarkEnd w:id="779"/>
      <w:r w:rsidRPr="006032FF">
        <w:rPr>
          <w:rFonts w:cs="Arial"/>
          <w:i/>
          <w:sz w:val="20"/>
          <w:szCs w:val="20"/>
        </w:rPr>
        <w:t xml:space="preserve">Escherichia coli </w:t>
      </w:r>
      <w:r w:rsidRPr="006032FF">
        <w:rPr>
          <w:rFonts w:cs="Arial"/>
          <w:sz w:val="20"/>
          <w:szCs w:val="20"/>
        </w:rPr>
        <w:t xml:space="preserve">O157:H7 and </w:t>
      </w:r>
      <w:r w:rsidRPr="006032FF">
        <w:rPr>
          <w:rFonts w:cs="Arial"/>
          <w:i/>
          <w:sz w:val="20"/>
          <w:szCs w:val="20"/>
        </w:rPr>
        <w:t xml:space="preserve">Salmonella </w:t>
      </w:r>
      <w:r w:rsidRPr="006032FF">
        <w:rPr>
          <w:rFonts w:cs="Arial"/>
          <w:sz w:val="20"/>
          <w:szCs w:val="20"/>
        </w:rPr>
        <w:t xml:space="preserve">spp. on stainless steel surfaces soiled with different vegetable juice substrates. Food Research International 54:1688–1698. </w:t>
      </w:r>
      <w:hyperlink r:id="rId324" w:history="1">
        <w:r w:rsidR="00010BAE" w:rsidRPr="006032FF">
          <w:rPr>
            <w:rStyle w:val="Hyperlink"/>
            <w:rFonts w:cs="Arial"/>
            <w:sz w:val="20"/>
            <w:szCs w:val="20"/>
          </w:rPr>
          <w:t>https://doi.org/10.1016/j.foodres.2013.09.037</w:t>
        </w:r>
      </w:hyperlink>
    </w:p>
    <w:p w14:paraId="468AFF56" w14:textId="5E579C3E" w:rsidR="00657FDB" w:rsidRPr="006032FF" w:rsidRDefault="00657FDB" w:rsidP="006032FF">
      <w:pPr>
        <w:pStyle w:val="CitaviBibliographyEntry"/>
        <w:spacing w:after="120"/>
        <w:ind w:left="0" w:firstLine="0"/>
        <w:rPr>
          <w:rFonts w:cs="Arial"/>
          <w:sz w:val="20"/>
          <w:szCs w:val="20"/>
        </w:rPr>
      </w:pPr>
      <w:bookmarkStart w:id="780" w:name="_CTVL001fef369dcbb8e424d9726b15e507fc962"/>
      <w:r w:rsidRPr="006032FF">
        <w:rPr>
          <w:rFonts w:cs="Arial"/>
          <w:sz w:val="20"/>
          <w:szCs w:val="20"/>
        </w:rPr>
        <w:t xml:space="preserve">Puerta-Gomez AF, Moreira RG, Kim J, Castell-Perez E (2013) Modeling the growth rates of </w:t>
      </w:r>
      <w:bookmarkEnd w:id="780"/>
      <w:r w:rsidRPr="006032FF">
        <w:rPr>
          <w:rFonts w:cs="Arial"/>
          <w:i/>
          <w:sz w:val="20"/>
          <w:szCs w:val="20"/>
        </w:rPr>
        <w:t xml:space="preserve">Escherichia coli </w:t>
      </w:r>
      <w:r w:rsidRPr="006032FF">
        <w:rPr>
          <w:rFonts w:cs="Arial"/>
          <w:sz w:val="20"/>
          <w:szCs w:val="20"/>
        </w:rPr>
        <w:t xml:space="preserve">spp. and </w:t>
      </w:r>
      <w:r w:rsidRPr="006032FF">
        <w:rPr>
          <w:rFonts w:cs="Arial"/>
          <w:i/>
          <w:sz w:val="20"/>
          <w:szCs w:val="20"/>
        </w:rPr>
        <w:t xml:space="preserve">Salmonella </w:t>
      </w:r>
      <w:r w:rsidRPr="006032FF">
        <w:rPr>
          <w:rFonts w:cs="Arial"/>
          <w:sz w:val="20"/>
          <w:szCs w:val="20"/>
        </w:rPr>
        <w:t xml:space="preserve">Typhimurium LT2 in baby spinach leaves under slow cooling. Food Control 29:11–17. </w:t>
      </w:r>
      <w:hyperlink r:id="rId325" w:history="1">
        <w:r w:rsidR="00010BAE" w:rsidRPr="006032FF">
          <w:rPr>
            <w:rStyle w:val="Hyperlink"/>
            <w:rFonts w:cs="Arial"/>
            <w:sz w:val="20"/>
            <w:szCs w:val="20"/>
          </w:rPr>
          <w:t>https://doi.org/10.1016/j.foodcont.2012.05.070</w:t>
        </w:r>
      </w:hyperlink>
    </w:p>
    <w:p w14:paraId="56465232" w14:textId="0D422F1C" w:rsidR="00657FDB" w:rsidRPr="006032FF" w:rsidRDefault="00657FDB" w:rsidP="006032FF">
      <w:pPr>
        <w:pStyle w:val="CitaviBibliographyEntry"/>
        <w:spacing w:after="120"/>
        <w:ind w:left="0" w:firstLine="0"/>
        <w:rPr>
          <w:rFonts w:cs="Arial"/>
          <w:sz w:val="20"/>
          <w:szCs w:val="20"/>
        </w:rPr>
      </w:pPr>
      <w:bookmarkStart w:id="781" w:name="_CTVL00191027418d47f4341af903475a567cf5a"/>
      <w:r w:rsidRPr="006032FF">
        <w:rPr>
          <w:rFonts w:cs="Arial"/>
          <w:sz w:val="20"/>
          <w:szCs w:val="20"/>
        </w:rPr>
        <w:t xml:space="preserve">R Core Team (2019) R: A language and environment for statistical computing. R Foundation for Statistical Computing, Vienna, Austria. </w:t>
      </w:r>
      <w:hyperlink r:id="rId326" w:history="1">
        <w:r w:rsidR="00010BAE" w:rsidRPr="006032FF">
          <w:rPr>
            <w:rStyle w:val="Hyperlink"/>
            <w:rFonts w:cs="Arial"/>
            <w:sz w:val="20"/>
            <w:szCs w:val="20"/>
          </w:rPr>
          <w:t>https://www.R-project.org/</w:t>
        </w:r>
      </w:hyperlink>
    </w:p>
    <w:p w14:paraId="5AFF5AD7" w14:textId="26505161" w:rsidR="00657FDB" w:rsidRPr="006032FF" w:rsidRDefault="00657FDB" w:rsidP="006032FF">
      <w:pPr>
        <w:pStyle w:val="CitaviBibliographyEntry"/>
        <w:spacing w:after="120"/>
        <w:ind w:left="0" w:firstLine="0"/>
        <w:rPr>
          <w:rFonts w:cs="Arial"/>
          <w:sz w:val="20"/>
          <w:szCs w:val="20"/>
        </w:rPr>
      </w:pPr>
      <w:bookmarkStart w:id="782" w:name="_CTVL0015fb30c7160fb45cda4cdf313019c8900"/>
      <w:bookmarkEnd w:id="781"/>
      <w:r w:rsidRPr="006032FF">
        <w:rPr>
          <w:rFonts w:cs="Arial"/>
          <w:sz w:val="20"/>
          <w:szCs w:val="20"/>
        </w:rPr>
        <w:t xml:space="preserve">Rahman SME, Ding T, Oh DH (2010) Inactivation effect of newly developed low concentration electrolyzed water and other sanitizers against microorganisms on spinach. Food Control 21:1383–1387. </w:t>
      </w:r>
      <w:hyperlink r:id="rId327" w:history="1">
        <w:r w:rsidR="00010BAE" w:rsidRPr="006032FF">
          <w:rPr>
            <w:rStyle w:val="Hyperlink"/>
            <w:rFonts w:cs="Arial"/>
            <w:sz w:val="20"/>
            <w:szCs w:val="20"/>
          </w:rPr>
          <w:t>https://doi.org/10.1016/j.foodcont.2010.03.011</w:t>
        </w:r>
      </w:hyperlink>
    </w:p>
    <w:p w14:paraId="673C39B4" w14:textId="0157AB37" w:rsidR="00657FDB" w:rsidRPr="006032FF" w:rsidRDefault="00657FDB" w:rsidP="006032FF">
      <w:pPr>
        <w:pStyle w:val="CitaviBibliographyEntry"/>
        <w:spacing w:after="120"/>
        <w:ind w:left="0" w:firstLine="0"/>
        <w:rPr>
          <w:rFonts w:cs="Arial"/>
          <w:sz w:val="20"/>
          <w:szCs w:val="20"/>
        </w:rPr>
      </w:pPr>
      <w:bookmarkStart w:id="783" w:name="_CTVL001dd4ad3796ca6411f8483a35b5deb6187"/>
      <w:bookmarkEnd w:id="782"/>
      <w:r w:rsidRPr="006032FF">
        <w:rPr>
          <w:rFonts w:cs="Arial"/>
          <w:sz w:val="20"/>
          <w:szCs w:val="20"/>
        </w:rPr>
        <w:t xml:space="preserve">Rahman SME, Khan I, Oh D-H (2016) Electrolyzed water as a novel sanitizer in the food industry: Current trends and future perspectives. Comprehensive Reviews in Food Science &amp; Food Safety 15:471–490. </w:t>
      </w:r>
      <w:hyperlink r:id="rId328" w:history="1">
        <w:r w:rsidR="00010BAE" w:rsidRPr="006032FF">
          <w:rPr>
            <w:rStyle w:val="Hyperlink"/>
            <w:rFonts w:cs="Arial"/>
            <w:sz w:val="20"/>
            <w:szCs w:val="20"/>
          </w:rPr>
          <w:t>https://doi.org/10.1111/1541-4337.12200</w:t>
        </w:r>
      </w:hyperlink>
    </w:p>
    <w:p w14:paraId="129FF5A9" w14:textId="06C499D8" w:rsidR="00657FDB" w:rsidRPr="006032FF" w:rsidRDefault="00657FDB" w:rsidP="006032FF">
      <w:pPr>
        <w:pStyle w:val="CitaviBibliographyEntry"/>
        <w:spacing w:after="120"/>
        <w:ind w:left="0" w:firstLine="0"/>
        <w:rPr>
          <w:rFonts w:cs="Arial"/>
          <w:sz w:val="20"/>
          <w:szCs w:val="20"/>
        </w:rPr>
      </w:pPr>
      <w:bookmarkStart w:id="784" w:name="_CTVL001421e7d77c29e4f5eaea23d708f2148fe"/>
      <w:bookmarkEnd w:id="783"/>
      <w:r w:rsidRPr="006032FF">
        <w:rPr>
          <w:rFonts w:cs="Arial"/>
          <w:sz w:val="20"/>
          <w:szCs w:val="20"/>
        </w:rPr>
        <w:t xml:space="preserve">Ramos B, Miller FA, Brandão T, Teixeira P, Silva C (2013) Fresh fruits and vegetables—An overview on applied methodologies to improve its quality and safety. Innovative Food Science and Emerging Technologies 20:1–15. </w:t>
      </w:r>
      <w:hyperlink r:id="rId329" w:history="1">
        <w:r w:rsidR="00010BAE" w:rsidRPr="006032FF">
          <w:rPr>
            <w:rStyle w:val="Hyperlink"/>
            <w:rFonts w:cs="Arial"/>
            <w:sz w:val="20"/>
            <w:szCs w:val="20"/>
          </w:rPr>
          <w:t>https://doi.org/10.1016/j.ifset.2013.07.002</w:t>
        </w:r>
      </w:hyperlink>
    </w:p>
    <w:p w14:paraId="46710413" w14:textId="68B63D05" w:rsidR="00657FDB" w:rsidRPr="006032FF" w:rsidRDefault="00657FDB" w:rsidP="006032FF">
      <w:pPr>
        <w:pStyle w:val="CitaviBibliographyEntry"/>
        <w:spacing w:after="120"/>
        <w:ind w:left="0" w:firstLine="0"/>
        <w:rPr>
          <w:rFonts w:cs="Arial"/>
          <w:sz w:val="20"/>
          <w:szCs w:val="20"/>
        </w:rPr>
      </w:pPr>
      <w:bookmarkStart w:id="785" w:name="_CTVL001bf9d33d15f674226be1da7f54425a243"/>
      <w:bookmarkEnd w:id="784"/>
      <w:r w:rsidRPr="006032FF">
        <w:rPr>
          <w:rFonts w:cs="Arial"/>
          <w:sz w:val="20"/>
          <w:szCs w:val="20"/>
        </w:rPr>
        <w:t xml:space="preserve">Reddy SP, Wang H, Adams JK, Feng PCH (2016) Prevalence and characteristics of </w:t>
      </w:r>
      <w:bookmarkEnd w:id="785"/>
      <w:r w:rsidRPr="006032FF">
        <w:rPr>
          <w:rFonts w:cs="Arial"/>
          <w:i/>
          <w:sz w:val="20"/>
          <w:szCs w:val="20"/>
        </w:rPr>
        <w:t xml:space="preserve">Salmonella </w:t>
      </w:r>
      <w:r w:rsidRPr="006032FF">
        <w:rPr>
          <w:rFonts w:cs="Arial"/>
          <w:sz w:val="20"/>
          <w:szCs w:val="20"/>
        </w:rPr>
        <w:t xml:space="preserve">serotypes isolated from fresh produce marketed in the United States. Journal of Food Protection 79:6–16. </w:t>
      </w:r>
      <w:hyperlink r:id="rId330" w:history="1">
        <w:r w:rsidR="00010BAE" w:rsidRPr="006032FF">
          <w:rPr>
            <w:rStyle w:val="Hyperlink"/>
            <w:rFonts w:cs="Arial"/>
            <w:sz w:val="20"/>
            <w:szCs w:val="20"/>
          </w:rPr>
          <w:t>https://doi.org/10.4315/0362-028X.JFP-15-274</w:t>
        </w:r>
      </w:hyperlink>
    </w:p>
    <w:p w14:paraId="2A58F337" w14:textId="77777777" w:rsidR="00657FDB" w:rsidRPr="006032FF" w:rsidRDefault="00657FDB" w:rsidP="006032FF">
      <w:pPr>
        <w:pStyle w:val="CitaviBibliographyEntry"/>
        <w:spacing w:after="120"/>
        <w:ind w:left="0" w:firstLine="0"/>
        <w:rPr>
          <w:rFonts w:cs="Arial"/>
          <w:sz w:val="20"/>
          <w:szCs w:val="20"/>
        </w:rPr>
      </w:pPr>
      <w:bookmarkStart w:id="786" w:name="_CTVL0011656eaef6e6441e0b9af7957c98b7146"/>
      <w:r w:rsidRPr="006032FF">
        <w:rPr>
          <w:rFonts w:cs="Arial"/>
          <w:sz w:val="20"/>
          <w:szCs w:val="20"/>
        </w:rPr>
        <w:t xml:space="preserve">Reed B, Blackmon M, Young M, Cline B, Gutierrez E (2018a) Persistence of generic </w:t>
      </w:r>
      <w:bookmarkEnd w:id="786"/>
      <w:r w:rsidRPr="006032FF">
        <w:rPr>
          <w:rFonts w:cs="Arial"/>
          <w:i/>
          <w:sz w:val="20"/>
          <w:szCs w:val="20"/>
        </w:rPr>
        <w:t xml:space="preserve">Escherichia coli </w:t>
      </w:r>
      <w:r w:rsidRPr="006032FF">
        <w:rPr>
          <w:rFonts w:cs="Arial"/>
          <w:sz w:val="20"/>
          <w:szCs w:val="20"/>
        </w:rPr>
        <w:t>and enteric pathogens in blueberry preharvest and post harvest environments. Journal of Food Protection 81 Suppl. A:66</w:t>
      </w:r>
    </w:p>
    <w:p w14:paraId="2412AB8E" w14:textId="77777777" w:rsidR="00657FDB" w:rsidRPr="006032FF" w:rsidRDefault="00657FDB" w:rsidP="006032FF">
      <w:pPr>
        <w:pStyle w:val="CitaviBibliographyEntry"/>
        <w:spacing w:after="120"/>
        <w:ind w:left="0" w:firstLine="0"/>
        <w:rPr>
          <w:rFonts w:cs="Arial"/>
          <w:sz w:val="20"/>
          <w:szCs w:val="20"/>
        </w:rPr>
      </w:pPr>
      <w:bookmarkStart w:id="787" w:name="_CTVL00191c066825bdd4111ad9cc47ad436973c"/>
      <w:r w:rsidRPr="006032FF">
        <w:rPr>
          <w:rFonts w:cs="Arial"/>
          <w:sz w:val="20"/>
          <w:szCs w:val="20"/>
        </w:rPr>
        <w:t xml:space="preserve">Reed B, Gunter C, Thakur S, Gutierrez E (2018b) Soil bio-remediation practices to reduce </w:t>
      </w:r>
      <w:bookmarkEnd w:id="787"/>
      <w:r w:rsidRPr="006032FF">
        <w:rPr>
          <w:rFonts w:cs="Arial"/>
          <w:i/>
          <w:sz w:val="20"/>
          <w:szCs w:val="20"/>
        </w:rPr>
        <w:t xml:space="preserve">Salmonella </w:t>
      </w:r>
      <w:r w:rsidRPr="006032FF">
        <w:rPr>
          <w:rFonts w:cs="Arial"/>
          <w:sz w:val="20"/>
          <w:szCs w:val="20"/>
        </w:rPr>
        <w:t>contamination in melon production systems. Journal of Food Protection 81 Suppl. A:123</w:t>
      </w:r>
    </w:p>
    <w:p w14:paraId="0941752B" w14:textId="278320F8" w:rsidR="00657FDB" w:rsidRPr="006032FF" w:rsidRDefault="00657FDB" w:rsidP="006032FF">
      <w:pPr>
        <w:pStyle w:val="CitaviBibliographyEntry"/>
        <w:spacing w:after="120"/>
        <w:ind w:left="0" w:firstLine="0"/>
        <w:rPr>
          <w:rFonts w:cs="Arial"/>
          <w:sz w:val="20"/>
          <w:szCs w:val="20"/>
        </w:rPr>
      </w:pPr>
      <w:bookmarkStart w:id="788" w:name="_CTVL001dec9373f2b644c8d8ae13e36f1b007bf"/>
      <w:r w:rsidRPr="006032FF">
        <w:rPr>
          <w:rFonts w:cs="Arial"/>
          <w:sz w:val="20"/>
          <w:szCs w:val="20"/>
        </w:rPr>
        <w:t xml:space="preserve">Riggio G, Jones S, Gibson K (2019) Risk of human pathogen internalization in leafy vegetables during lab-scale hydroponic cultivation. Horticulturae 5:25. </w:t>
      </w:r>
      <w:hyperlink r:id="rId331" w:history="1">
        <w:r w:rsidR="00010BAE" w:rsidRPr="006032FF">
          <w:rPr>
            <w:rStyle w:val="Hyperlink"/>
            <w:rFonts w:cs="Arial"/>
            <w:sz w:val="20"/>
            <w:szCs w:val="20"/>
          </w:rPr>
          <w:t>https://doi.org/10.3390/horticulturae5010025</w:t>
        </w:r>
      </w:hyperlink>
    </w:p>
    <w:p w14:paraId="0537C441" w14:textId="26C8F01E" w:rsidR="00657FDB" w:rsidRPr="006032FF" w:rsidRDefault="00657FDB" w:rsidP="006032FF">
      <w:pPr>
        <w:pStyle w:val="CitaviBibliographyEntry"/>
        <w:spacing w:after="120"/>
        <w:ind w:left="0" w:firstLine="0"/>
        <w:rPr>
          <w:rFonts w:cs="Arial"/>
          <w:sz w:val="20"/>
          <w:szCs w:val="20"/>
        </w:rPr>
      </w:pPr>
      <w:bookmarkStart w:id="789" w:name="_CTVL001c8e6ea11e7de4041a37422f0f718b524"/>
      <w:bookmarkEnd w:id="788"/>
      <w:r w:rsidRPr="006032FF">
        <w:rPr>
          <w:rFonts w:cs="Arial"/>
          <w:sz w:val="20"/>
          <w:szCs w:val="20"/>
        </w:rPr>
        <w:t xml:space="preserve">Ringus DL, Moraru CI (2013) Pulsed ligh inactivation of </w:t>
      </w:r>
      <w:bookmarkEnd w:id="789"/>
      <w:r w:rsidRPr="006032FF">
        <w:rPr>
          <w:rFonts w:cs="Arial"/>
          <w:i/>
          <w:sz w:val="20"/>
          <w:szCs w:val="20"/>
        </w:rPr>
        <w:t xml:space="preserve">Listeria innocua </w:t>
      </w:r>
      <w:r w:rsidRPr="006032FF">
        <w:rPr>
          <w:rFonts w:cs="Arial"/>
          <w:sz w:val="20"/>
          <w:szCs w:val="20"/>
        </w:rPr>
        <w:t xml:space="preserve">on food packaging materials of different surface roughness and reflectivity. Journal of Food Engineering 114:331–337. </w:t>
      </w:r>
      <w:hyperlink r:id="rId332" w:history="1">
        <w:r w:rsidR="00010BAE" w:rsidRPr="006032FF">
          <w:rPr>
            <w:rStyle w:val="Hyperlink"/>
            <w:rFonts w:cs="Arial"/>
            <w:sz w:val="20"/>
            <w:szCs w:val="20"/>
          </w:rPr>
          <w:t>https://doi.org/10.1016/j.jfoodeng.2012.08.022</w:t>
        </w:r>
      </w:hyperlink>
    </w:p>
    <w:p w14:paraId="34230A36" w14:textId="2A5B2CC8" w:rsidR="00657FDB" w:rsidRPr="006032FF" w:rsidRDefault="00657FDB" w:rsidP="006032FF">
      <w:pPr>
        <w:pStyle w:val="CitaviBibliographyEntry"/>
        <w:spacing w:after="120"/>
        <w:ind w:left="0" w:firstLine="0"/>
        <w:rPr>
          <w:rFonts w:cs="Arial"/>
          <w:sz w:val="20"/>
          <w:szCs w:val="20"/>
        </w:rPr>
      </w:pPr>
      <w:bookmarkStart w:id="790" w:name="_CTVL0019f2a24eb264340c187760b1ef4246260"/>
      <w:r w:rsidRPr="006032FF">
        <w:rPr>
          <w:rFonts w:cs="Arial"/>
          <w:sz w:val="20"/>
          <w:szCs w:val="20"/>
        </w:rPr>
        <w:t xml:space="preserve">Rock CM, Brassill N, Dery JL, Carr D, McLain JE, Bright KR, Gerba CP (2019) Review of water quality criteria for water reuse and risk-based implications for irrigated produce under the FDA Food Safety Modernization Act, produce safety rule. Environmental Research 172:616–629. </w:t>
      </w:r>
      <w:hyperlink r:id="rId333" w:history="1">
        <w:r w:rsidR="00010BAE" w:rsidRPr="006032FF">
          <w:rPr>
            <w:rStyle w:val="Hyperlink"/>
            <w:rFonts w:cs="Arial"/>
            <w:sz w:val="20"/>
            <w:szCs w:val="20"/>
          </w:rPr>
          <w:t>https://doi.org/10.1016/j.envres.2018.12.050</w:t>
        </w:r>
      </w:hyperlink>
    </w:p>
    <w:p w14:paraId="6864F82F" w14:textId="4E37CD93" w:rsidR="00657FDB" w:rsidRPr="006032FF" w:rsidRDefault="00657FDB" w:rsidP="006032FF">
      <w:pPr>
        <w:pStyle w:val="CitaviBibliographyEntry"/>
        <w:spacing w:after="120"/>
        <w:ind w:left="0" w:firstLine="0"/>
        <w:rPr>
          <w:rFonts w:cs="Arial"/>
          <w:sz w:val="20"/>
          <w:szCs w:val="20"/>
        </w:rPr>
      </w:pPr>
      <w:bookmarkStart w:id="791" w:name="_CTVL001e5a51facfc3b448aa9b8744eea0a76ac"/>
      <w:bookmarkEnd w:id="790"/>
      <w:r w:rsidRPr="006032FF">
        <w:rPr>
          <w:rFonts w:cs="Arial"/>
          <w:sz w:val="20"/>
          <w:szCs w:val="20"/>
        </w:rPr>
        <w:t xml:space="preserve">Rodgers SL, Cash JN, Siddiq M, Ryser ET (2004) A comparison of different chemical sanitizers for inactivating </w:t>
      </w:r>
      <w:bookmarkEnd w:id="791"/>
      <w:r w:rsidRPr="006032FF">
        <w:rPr>
          <w:rFonts w:cs="Arial"/>
          <w:i/>
          <w:sz w:val="20"/>
          <w:szCs w:val="20"/>
        </w:rPr>
        <w:t xml:space="preserve">Escherichia coli </w:t>
      </w:r>
      <w:r w:rsidRPr="006032FF">
        <w:rPr>
          <w:rFonts w:cs="Arial"/>
          <w:sz w:val="20"/>
          <w:szCs w:val="20"/>
        </w:rPr>
        <w:t xml:space="preserve">O157:H7 and </w:t>
      </w:r>
      <w:r w:rsidRPr="006032FF">
        <w:rPr>
          <w:rFonts w:cs="Arial"/>
          <w:i/>
          <w:sz w:val="20"/>
          <w:szCs w:val="20"/>
        </w:rPr>
        <w:t xml:space="preserve">Listeria monocytogenes </w:t>
      </w:r>
      <w:r w:rsidRPr="006032FF">
        <w:rPr>
          <w:rFonts w:cs="Arial"/>
          <w:sz w:val="20"/>
          <w:szCs w:val="20"/>
        </w:rPr>
        <w:t xml:space="preserve">in solution and on apples, lettuce, strawberries, and cantaloupe. Journal of Food Protection 67:721–731. </w:t>
      </w:r>
      <w:hyperlink r:id="rId334" w:history="1">
        <w:r w:rsidR="00010BAE" w:rsidRPr="006032FF">
          <w:rPr>
            <w:rStyle w:val="Hyperlink"/>
            <w:rFonts w:cs="Arial"/>
            <w:sz w:val="20"/>
            <w:szCs w:val="20"/>
          </w:rPr>
          <w:t>https://doi.org/10.4315/0362-028X-67.4.721</w:t>
        </w:r>
      </w:hyperlink>
    </w:p>
    <w:p w14:paraId="7121AAEF" w14:textId="5B627878" w:rsidR="00657FDB" w:rsidRPr="006032FF" w:rsidRDefault="00657FDB" w:rsidP="006032FF">
      <w:pPr>
        <w:pStyle w:val="CitaviBibliographyEntry"/>
        <w:spacing w:after="120"/>
        <w:ind w:left="0" w:firstLine="0"/>
        <w:rPr>
          <w:rFonts w:cs="Arial"/>
          <w:sz w:val="20"/>
          <w:szCs w:val="20"/>
        </w:rPr>
      </w:pPr>
      <w:bookmarkStart w:id="792" w:name="_CTVL00123171f1bca2b4ca1a1662a50fb97504c"/>
      <w:r w:rsidRPr="006032FF">
        <w:rPr>
          <w:rFonts w:cs="Arial"/>
          <w:sz w:val="20"/>
          <w:szCs w:val="20"/>
        </w:rPr>
        <w:t xml:space="preserve">Rupan R, Jennison AV, Smith HV, Cobbold RN (2012) Carriage of Shiga-toxigenic </w:t>
      </w:r>
      <w:bookmarkEnd w:id="792"/>
      <w:r w:rsidRPr="006032FF">
        <w:rPr>
          <w:rFonts w:cs="Arial"/>
          <w:i/>
          <w:sz w:val="20"/>
          <w:szCs w:val="20"/>
        </w:rPr>
        <w:t xml:space="preserve">Escherichia coli </w:t>
      </w:r>
      <w:r w:rsidRPr="006032FF">
        <w:rPr>
          <w:rFonts w:cs="Arial"/>
          <w:sz w:val="20"/>
          <w:szCs w:val="20"/>
        </w:rPr>
        <w:t xml:space="preserve">by native marsupials in Australia. Veterinary Microbiology 155:279–283. </w:t>
      </w:r>
      <w:hyperlink r:id="rId335" w:history="1">
        <w:r w:rsidR="00010BAE" w:rsidRPr="006032FF">
          <w:rPr>
            <w:rStyle w:val="Hyperlink"/>
            <w:rFonts w:cs="Arial"/>
            <w:sz w:val="20"/>
            <w:szCs w:val="20"/>
          </w:rPr>
          <w:t>https://doi.org/10.1016/j.vetmic.2011.08.013</w:t>
        </w:r>
      </w:hyperlink>
    </w:p>
    <w:p w14:paraId="3461C8E4" w14:textId="27C5E8D7" w:rsidR="00657FDB" w:rsidRPr="006032FF" w:rsidRDefault="00657FDB" w:rsidP="006032FF">
      <w:pPr>
        <w:pStyle w:val="CitaviBibliographyEntry"/>
        <w:spacing w:after="120"/>
        <w:ind w:left="0" w:firstLine="0"/>
        <w:rPr>
          <w:rFonts w:cs="Arial"/>
          <w:sz w:val="20"/>
          <w:szCs w:val="20"/>
        </w:rPr>
      </w:pPr>
      <w:bookmarkStart w:id="793" w:name="_CTVL001324ee26ca8e84054b27f72caa53332f6"/>
      <w:r w:rsidRPr="006032FF">
        <w:rPr>
          <w:rFonts w:cs="Arial"/>
          <w:sz w:val="20"/>
          <w:szCs w:val="20"/>
        </w:rPr>
        <w:t xml:space="preserve">Ryu J-H, Beuchat LR (2005) Biofilm formation by </w:t>
      </w:r>
      <w:bookmarkEnd w:id="793"/>
      <w:r w:rsidRPr="006032FF">
        <w:rPr>
          <w:rFonts w:cs="Arial"/>
          <w:i/>
          <w:sz w:val="20"/>
          <w:szCs w:val="20"/>
        </w:rPr>
        <w:t xml:space="preserve">Escherichia coli </w:t>
      </w:r>
      <w:r w:rsidRPr="006032FF">
        <w:rPr>
          <w:rFonts w:cs="Arial"/>
          <w:sz w:val="20"/>
          <w:szCs w:val="20"/>
        </w:rPr>
        <w:t xml:space="preserve">O157:H7 on stainless steel: Effect of exopolysaccharide and curli production on its resistance to chlorine. Applied and Environmental Microbiology 71:247–254. </w:t>
      </w:r>
      <w:hyperlink r:id="rId336" w:history="1">
        <w:r w:rsidR="00010BAE" w:rsidRPr="006032FF">
          <w:rPr>
            <w:rStyle w:val="Hyperlink"/>
            <w:rFonts w:cs="Arial"/>
            <w:sz w:val="20"/>
            <w:szCs w:val="20"/>
          </w:rPr>
          <w:t>https://doi.org/10.1128/AEM.71.1.247-254.2005</w:t>
        </w:r>
      </w:hyperlink>
    </w:p>
    <w:p w14:paraId="6A677094" w14:textId="2479D3BA" w:rsidR="00657FDB" w:rsidRPr="006032FF" w:rsidRDefault="00657FDB" w:rsidP="006032FF">
      <w:pPr>
        <w:pStyle w:val="CitaviBibliographyEntry"/>
        <w:spacing w:after="120"/>
        <w:ind w:left="0" w:firstLine="0"/>
        <w:rPr>
          <w:rFonts w:cs="Arial"/>
          <w:sz w:val="20"/>
          <w:szCs w:val="20"/>
        </w:rPr>
      </w:pPr>
      <w:bookmarkStart w:id="794" w:name="_CTVL001df5d822284fd4e8fb41a03780dcc7a20"/>
      <w:r w:rsidRPr="006032FF">
        <w:rPr>
          <w:rFonts w:cs="Arial"/>
          <w:sz w:val="20"/>
          <w:szCs w:val="20"/>
        </w:rPr>
        <w:t xml:space="preserve">Ryu J-H, Kim M, Kim E-G, Beuchat LR, Kim H (2014) Comparison of the microbiological quality of environmentally friendly and conventionally grown vegetables sold at retail markets in Korea. Journal of Food Science 79:M1739-M1744. </w:t>
      </w:r>
      <w:hyperlink r:id="rId337" w:history="1">
        <w:r w:rsidR="00010BAE" w:rsidRPr="006032FF">
          <w:rPr>
            <w:rStyle w:val="Hyperlink"/>
            <w:rFonts w:cs="Arial"/>
            <w:sz w:val="20"/>
            <w:szCs w:val="20"/>
          </w:rPr>
          <w:t>https://doi.org/10.1111/1750-3841.12531</w:t>
        </w:r>
      </w:hyperlink>
    </w:p>
    <w:p w14:paraId="6F1D234B" w14:textId="75014EBF" w:rsidR="00657FDB" w:rsidRPr="006032FF" w:rsidRDefault="00657FDB" w:rsidP="006032FF">
      <w:pPr>
        <w:pStyle w:val="CitaviBibliographyEntry"/>
        <w:spacing w:after="120"/>
        <w:ind w:left="0" w:firstLine="0"/>
        <w:rPr>
          <w:rFonts w:cs="Arial"/>
          <w:sz w:val="20"/>
          <w:szCs w:val="20"/>
        </w:rPr>
      </w:pPr>
      <w:bookmarkStart w:id="795" w:name="_CTVL001ca9b5b7acc67461f87a88345d70b5588"/>
      <w:bookmarkEnd w:id="794"/>
      <w:r w:rsidRPr="006032FF">
        <w:rPr>
          <w:rFonts w:cs="Arial"/>
          <w:sz w:val="20"/>
          <w:szCs w:val="20"/>
        </w:rPr>
        <w:t xml:space="preserve">Rzezutka A, Cook N (2004) Survival of human enteric viruses in the environment and food. FEMS Microbiol Rev 28:441–453. </w:t>
      </w:r>
      <w:hyperlink r:id="rId338" w:history="1">
        <w:r w:rsidR="00010BAE" w:rsidRPr="006032FF">
          <w:rPr>
            <w:rStyle w:val="Hyperlink"/>
            <w:rFonts w:cs="Arial"/>
            <w:sz w:val="20"/>
            <w:szCs w:val="20"/>
          </w:rPr>
          <w:t>https://doi.org/10.1016/j.femsre.2004.02.001</w:t>
        </w:r>
      </w:hyperlink>
    </w:p>
    <w:p w14:paraId="514A58B6" w14:textId="6949ECBC" w:rsidR="00657FDB" w:rsidRPr="006032FF" w:rsidRDefault="00657FDB" w:rsidP="006032FF">
      <w:pPr>
        <w:pStyle w:val="CitaviBibliographyEntry"/>
        <w:spacing w:after="120"/>
        <w:ind w:left="0" w:firstLine="0"/>
        <w:rPr>
          <w:rFonts w:cs="Arial"/>
          <w:sz w:val="20"/>
          <w:szCs w:val="20"/>
        </w:rPr>
      </w:pPr>
      <w:bookmarkStart w:id="796" w:name="_CTVL001c854b51441eb4815aa0b64f25a626d55"/>
      <w:bookmarkEnd w:id="795"/>
      <w:r w:rsidRPr="006032FF">
        <w:rPr>
          <w:rFonts w:cs="Arial"/>
          <w:sz w:val="20"/>
          <w:szCs w:val="20"/>
        </w:rPr>
        <w:t xml:space="preserve">SA Health (2017) Summary of outbreaks reported to CDCB in South Australia. Communicable Disease Control Branch, SA Health, Government of South Australia, Adelaide. </w:t>
      </w:r>
      <w:hyperlink r:id="rId339" w:history="1">
        <w:r w:rsidR="00010BAE" w:rsidRPr="006032FF">
          <w:rPr>
            <w:rStyle w:val="Hyperlink"/>
            <w:rFonts w:cs="Arial"/>
            <w:sz w:val="20"/>
            <w:szCs w:val="20"/>
          </w:rPr>
          <w:t>https://www.sahealth.sa.gov.au/wps/wcm/connect/public+content/sa+health+internet/resources/summary+of+outbreaks+reports+to+cdcb+south+australia+2017</w:t>
        </w:r>
      </w:hyperlink>
      <w:r w:rsidRPr="006032FF">
        <w:rPr>
          <w:rFonts w:cs="Arial"/>
          <w:sz w:val="20"/>
          <w:szCs w:val="20"/>
        </w:rPr>
        <w:t>. Accessed 31 July 2019</w:t>
      </w:r>
    </w:p>
    <w:p w14:paraId="208BEBD9" w14:textId="7FFAB413" w:rsidR="00657FDB" w:rsidRPr="006032FF" w:rsidRDefault="00657FDB" w:rsidP="006032FF">
      <w:pPr>
        <w:pStyle w:val="CitaviBibliographyEntry"/>
        <w:spacing w:after="120"/>
        <w:ind w:left="0" w:firstLine="0"/>
        <w:rPr>
          <w:rFonts w:cs="Arial"/>
          <w:sz w:val="20"/>
          <w:szCs w:val="20"/>
        </w:rPr>
      </w:pPr>
      <w:bookmarkStart w:id="797" w:name="_CTVL0019b0dc5692cd54196ab67aecdd8aa36b4"/>
      <w:bookmarkEnd w:id="796"/>
      <w:r w:rsidRPr="006032FF">
        <w:rPr>
          <w:rFonts w:cs="Arial"/>
          <w:sz w:val="20"/>
          <w:szCs w:val="20"/>
        </w:rPr>
        <w:t xml:space="preserve">Saggers EJ, Waspe CR, Parker ML, Waldron KW, Brocklehurst TF (2008) </w:t>
      </w:r>
      <w:bookmarkEnd w:id="797"/>
      <w:r w:rsidRPr="006032FF">
        <w:rPr>
          <w:rFonts w:cs="Arial"/>
          <w:i/>
          <w:sz w:val="20"/>
          <w:szCs w:val="20"/>
        </w:rPr>
        <w:t xml:space="preserve">Salmonella </w:t>
      </w:r>
      <w:r w:rsidRPr="006032FF">
        <w:rPr>
          <w:rFonts w:cs="Arial"/>
          <w:sz w:val="20"/>
          <w:szCs w:val="20"/>
        </w:rPr>
        <w:t xml:space="preserve">must be viable in order to attach to the surface of prepared vegetable tissues. Journal of Applied Microbiology 105:1239–1245. </w:t>
      </w:r>
      <w:hyperlink r:id="rId340" w:history="1">
        <w:r w:rsidR="00010BAE" w:rsidRPr="006032FF">
          <w:rPr>
            <w:rStyle w:val="Hyperlink"/>
            <w:rFonts w:cs="Arial"/>
            <w:sz w:val="20"/>
            <w:szCs w:val="20"/>
          </w:rPr>
          <w:t>https://doi.org/10.1111/j.1365-2672.2008.03795.x</w:t>
        </w:r>
      </w:hyperlink>
    </w:p>
    <w:p w14:paraId="77BFF9E9" w14:textId="1E1E2BCA" w:rsidR="00657FDB" w:rsidRPr="006032FF" w:rsidRDefault="00657FDB" w:rsidP="006032FF">
      <w:pPr>
        <w:pStyle w:val="CitaviBibliographyEntry"/>
        <w:spacing w:after="120"/>
        <w:ind w:left="0" w:firstLine="0"/>
        <w:rPr>
          <w:rFonts w:cs="Arial"/>
          <w:sz w:val="20"/>
          <w:szCs w:val="20"/>
        </w:rPr>
      </w:pPr>
      <w:bookmarkStart w:id="798" w:name="_CTVL00197e2a6dea608498b8bb1829c8de63033"/>
      <w:r w:rsidRPr="006032FF">
        <w:rPr>
          <w:rFonts w:cs="Arial"/>
          <w:sz w:val="20"/>
          <w:szCs w:val="20"/>
        </w:rPr>
        <w:t xml:space="preserve">Salazar JK, Sahu SN, Hildebrandt IM, Zhang L, Qi Y, Liggans G, Datta AR, Tortorello ML (2017) Growth kinetics of </w:t>
      </w:r>
      <w:bookmarkEnd w:id="798"/>
      <w:r w:rsidRPr="006032FF">
        <w:rPr>
          <w:rFonts w:cs="Arial"/>
          <w:i/>
          <w:sz w:val="20"/>
          <w:szCs w:val="20"/>
        </w:rPr>
        <w:t xml:space="preserve">Listeria monocytogenes </w:t>
      </w:r>
      <w:r w:rsidRPr="006032FF">
        <w:rPr>
          <w:rFonts w:cs="Arial"/>
          <w:sz w:val="20"/>
          <w:szCs w:val="20"/>
        </w:rPr>
        <w:t xml:space="preserve">in cut produce. Journal of Food Protection 80:1328–1336. </w:t>
      </w:r>
      <w:hyperlink r:id="rId341" w:history="1">
        <w:r w:rsidR="00010BAE" w:rsidRPr="006032FF">
          <w:rPr>
            <w:rStyle w:val="Hyperlink"/>
            <w:rFonts w:cs="Arial"/>
            <w:sz w:val="20"/>
            <w:szCs w:val="20"/>
          </w:rPr>
          <w:t>https://doi.org/10.4315/0362-028X.JFP-16-516</w:t>
        </w:r>
      </w:hyperlink>
    </w:p>
    <w:p w14:paraId="509D7C01" w14:textId="6FA0DC77" w:rsidR="00657FDB" w:rsidRPr="006032FF" w:rsidRDefault="00657FDB" w:rsidP="006032FF">
      <w:pPr>
        <w:pStyle w:val="CitaviBibliographyEntry"/>
        <w:spacing w:after="120"/>
        <w:ind w:left="0" w:firstLine="0"/>
        <w:rPr>
          <w:rFonts w:cs="Arial"/>
          <w:sz w:val="20"/>
          <w:szCs w:val="20"/>
        </w:rPr>
      </w:pPr>
      <w:bookmarkStart w:id="799" w:name="_CTVL0017e40bb1a72f24da7b705ddfd48db5f6d"/>
      <w:r w:rsidRPr="006032FF">
        <w:rPr>
          <w:rFonts w:cs="Arial"/>
          <w:sz w:val="20"/>
          <w:szCs w:val="20"/>
        </w:rPr>
        <w:t xml:space="preserve">Sant’Ana AS, Franco BDGM, Schaffner DW (2012) Modeling the growth rate and lag time of different strains of </w:t>
      </w:r>
      <w:bookmarkEnd w:id="799"/>
      <w:r w:rsidRPr="006032FF">
        <w:rPr>
          <w:rFonts w:cs="Arial"/>
          <w:i/>
          <w:sz w:val="20"/>
          <w:szCs w:val="20"/>
        </w:rPr>
        <w:t xml:space="preserve">Salmonella enterica </w:t>
      </w:r>
      <w:r w:rsidRPr="006032FF">
        <w:rPr>
          <w:rFonts w:cs="Arial"/>
          <w:sz w:val="20"/>
          <w:szCs w:val="20"/>
        </w:rPr>
        <w:t xml:space="preserve">and </w:t>
      </w:r>
      <w:r w:rsidRPr="006032FF">
        <w:rPr>
          <w:rFonts w:cs="Arial"/>
          <w:i/>
          <w:sz w:val="20"/>
          <w:szCs w:val="20"/>
        </w:rPr>
        <w:t xml:space="preserve">Listeria monocytogenes </w:t>
      </w:r>
      <w:r w:rsidRPr="006032FF">
        <w:rPr>
          <w:rFonts w:cs="Arial"/>
          <w:sz w:val="20"/>
          <w:szCs w:val="20"/>
        </w:rPr>
        <w:t xml:space="preserve">in ready-to-eat lettuce. Food Microbiology 30:267–273. </w:t>
      </w:r>
      <w:hyperlink r:id="rId342" w:history="1">
        <w:r w:rsidR="00010BAE" w:rsidRPr="006032FF">
          <w:rPr>
            <w:rStyle w:val="Hyperlink"/>
            <w:rFonts w:cs="Arial"/>
            <w:sz w:val="20"/>
            <w:szCs w:val="20"/>
          </w:rPr>
          <w:t>https://doi.org/10.1016/j.fm.2011.11.003</w:t>
        </w:r>
      </w:hyperlink>
    </w:p>
    <w:p w14:paraId="6DC4E934" w14:textId="5ADF8905" w:rsidR="00657FDB" w:rsidRPr="006032FF" w:rsidRDefault="00657FDB" w:rsidP="006032FF">
      <w:pPr>
        <w:pStyle w:val="CitaviBibliographyEntry"/>
        <w:spacing w:after="120"/>
        <w:ind w:left="0" w:firstLine="0"/>
        <w:rPr>
          <w:rFonts w:cs="Arial"/>
          <w:sz w:val="20"/>
          <w:szCs w:val="20"/>
        </w:rPr>
      </w:pPr>
      <w:bookmarkStart w:id="800" w:name="_CTVL001668071d431d8483599238d2582699739"/>
      <w:r w:rsidRPr="006032FF">
        <w:rPr>
          <w:rFonts w:cs="Arial"/>
          <w:sz w:val="20"/>
          <w:szCs w:val="20"/>
        </w:rPr>
        <w:t xml:space="preserve">Scheelings TF, Lightfoot D, Holz P (2011) Prevalence of </w:t>
      </w:r>
      <w:bookmarkEnd w:id="800"/>
      <w:r w:rsidRPr="006032FF">
        <w:rPr>
          <w:rFonts w:cs="Arial"/>
          <w:i/>
          <w:sz w:val="20"/>
          <w:szCs w:val="20"/>
        </w:rPr>
        <w:t xml:space="preserve">Salmonella </w:t>
      </w:r>
      <w:r w:rsidRPr="006032FF">
        <w:rPr>
          <w:rFonts w:cs="Arial"/>
          <w:sz w:val="20"/>
          <w:szCs w:val="20"/>
        </w:rPr>
        <w:t xml:space="preserve">in Australian reptiles. Journal of Wildlife Diseases 47:1–11. </w:t>
      </w:r>
      <w:hyperlink r:id="rId343" w:history="1">
        <w:r w:rsidR="00010BAE" w:rsidRPr="006032FF">
          <w:rPr>
            <w:rStyle w:val="Hyperlink"/>
            <w:rFonts w:cs="Arial"/>
            <w:sz w:val="20"/>
            <w:szCs w:val="20"/>
          </w:rPr>
          <w:t>https://doi.org/10.7589/0090-3558-47.1.1</w:t>
        </w:r>
      </w:hyperlink>
    </w:p>
    <w:p w14:paraId="5EA2C374" w14:textId="3208A660" w:rsidR="00657FDB" w:rsidRPr="006032FF" w:rsidRDefault="00657FDB" w:rsidP="006032FF">
      <w:pPr>
        <w:pStyle w:val="CitaviBibliographyEntry"/>
        <w:spacing w:after="120"/>
        <w:ind w:left="0" w:firstLine="0"/>
        <w:rPr>
          <w:rFonts w:cs="Arial"/>
          <w:sz w:val="20"/>
          <w:szCs w:val="20"/>
        </w:rPr>
      </w:pPr>
      <w:bookmarkStart w:id="801" w:name="_CTVL001b1a6245b62bc436dba5e76ceb4c3539c"/>
      <w:r w:rsidRPr="006032FF">
        <w:rPr>
          <w:rFonts w:cs="Arial"/>
          <w:sz w:val="20"/>
          <w:szCs w:val="20"/>
        </w:rPr>
        <w:t>Scolforo CZ, Bairros JV, Rezende ACB, Silva BS, Alves RBT, Costa DS, Andrade NJ, Sant</w:t>
      </w:r>
      <w:r w:rsidR="00010BAE" w:rsidRPr="006032FF">
        <w:rPr>
          <w:rFonts w:cs="Arial"/>
          <w:sz w:val="20"/>
          <w:szCs w:val="20"/>
        </w:rPr>
        <w:t>’</w:t>
      </w:r>
      <w:r w:rsidRPr="006032FF">
        <w:rPr>
          <w:rFonts w:cs="Arial"/>
          <w:sz w:val="20"/>
          <w:szCs w:val="20"/>
        </w:rPr>
        <w:t xml:space="preserve">Ana AS, Pena WEL (2017) Modeling the fate of </w:t>
      </w:r>
      <w:bookmarkEnd w:id="801"/>
      <w:r w:rsidRPr="006032FF">
        <w:rPr>
          <w:rFonts w:cs="Arial"/>
          <w:i/>
          <w:sz w:val="20"/>
          <w:szCs w:val="20"/>
        </w:rPr>
        <w:t xml:space="preserve">Listeria monocytogenes </w:t>
      </w:r>
      <w:r w:rsidRPr="006032FF">
        <w:rPr>
          <w:rFonts w:cs="Arial"/>
          <w:sz w:val="20"/>
          <w:szCs w:val="20"/>
        </w:rPr>
        <w:t xml:space="preserve">and </w:t>
      </w:r>
      <w:r w:rsidRPr="006032FF">
        <w:rPr>
          <w:rFonts w:cs="Arial"/>
          <w:i/>
          <w:sz w:val="20"/>
          <w:szCs w:val="20"/>
        </w:rPr>
        <w:t xml:space="preserve">Salmonella enterica </w:t>
      </w:r>
      <w:r w:rsidRPr="006032FF">
        <w:rPr>
          <w:rFonts w:cs="Arial"/>
          <w:sz w:val="20"/>
          <w:szCs w:val="20"/>
        </w:rPr>
        <w:t>in the pulp and on the outer rind of Canary melons (</w:t>
      </w:r>
      <w:r w:rsidRPr="006032FF">
        <w:rPr>
          <w:rFonts w:cs="Arial"/>
          <w:i/>
          <w:sz w:val="20"/>
          <w:szCs w:val="20"/>
        </w:rPr>
        <w:t>Cucumis melo</w:t>
      </w:r>
      <w:r w:rsidRPr="006032FF">
        <w:rPr>
          <w:rFonts w:cs="Arial"/>
          <w:sz w:val="20"/>
          <w:szCs w:val="20"/>
        </w:rPr>
        <w:t xml:space="preserve"> (Indorus Group)). LWT - Food Science and Technology 77:290–297. </w:t>
      </w:r>
      <w:hyperlink r:id="rId344" w:history="1">
        <w:r w:rsidR="00010BAE" w:rsidRPr="006032FF">
          <w:rPr>
            <w:rStyle w:val="Hyperlink"/>
            <w:rFonts w:cs="Arial"/>
            <w:sz w:val="20"/>
            <w:szCs w:val="20"/>
          </w:rPr>
          <w:t>https://doi.org/10.1016/j.lwt.2016.11.059</w:t>
        </w:r>
      </w:hyperlink>
    </w:p>
    <w:p w14:paraId="7B32C263" w14:textId="0A8AAF36" w:rsidR="00657FDB" w:rsidRPr="006032FF" w:rsidRDefault="00657FDB" w:rsidP="006032FF">
      <w:pPr>
        <w:pStyle w:val="CitaviBibliographyEntry"/>
        <w:spacing w:after="120"/>
        <w:ind w:left="0" w:firstLine="0"/>
        <w:rPr>
          <w:rFonts w:cs="Arial"/>
          <w:sz w:val="20"/>
          <w:szCs w:val="20"/>
        </w:rPr>
      </w:pPr>
      <w:bookmarkStart w:id="802" w:name="_CTVL0012d72f3cb97f64ce2bc2dcaa6ba80388b"/>
      <w:r w:rsidRPr="006032FF">
        <w:rPr>
          <w:rFonts w:cs="Arial"/>
          <w:sz w:val="20"/>
          <w:szCs w:val="20"/>
        </w:rPr>
        <w:t>Selma MV, Luna MC, Martínez-Sánchez A, Tudela JA, Beltrán D, Baixauli C, Gil MI (2012) Sensory quality, bioactive constituents and microbiological quality of green and red fresh-cut lettuces (</w:t>
      </w:r>
      <w:bookmarkEnd w:id="802"/>
      <w:r w:rsidR="00455A97">
        <w:rPr>
          <w:rFonts w:cs="Arial"/>
          <w:i/>
          <w:sz w:val="20"/>
          <w:szCs w:val="20"/>
        </w:rPr>
        <w:t>Lactuca </w:t>
      </w:r>
      <w:r w:rsidRPr="006032FF">
        <w:rPr>
          <w:rFonts w:cs="Arial"/>
          <w:i/>
          <w:sz w:val="20"/>
          <w:szCs w:val="20"/>
        </w:rPr>
        <w:t>sativa L</w:t>
      </w:r>
      <w:r w:rsidRPr="006032FF">
        <w:rPr>
          <w:rFonts w:cs="Arial"/>
          <w:sz w:val="20"/>
          <w:szCs w:val="20"/>
        </w:rPr>
        <w:t xml:space="preserve">.) are influenced by soil and soilless agricultural production systems. Postharvest Biology and Technology 63:16–24. </w:t>
      </w:r>
      <w:hyperlink r:id="rId345" w:history="1">
        <w:r w:rsidR="00010BAE" w:rsidRPr="006032FF">
          <w:rPr>
            <w:rStyle w:val="Hyperlink"/>
            <w:rFonts w:cs="Arial"/>
            <w:sz w:val="20"/>
            <w:szCs w:val="20"/>
          </w:rPr>
          <w:t>https://doi.org/10.1016/j.postharvbio.2011.08.002</w:t>
        </w:r>
      </w:hyperlink>
    </w:p>
    <w:p w14:paraId="7A79A849" w14:textId="5F1B1AC4" w:rsidR="00657FDB" w:rsidRPr="006032FF" w:rsidRDefault="00657FDB" w:rsidP="006032FF">
      <w:pPr>
        <w:pStyle w:val="CitaviBibliographyEntry"/>
        <w:spacing w:after="120"/>
        <w:ind w:left="0" w:firstLine="0"/>
        <w:rPr>
          <w:rFonts w:cs="Arial"/>
          <w:sz w:val="20"/>
          <w:szCs w:val="20"/>
        </w:rPr>
      </w:pPr>
      <w:bookmarkStart w:id="803" w:name="_CTVL001193bc0fd40064131b293f5ed28ded0a1"/>
      <w:r w:rsidRPr="006032FF">
        <w:rPr>
          <w:rFonts w:cs="Arial"/>
          <w:sz w:val="20"/>
          <w:szCs w:val="20"/>
        </w:rPr>
        <w:t xml:space="preserve">Sengun IY (2013) Effects of ozone wash for inactivation of </w:t>
      </w:r>
      <w:bookmarkEnd w:id="803"/>
      <w:r w:rsidRPr="006032FF">
        <w:rPr>
          <w:rFonts w:cs="Arial"/>
          <w:i/>
          <w:sz w:val="20"/>
          <w:szCs w:val="20"/>
        </w:rPr>
        <w:t>S</w:t>
      </w:r>
      <w:r w:rsidRPr="006032FF">
        <w:rPr>
          <w:rFonts w:cs="Arial"/>
          <w:sz w:val="20"/>
          <w:szCs w:val="20"/>
        </w:rPr>
        <w:t xml:space="preserve">. Typhimurium and background microbiota on lettuce and parsley. Journal of Food Safety 33:273–281. </w:t>
      </w:r>
      <w:hyperlink r:id="rId346" w:history="1">
        <w:r w:rsidR="00010BAE" w:rsidRPr="006032FF">
          <w:rPr>
            <w:rStyle w:val="Hyperlink"/>
            <w:rFonts w:cs="Arial"/>
            <w:sz w:val="20"/>
            <w:szCs w:val="20"/>
          </w:rPr>
          <w:t>https://doi.org/10.1111/jfs.12050</w:t>
        </w:r>
      </w:hyperlink>
    </w:p>
    <w:p w14:paraId="6581F8DC" w14:textId="0A8A144F" w:rsidR="00657FDB" w:rsidRPr="006032FF" w:rsidRDefault="00657FDB" w:rsidP="006032FF">
      <w:pPr>
        <w:pStyle w:val="CitaviBibliographyEntry"/>
        <w:spacing w:after="120"/>
        <w:ind w:left="0" w:firstLine="0"/>
        <w:rPr>
          <w:rFonts w:cs="Arial"/>
          <w:sz w:val="20"/>
          <w:szCs w:val="20"/>
        </w:rPr>
      </w:pPr>
      <w:bookmarkStart w:id="804" w:name="_CTVL0014e3e1cdfc7b34dda8e7a26b0f3cb5af0"/>
      <w:r w:rsidRPr="006032FF">
        <w:rPr>
          <w:rFonts w:cs="Arial"/>
          <w:sz w:val="20"/>
          <w:szCs w:val="20"/>
        </w:rPr>
        <w:t xml:space="preserve">Shah MK, Bradshaw R, Nyarko E, Handy ET, East C, Millner PD, Bergholz TM, Sharma M (2019) </w:t>
      </w:r>
      <w:bookmarkEnd w:id="804"/>
      <w:r w:rsidRPr="006032FF">
        <w:rPr>
          <w:rFonts w:cs="Arial"/>
          <w:i/>
          <w:sz w:val="20"/>
          <w:szCs w:val="20"/>
        </w:rPr>
        <w:t xml:space="preserve">Salmonella enterica </w:t>
      </w:r>
      <w:r w:rsidRPr="006032FF">
        <w:rPr>
          <w:rFonts w:cs="Arial"/>
          <w:sz w:val="20"/>
          <w:szCs w:val="20"/>
        </w:rPr>
        <w:t xml:space="preserve">in soils amended with heat-treated poultry pellets survived longer than bacteria in unamended soils and more readily transferred to and persisted on spinach. Applied and Environmental Microbiology 85:e00334-19. </w:t>
      </w:r>
      <w:hyperlink r:id="rId347" w:history="1">
        <w:r w:rsidR="00010BAE" w:rsidRPr="006032FF">
          <w:rPr>
            <w:rStyle w:val="Hyperlink"/>
            <w:rFonts w:cs="Arial"/>
            <w:sz w:val="20"/>
            <w:szCs w:val="20"/>
          </w:rPr>
          <w:t>https://doi.org/10.1128/AEM.00334-19</w:t>
        </w:r>
      </w:hyperlink>
    </w:p>
    <w:p w14:paraId="2B50CACD" w14:textId="2F581BCE" w:rsidR="00657FDB" w:rsidRPr="006032FF" w:rsidRDefault="00657FDB" w:rsidP="006032FF">
      <w:pPr>
        <w:pStyle w:val="CitaviBibliographyEntry"/>
        <w:spacing w:after="120"/>
        <w:ind w:left="0" w:firstLine="0"/>
        <w:rPr>
          <w:rFonts w:cs="Arial"/>
          <w:sz w:val="20"/>
          <w:szCs w:val="20"/>
        </w:rPr>
      </w:pPr>
      <w:bookmarkStart w:id="805" w:name="_CTVL001af3628e82d0746eb9461b31c31b1ab12"/>
      <w:r w:rsidRPr="006032FF">
        <w:rPr>
          <w:rFonts w:cs="Arial"/>
          <w:sz w:val="20"/>
          <w:szCs w:val="20"/>
        </w:rPr>
        <w:t xml:space="preserve">Sharma M, Ingram DT, Patel JR, Millner PD, Wang X, Hull AE, Donnenberg MS (2009) A novel approach to investigate the uptake and internalization of </w:t>
      </w:r>
      <w:bookmarkEnd w:id="805"/>
      <w:r w:rsidRPr="006032FF">
        <w:rPr>
          <w:rFonts w:cs="Arial"/>
          <w:i/>
          <w:sz w:val="20"/>
          <w:szCs w:val="20"/>
        </w:rPr>
        <w:t xml:space="preserve">Escherichia coli </w:t>
      </w:r>
      <w:r w:rsidRPr="006032FF">
        <w:rPr>
          <w:rFonts w:cs="Arial"/>
          <w:sz w:val="20"/>
          <w:szCs w:val="20"/>
        </w:rPr>
        <w:t xml:space="preserve">O157:H7 in spinach cultivated in soil an hydroponic medium. Journal of Food Protection 72:1513. </w:t>
      </w:r>
      <w:hyperlink r:id="rId348" w:history="1">
        <w:r w:rsidR="00010BAE" w:rsidRPr="006032FF">
          <w:rPr>
            <w:rStyle w:val="Hyperlink"/>
            <w:rFonts w:cs="Arial"/>
            <w:sz w:val="20"/>
            <w:szCs w:val="20"/>
          </w:rPr>
          <w:t>https://doi.org/10.4315/0362-028x-72.7.1513</w:t>
        </w:r>
      </w:hyperlink>
    </w:p>
    <w:p w14:paraId="4BC476C4" w14:textId="51936AE5" w:rsidR="00657FDB" w:rsidRPr="006032FF" w:rsidRDefault="00657FDB" w:rsidP="006032FF">
      <w:pPr>
        <w:pStyle w:val="CitaviBibliographyEntry"/>
        <w:spacing w:after="120"/>
        <w:ind w:left="0" w:firstLine="0"/>
        <w:rPr>
          <w:rFonts w:cs="Arial"/>
          <w:sz w:val="20"/>
          <w:szCs w:val="20"/>
        </w:rPr>
      </w:pPr>
      <w:bookmarkStart w:id="806" w:name="_CTVL0011480e52b25ee4111963c4d49dbb5dc69"/>
      <w:r w:rsidRPr="006032FF">
        <w:rPr>
          <w:rFonts w:cs="Arial"/>
          <w:sz w:val="20"/>
          <w:szCs w:val="20"/>
        </w:rPr>
        <w:t xml:space="preserve">Sharps CP, Kotwal G, Cannon JL (2012) Human norovirus transfer to stainless steel and small fruits during handling. Journal of Food Protection 75:1437–1446. </w:t>
      </w:r>
      <w:hyperlink r:id="rId349" w:history="1">
        <w:r w:rsidR="00010BAE" w:rsidRPr="006032FF">
          <w:rPr>
            <w:rStyle w:val="Hyperlink"/>
            <w:rFonts w:cs="Arial"/>
            <w:sz w:val="20"/>
            <w:szCs w:val="20"/>
          </w:rPr>
          <w:t>https://doi.org/10.4315/0362-028X.JFP-12-052</w:t>
        </w:r>
      </w:hyperlink>
    </w:p>
    <w:p w14:paraId="2A25E9EE" w14:textId="33012CBB" w:rsidR="00657FDB" w:rsidRPr="006032FF" w:rsidRDefault="00657FDB" w:rsidP="006032FF">
      <w:pPr>
        <w:pStyle w:val="CitaviBibliographyEntry"/>
        <w:spacing w:after="120"/>
        <w:ind w:left="0" w:firstLine="0"/>
        <w:rPr>
          <w:rFonts w:cs="Arial"/>
          <w:sz w:val="20"/>
          <w:szCs w:val="20"/>
        </w:rPr>
      </w:pPr>
      <w:bookmarkStart w:id="807" w:name="_CTVL001f5643ca2c6fd4ee6a5a3ea2b50e062cf"/>
      <w:bookmarkEnd w:id="806"/>
      <w:r w:rsidRPr="006032FF">
        <w:rPr>
          <w:rFonts w:cs="Arial"/>
          <w:sz w:val="20"/>
          <w:szCs w:val="20"/>
        </w:rPr>
        <w:t xml:space="preserve">Shaw A, Svoboda A, Jie B, Daraba A, Nonnecke G (2015a) Importance of hand hygiene during the harvesting of strawberries. HortTechnology 25:380–384. </w:t>
      </w:r>
      <w:hyperlink r:id="rId350" w:history="1">
        <w:r w:rsidR="00010BAE" w:rsidRPr="006032FF">
          <w:rPr>
            <w:rStyle w:val="Hyperlink"/>
            <w:rFonts w:cs="Arial"/>
            <w:sz w:val="20"/>
            <w:szCs w:val="20"/>
          </w:rPr>
          <w:t>https://doi.org/10.21273/HORTTECH.25.3.380</w:t>
        </w:r>
      </w:hyperlink>
    </w:p>
    <w:p w14:paraId="40E8733B" w14:textId="20E52ED5" w:rsidR="00657FDB" w:rsidRPr="006032FF" w:rsidRDefault="00657FDB" w:rsidP="006032FF">
      <w:pPr>
        <w:pStyle w:val="CitaviBibliographyEntry"/>
        <w:spacing w:after="120"/>
        <w:ind w:left="0" w:firstLine="0"/>
        <w:rPr>
          <w:rFonts w:cs="Arial"/>
          <w:sz w:val="20"/>
          <w:szCs w:val="20"/>
        </w:rPr>
      </w:pPr>
      <w:bookmarkStart w:id="808" w:name="_CTVL0016531ec91d84a482891feb635ac84faca"/>
      <w:bookmarkEnd w:id="807"/>
      <w:r w:rsidRPr="006032FF">
        <w:rPr>
          <w:rFonts w:cs="Arial"/>
          <w:sz w:val="20"/>
          <w:szCs w:val="20"/>
        </w:rPr>
        <w:t xml:space="preserve">Shaw AL, Svoboda A, Jie B, Nonnecke G, Mendonca A (2015b) Survival of </w:t>
      </w:r>
      <w:bookmarkEnd w:id="808"/>
      <w:r w:rsidRPr="006032FF">
        <w:rPr>
          <w:rFonts w:cs="Arial"/>
          <w:i/>
          <w:sz w:val="20"/>
          <w:szCs w:val="20"/>
        </w:rPr>
        <w:t xml:space="preserve">Escherichia coli </w:t>
      </w:r>
      <w:r w:rsidRPr="006032FF">
        <w:rPr>
          <w:rFonts w:cs="Arial"/>
          <w:sz w:val="20"/>
          <w:szCs w:val="20"/>
        </w:rPr>
        <w:t xml:space="preserve">on strawberries grown under greenhouse conditions. Food Microbiology 46:200–203. </w:t>
      </w:r>
      <w:hyperlink r:id="rId351" w:history="1">
        <w:r w:rsidR="00010BAE" w:rsidRPr="006032FF">
          <w:rPr>
            <w:rStyle w:val="Hyperlink"/>
            <w:rFonts w:cs="Arial"/>
            <w:sz w:val="20"/>
            <w:szCs w:val="20"/>
          </w:rPr>
          <w:t>https://doi.org/10.1016/j.fm.2014.06.027</w:t>
        </w:r>
      </w:hyperlink>
    </w:p>
    <w:p w14:paraId="0318D9F7" w14:textId="2B076FBB" w:rsidR="00657FDB" w:rsidRPr="006032FF" w:rsidRDefault="00657FDB" w:rsidP="006032FF">
      <w:pPr>
        <w:pStyle w:val="CitaviBibliographyEntry"/>
        <w:spacing w:after="120"/>
        <w:ind w:left="0" w:firstLine="0"/>
        <w:rPr>
          <w:rFonts w:cs="Arial"/>
          <w:sz w:val="20"/>
          <w:szCs w:val="20"/>
        </w:rPr>
      </w:pPr>
      <w:bookmarkStart w:id="809" w:name="_CTVL0012a2026c6d35d45d896d1dd350e241005"/>
      <w:r w:rsidRPr="006032FF">
        <w:rPr>
          <w:rFonts w:cs="Arial"/>
          <w:sz w:val="20"/>
          <w:szCs w:val="20"/>
        </w:rPr>
        <w:t xml:space="preserve">Shelton DR, Karns JS, Coppock C, Patel J, Sharma M, Pachepsky YA (2011) Relationship between eae and stx virulence genes and </w:t>
      </w:r>
      <w:bookmarkEnd w:id="809"/>
      <w:r w:rsidRPr="006032FF">
        <w:rPr>
          <w:rFonts w:cs="Arial"/>
          <w:i/>
          <w:sz w:val="20"/>
          <w:szCs w:val="20"/>
        </w:rPr>
        <w:t xml:space="preserve">Escherichia coli </w:t>
      </w:r>
      <w:r w:rsidRPr="006032FF">
        <w:rPr>
          <w:rFonts w:cs="Arial"/>
          <w:sz w:val="20"/>
          <w:szCs w:val="20"/>
        </w:rPr>
        <w:t xml:space="preserve">in an agricultural watershed: Implications for irrigation water standards and leafy green commodities. Journal of Food Protection 74:18–23. </w:t>
      </w:r>
      <w:hyperlink r:id="rId352" w:history="1">
        <w:r w:rsidR="00010BAE" w:rsidRPr="006032FF">
          <w:rPr>
            <w:rStyle w:val="Hyperlink"/>
            <w:rFonts w:cs="Arial"/>
            <w:sz w:val="20"/>
            <w:szCs w:val="20"/>
          </w:rPr>
          <w:t>https://doi.org/10.4315/0362-028X.JFP-10-241</w:t>
        </w:r>
      </w:hyperlink>
    </w:p>
    <w:p w14:paraId="1C8E5462" w14:textId="74B4C9BD" w:rsidR="00657FDB" w:rsidRPr="006032FF" w:rsidRDefault="00657FDB" w:rsidP="006032FF">
      <w:pPr>
        <w:pStyle w:val="CitaviBibliographyEntry"/>
        <w:spacing w:after="120"/>
        <w:ind w:left="0" w:firstLine="0"/>
        <w:rPr>
          <w:rFonts w:cs="Arial"/>
          <w:sz w:val="20"/>
          <w:szCs w:val="20"/>
        </w:rPr>
      </w:pPr>
      <w:bookmarkStart w:id="810" w:name="_CTVL001030b7bb92a954328bedeeb8b645d0bae"/>
      <w:r w:rsidRPr="006032FF">
        <w:rPr>
          <w:rFonts w:cs="Arial"/>
          <w:sz w:val="20"/>
          <w:szCs w:val="20"/>
        </w:rPr>
        <w:t xml:space="preserve">Shen X, Sheng L, Benedict C, Kruger CE, Su Y, Schacht E, Zhang Y, Zhu M-J (2020) Evaluation of pre-harvest microbiological safety of blueberry production with or without manure-derived fertilizer. Frontiers in Microbiology 10:3130. </w:t>
      </w:r>
      <w:hyperlink r:id="rId353" w:history="1">
        <w:r w:rsidR="00010BAE" w:rsidRPr="006032FF">
          <w:rPr>
            <w:rStyle w:val="Hyperlink"/>
            <w:rFonts w:cs="Arial"/>
            <w:sz w:val="20"/>
            <w:szCs w:val="20"/>
          </w:rPr>
          <w:t>https://doi.org/10.3389/fmicb.2019.03130</w:t>
        </w:r>
      </w:hyperlink>
    </w:p>
    <w:p w14:paraId="6B9BFC13" w14:textId="7711118C" w:rsidR="00657FDB" w:rsidRPr="006032FF" w:rsidRDefault="00657FDB" w:rsidP="006032FF">
      <w:pPr>
        <w:pStyle w:val="CitaviBibliographyEntry"/>
        <w:spacing w:after="120"/>
        <w:ind w:left="0" w:firstLine="0"/>
        <w:rPr>
          <w:rFonts w:cs="Arial"/>
          <w:sz w:val="20"/>
          <w:szCs w:val="20"/>
        </w:rPr>
      </w:pPr>
      <w:bookmarkStart w:id="811" w:name="_CTVL0011372442998e240f38875bd389c4ab532"/>
      <w:bookmarkEnd w:id="810"/>
      <w:r w:rsidRPr="006032FF">
        <w:rPr>
          <w:rFonts w:cs="Arial"/>
          <w:sz w:val="20"/>
          <w:szCs w:val="20"/>
        </w:rPr>
        <w:t xml:space="preserve">Sheng L, Shen X, Benedict C, Su Y, Tsai H-C, Schacht E, Kruger CE, Drennan M, Zhu M-J (2019) Microbial safety of dairy manure fertilizer application in raspberry production. Frontiers in Microbiology:2276. </w:t>
      </w:r>
      <w:hyperlink r:id="rId354" w:history="1">
        <w:r w:rsidR="00010BAE" w:rsidRPr="006032FF">
          <w:rPr>
            <w:rStyle w:val="Hyperlink"/>
            <w:rFonts w:cs="Arial"/>
            <w:sz w:val="20"/>
            <w:szCs w:val="20"/>
          </w:rPr>
          <w:t>https://doi.org/10.3389/fmicb.2019.02276</w:t>
        </w:r>
      </w:hyperlink>
    </w:p>
    <w:p w14:paraId="6720AB53" w14:textId="00F8CAAE" w:rsidR="00657FDB" w:rsidRPr="006032FF" w:rsidRDefault="00657FDB" w:rsidP="006032FF">
      <w:pPr>
        <w:pStyle w:val="CitaviBibliographyEntry"/>
        <w:spacing w:after="120"/>
        <w:ind w:left="0" w:firstLine="0"/>
        <w:rPr>
          <w:rFonts w:cs="Arial"/>
          <w:sz w:val="20"/>
          <w:szCs w:val="20"/>
        </w:rPr>
      </w:pPr>
      <w:bookmarkStart w:id="812" w:name="_CTVL0010e591753a5bb46ffab12c6417b813216"/>
      <w:bookmarkEnd w:id="811"/>
      <w:r w:rsidRPr="006032FF">
        <w:rPr>
          <w:rFonts w:cs="Arial"/>
          <w:sz w:val="20"/>
          <w:szCs w:val="20"/>
        </w:rPr>
        <w:t xml:space="preserve">Shenoy AG, Oliver HF, Deering AJ (2017) </w:t>
      </w:r>
      <w:bookmarkEnd w:id="812"/>
      <w:r w:rsidRPr="006032FF">
        <w:rPr>
          <w:rFonts w:cs="Arial"/>
          <w:i/>
          <w:sz w:val="20"/>
          <w:szCs w:val="20"/>
        </w:rPr>
        <w:t>Listeria monocytogenes</w:t>
      </w:r>
      <w:r w:rsidRPr="006032FF">
        <w:rPr>
          <w:rFonts w:cs="Arial"/>
          <w:sz w:val="20"/>
          <w:szCs w:val="20"/>
        </w:rPr>
        <w:t xml:space="preserve"> internalizes in romaine lettuce grown in greenhouse conditions. Journal of Food Protection 80:573–581. </w:t>
      </w:r>
      <w:hyperlink r:id="rId355" w:history="1">
        <w:r w:rsidR="00010BAE" w:rsidRPr="006032FF">
          <w:rPr>
            <w:rStyle w:val="Hyperlink"/>
            <w:rFonts w:cs="Arial"/>
            <w:sz w:val="20"/>
            <w:szCs w:val="20"/>
          </w:rPr>
          <w:t>https://doi.org/10.4315/0362-028X.JFP-16-095</w:t>
        </w:r>
      </w:hyperlink>
    </w:p>
    <w:p w14:paraId="4105DCF9" w14:textId="5221C3D0" w:rsidR="00657FDB" w:rsidRPr="006032FF" w:rsidRDefault="00657FDB" w:rsidP="006032FF">
      <w:pPr>
        <w:pStyle w:val="CitaviBibliographyEntry"/>
        <w:spacing w:after="120"/>
        <w:ind w:left="0" w:firstLine="0"/>
        <w:rPr>
          <w:rFonts w:cs="Arial"/>
          <w:sz w:val="20"/>
          <w:szCs w:val="20"/>
        </w:rPr>
      </w:pPr>
      <w:bookmarkStart w:id="813" w:name="_CTVL001334cc4a9087841309aba124d1bb99462"/>
      <w:r w:rsidRPr="006032FF">
        <w:rPr>
          <w:rFonts w:cs="Arial"/>
          <w:sz w:val="20"/>
          <w:szCs w:val="20"/>
        </w:rPr>
        <w:t xml:space="preserve">Shepherd Jr MW, Liang P, Jiang X, Doyle MP, Erickson MC (2010) Microbiological analysis of composts produced on South Carolina poultry farms. Journal of Applied Microbiology 108:2067–2076. </w:t>
      </w:r>
      <w:hyperlink r:id="rId356" w:history="1">
        <w:r w:rsidR="00010BAE" w:rsidRPr="006032FF">
          <w:rPr>
            <w:rStyle w:val="Hyperlink"/>
            <w:rFonts w:cs="Arial"/>
            <w:sz w:val="20"/>
            <w:szCs w:val="20"/>
          </w:rPr>
          <w:t>https://doi.org/10.1111/j.1365-2672.2009.04610.x</w:t>
        </w:r>
      </w:hyperlink>
    </w:p>
    <w:p w14:paraId="7D76636E" w14:textId="42124532" w:rsidR="00657FDB" w:rsidRPr="006032FF" w:rsidRDefault="00657FDB" w:rsidP="006032FF">
      <w:pPr>
        <w:pStyle w:val="CitaviBibliographyEntry"/>
        <w:spacing w:after="120"/>
        <w:ind w:left="0" w:firstLine="0"/>
        <w:rPr>
          <w:rFonts w:cs="Arial"/>
          <w:sz w:val="20"/>
          <w:szCs w:val="20"/>
        </w:rPr>
      </w:pPr>
      <w:bookmarkStart w:id="814" w:name="_CTVL00168939acf66be412f803f7d539efa327a"/>
      <w:bookmarkEnd w:id="813"/>
      <w:r w:rsidRPr="006032FF">
        <w:rPr>
          <w:rFonts w:cs="Arial"/>
          <w:sz w:val="20"/>
          <w:szCs w:val="20"/>
        </w:rPr>
        <w:t xml:space="preserve">Shin H, Park H, Seo DJ, Jung S, Yeo D, Wang Z, Park KH, Choi C (2019) Foodborne viruses detected sporadically in the fresh produce and its production environment in South Korea. Foodborne Pathogens and Disease 16:411–420. </w:t>
      </w:r>
      <w:hyperlink r:id="rId357" w:history="1">
        <w:r w:rsidR="00010BAE" w:rsidRPr="006032FF">
          <w:rPr>
            <w:rStyle w:val="Hyperlink"/>
            <w:rFonts w:cs="Arial"/>
            <w:sz w:val="20"/>
            <w:szCs w:val="20"/>
          </w:rPr>
          <w:t>https://doi.org/10.1089/fpd.2018.2580</w:t>
        </w:r>
      </w:hyperlink>
    </w:p>
    <w:p w14:paraId="71191425" w14:textId="1EE3529B" w:rsidR="00657FDB" w:rsidRPr="006032FF" w:rsidRDefault="00657FDB" w:rsidP="006032FF">
      <w:pPr>
        <w:pStyle w:val="CitaviBibliographyEntry"/>
        <w:spacing w:after="120"/>
        <w:ind w:left="0" w:firstLine="0"/>
        <w:rPr>
          <w:rFonts w:cs="Arial"/>
          <w:sz w:val="20"/>
          <w:szCs w:val="20"/>
        </w:rPr>
      </w:pPr>
      <w:bookmarkStart w:id="815" w:name="_CTVL001f703afa5f8894993a30d81471e41706a"/>
      <w:bookmarkEnd w:id="814"/>
      <w:r w:rsidRPr="006032FF">
        <w:rPr>
          <w:rFonts w:cs="Arial"/>
          <w:sz w:val="20"/>
          <w:szCs w:val="20"/>
        </w:rPr>
        <w:t xml:space="preserve">Shiraz S, Djebbi-Simmons D, Alhejaili M, Danos K, Janes M, Fontenot K, Xu W (2020) Evaluation of the microbial safety and quality of Louisiana strawberries after flooding. Food Control 110:106970. </w:t>
      </w:r>
      <w:hyperlink r:id="rId358" w:history="1">
        <w:r w:rsidR="00010BAE" w:rsidRPr="006032FF">
          <w:rPr>
            <w:rStyle w:val="Hyperlink"/>
            <w:rFonts w:cs="Arial"/>
            <w:sz w:val="20"/>
            <w:szCs w:val="20"/>
          </w:rPr>
          <w:t>https://doi.org/10.1016/J.FOODCONT.2019.106970</w:t>
        </w:r>
      </w:hyperlink>
    </w:p>
    <w:p w14:paraId="7AE6B3EE" w14:textId="60594F69" w:rsidR="00657FDB" w:rsidRPr="006032FF" w:rsidRDefault="00657FDB" w:rsidP="006032FF">
      <w:pPr>
        <w:pStyle w:val="CitaviBibliographyEntry"/>
        <w:spacing w:after="120"/>
        <w:ind w:left="0" w:firstLine="0"/>
        <w:rPr>
          <w:rFonts w:cs="Arial"/>
          <w:sz w:val="20"/>
          <w:szCs w:val="20"/>
        </w:rPr>
      </w:pPr>
      <w:bookmarkStart w:id="816" w:name="_CTVL001eafae29dae104b0a89af14825da16216"/>
      <w:bookmarkEnd w:id="815"/>
      <w:r w:rsidRPr="006032FF">
        <w:rPr>
          <w:rFonts w:cs="Arial"/>
          <w:sz w:val="20"/>
          <w:szCs w:val="20"/>
        </w:rPr>
        <w:t xml:space="preserve">Shynkaryk MV, Pyatkovskyy T, Mohamed HM, Yousef AE, Sastry SK (2015) Physics of fresh produce safety: Role of diffusion and tissue reaction in sanitization of leafy green vegetables with liquid and gaseous ozone-based sanitizers. Journal of Food Protection 78:2108–2116. </w:t>
      </w:r>
      <w:hyperlink r:id="rId359" w:history="1">
        <w:r w:rsidR="00010BAE" w:rsidRPr="006032FF">
          <w:rPr>
            <w:rStyle w:val="Hyperlink"/>
            <w:rFonts w:cs="Arial"/>
            <w:sz w:val="20"/>
            <w:szCs w:val="20"/>
          </w:rPr>
          <w:t>https://doi.org/10.4315/0362-028X.JFP-15-290</w:t>
        </w:r>
      </w:hyperlink>
    </w:p>
    <w:p w14:paraId="2DD10D4D" w14:textId="39C6EDE3" w:rsidR="00657FDB" w:rsidRPr="006032FF" w:rsidRDefault="00657FDB" w:rsidP="006032FF">
      <w:pPr>
        <w:pStyle w:val="CitaviBibliographyEntry"/>
        <w:spacing w:after="120"/>
        <w:ind w:left="0" w:firstLine="0"/>
        <w:rPr>
          <w:rFonts w:cs="Arial"/>
          <w:sz w:val="20"/>
          <w:szCs w:val="20"/>
        </w:rPr>
      </w:pPr>
      <w:bookmarkStart w:id="817" w:name="_CTVL001125ba0d4ec4c48a19a4d9bcc27f1bbb0"/>
      <w:bookmarkEnd w:id="816"/>
      <w:r w:rsidRPr="006032FF">
        <w:rPr>
          <w:rFonts w:cs="Arial"/>
          <w:sz w:val="20"/>
          <w:szCs w:val="20"/>
        </w:rPr>
        <w:t xml:space="preserve">Simpson KMJ, Hill-Cawthorne GA, Ward MP, Mor SM (2018) Diversity of </w:t>
      </w:r>
      <w:bookmarkEnd w:id="817"/>
      <w:r w:rsidRPr="006032FF">
        <w:rPr>
          <w:rFonts w:cs="Arial"/>
          <w:i/>
          <w:sz w:val="20"/>
          <w:szCs w:val="20"/>
        </w:rPr>
        <w:t xml:space="preserve">Salmonella </w:t>
      </w:r>
      <w:r w:rsidRPr="006032FF">
        <w:rPr>
          <w:rFonts w:cs="Arial"/>
          <w:sz w:val="20"/>
          <w:szCs w:val="20"/>
        </w:rPr>
        <w:t xml:space="preserve">serotypes from humans, food, domestic animals and wildlife in New South Wales, Australia. BMC Infectious Diseases 18:623. </w:t>
      </w:r>
      <w:hyperlink r:id="rId360" w:history="1">
        <w:r w:rsidR="00010BAE" w:rsidRPr="006032FF">
          <w:rPr>
            <w:rStyle w:val="Hyperlink"/>
            <w:rFonts w:cs="Arial"/>
            <w:sz w:val="20"/>
            <w:szCs w:val="20"/>
          </w:rPr>
          <w:t>https://doi.org/10.1186/s12879-018-3563-1</w:t>
        </w:r>
      </w:hyperlink>
    </w:p>
    <w:p w14:paraId="3C337C48" w14:textId="329B1923" w:rsidR="00657FDB" w:rsidRPr="006032FF" w:rsidRDefault="00657FDB" w:rsidP="006032FF">
      <w:pPr>
        <w:pStyle w:val="CitaviBibliographyEntry"/>
        <w:spacing w:after="120"/>
        <w:ind w:left="0" w:firstLine="0"/>
        <w:rPr>
          <w:rFonts w:cs="Arial"/>
          <w:sz w:val="20"/>
          <w:szCs w:val="20"/>
        </w:rPr>
      </w:pPr>
      <w:bookmarkStart w:id="818" w:name="_CTVL001bfe22ead210a4507aad03813ada84c8f"/>
      <w:r w:rsidRPr="006032FF">
        <w:rPr>
          <w:rFonts w:cs="Arial"/>
          <w:sz w:val="20"/>
          <w:szCs w:val="20"/>
        </w:rPr>
        <w:t xml:space="preserve">Singh P, Hung Y-C, Qi H (2018) Efficacy of peracetic acid in inactivating foodborne pathogens on fresh produce surface. Journal of Food Science 83:432–439. </w:t>
      </w:r>
      <w:hyperlink r:id="rId361" w:history="1">
        <w:r w:rsidR="00010BAE" w:rsidRPr="006032FF">
          <w:rPr>
            <w:rStyle w:val="Hyperlink"/>
            <w:rFonts w:cs="Arial"/>
            <w:sz w:val="20"/>
            <w:szCs w:val="20"/>
          </w:rPr>
          <w:t>https://doi.org/10.1111/1750-3841.14028</w:t>
        </w:r>
      </w:hyperlink>
    </w:p>
    <w:p w14:paraId="36CCC297" w14:textId="1A614365" w:rsidR="00657FDB" w:rsidRPr="006032FF" w:rsidRDefault="00657FDB" w:rsidP="006032FF">
      <w:pPr>
        <w:pStyle w:val="CitaviBibliographyEntry"/>
        <w:spacing w:after="120"/>
        <w:ind w:left="0" w:firstLine="0"/>
        <w:rPr>
          <w:rFonts w:cs="Arial"/>
          <w:sz w:val="20"/>
          <w:szCs w:val="20"/>
        </w:rPr>
      </w:pPr>
      <w:bookmarkStart w:id="819" w:name="_CTVL00102372d398c5f48d78ca0d7ee1720821a"/>
      <w:bookmarkEnd w:id="818"/>
      <w:r w:rsidRPr="006032FF">
        <w:rPr>
          <w:rFonts w:cs="Arial"/>
          <w:sz w:val="20"/>
          <w:szCs w:val="20"/>
        </w:rPr>
        <w:t xml:space="preserve">Sobsey MD, Shields PA, Hauchman FH, Hazard RL, Caton LW (1986) Survival and transport of hepatitis A virus in soils, groundwater and wastewater. Water Science &amp; Technology 18:97–106. </w:t>
      </w:r>
      <w:hyperlink r:id="rId362" w:history="1">
        <w:r w:rsidR="00010BAE" w:rsidRPr="006032FF">
          <w:rPr>
            <w:rStyle w:val="Hyperlink"/>
            <w:rFonts w:cs="Arial"/>
            <w:sz w:val="20"/>
            <w:szCs w:val="20"/>
          </w:rPr>
          <w:t>https://doi.org/10.2166/wst.1986.0116</w:t>
        </w:r>
      </w:hyperlink>
    </w:p>
    <w:p w14:paraId="3C07B0C9" w14:textId="23EDDE74" w:rsidR="00657FDB" w:rsidRPr="006032FF" w:rsidRDefault="00657FDB" w:rsidP="006032FF">
      <w:pPr>
        <w:pStyle w:val="CitaviBibliographyEntry"/>
        <w:spacing w:after="120"/>
        <w:ind w:left="0" w:firstLine="0"/>
        <w:rPr>
          <w:rFonts w:cs="Arial"/>
          <w:sz w:val="20"/>
          <w:szCs w:val="20"/>
        </w:rPr>
      </w:pPr>
      <w:bookmarkStart w:id="820" w:name="_CTVL00158250fd39fd44a4493bc2649b02a330a"/>
      <w:bookmarkEnd w:id="819"/>
      <w:r w:rsidRPr="006032FF">
        <w:rPr>
          <w:rFonts w:cs="Arial"/>
          <w:sz w:val="20"/>
          <w:szCs w:val="20"/>
        </w:rPr>
        <w:t xml:space="preserve">Solomon EB, Potenski CJ, Matthews KR (2002a) Effect of irrigation method on transmission to and persistence of </w:t>
      </w:r>
      <w:bookmarkEnd w:id="820"/>
      <w:r w:rsidRPr="006032FF">
        <w:rPr>
          <w:rFonts w:cs="Arial"/>
          <w:i/>
          <w:sz w:val="20"/>
          <w:szCs w:val="20"/>
        </w:rPr>
        <w:t xml:space="preserve">Escherichia coli </w:t>
      </w:r>
      <w:r w:rsidRPr="006032FF">
        <w:rPr>
          <w:rFonts w:cs="Arial"/>
          <w:sz w:val="20"/>
          <w:szCs w:val="20"/>
        </w:rPr>
        <w:t xml:space="preserve">O157:H7 on lettuce. Journal of Food Protection 65:673–676. </w:t>
      </w:r>
      <w:hyperlink r:id="rId363" w:history="1">
        <w:r w:rsidR="00010BAE" w:rsidRPr="006032FF">
          <w:rPr>
            <w:rStyle w:val="Hyperlink"/>
            <w:rFonts w:cs="Arial"/>
            <w:sz w:val="20"/>
            <w:szCs w:val="20"/>
          </w:rPr>
          <w:t>https://doi.org/10.4315/0362-028X-65.4.673</w:t>
        </w:r>
      </w:hyperlink>
    </w:p>
    <w:p w14:paraId="5320C5B5" w14:textId="53420523" w:rsidR="00657FDB" w:rsidRPr="006032FF" w:rsidRDefault="00657FDB" w:rsidP="006032FF">
      <w:pPr>
        <w:pStyle w:val="CitaviBibliographyEntry"/>
        <w:spacing w:after="120"/>
        <w:ind w:left="0" w:firstLine="0"/>
        <w:rPr>
          <w:rFonts w:cs="Arial"/>
          <w:sz w:val="20"/>
          <w:szCs w:val="20"/>
        </w:rPr>
      </w:pPr>
      <w:bookmarkStart w:id="821" w:name="_CTVL00119221796be364521a8a5e33b42266567"/>
      <w:r w:rsidRPr="006032FF">
        <w:rPr>
          <w:rFonts w:cs="Arial"/>
          <w:sz w:val="20"/>
          <w:szCs w:val="20"/>
        </w:rPr>
        <w:t xml:space="preserve">Solomon EB, Yaron S, Matthews KR (2002b) Transmission of </w:t>
      </w:r>
      <w:bookmarkEnd w:id="821"/>
      <w:r w:rsidRPr="006032FF">
        <w:rPr>
          <w:rFonts w:cs="Arial"/>
          <w:i/>
          <w:sz w:val="20"/>
          <w:szCs w:val="20"/>
        </w:rPr>
        <w:t xml:space="preserve">Escherichia coli </w:t>
      </w:r>
      <w:r w:rsidRPr="006032FF">
        <w:rPr>
          <w:rFonts w:cs="Arial"/>
          <w:sz w:val="20"/>
          <w:szCs w:val="20"/>
        </w:rPr>
        <w:t xml:space="preserve">O157:H7 from contaminated manure and irrigation water to lettuce plant tissue and its subsequent internalization. Applied and Environmental Microbiology 68:397–400. </w:t>
      </w:r>
      <w:hyperlink r:id="rId364" w:history="1">
        <w:r w:rsidR="00010BAE" w:rsidRPr="006032FF">
          <w:rPr>
            <w:rStyle w:val="Hyperlink"/>
            <w:rFonts w:cs="Arial"/>
            <w:sz w:val="20"/>
            <w:szCs w:val="20"/>
          </w:rPr>
          <w:t>https://doi.org/10.1128/AEM.68.1.397-400.2002</w:t>
        </w:r>
      </w:hyperlink>
    </w:p>
    <w:p w14:paraId="5B0E1E6A" w14:textId="6FCCD9F4" w:rsidR="00657FDB" w:rsidRPr="006032FF" w:rsidRDefault="00657FDB" w:rsidP="006032FF">
      <w:pPr>
        <w:pStyle w:val="CitaviBibliographyEntry"/>
        <w:spacing w:after="120"/>
        <w:ind w:left="0" w:firstLine="0"/>
        <w:rPr>
          <w:rFonts w:cs="Arial"/>
          <w:sz w:val="20"/>
          <w:szCs w:val="20"/>
        </w:rPr>
      </w:pPr>
      <w:bookmarkStart w:id="822" w:name="_CTVL001af0f3c06c4584a0187bea73f6dbd7e86"/>
      <w:r w:rsidRPr="006032FF">
        <w:rPr>
          <w:rFonts w:cs="Arial"/>
          <w:sz w:val="20"/>
          <w:szCs w:val="20"/>
        </w:rPr>
        <w:t xml:space="preserve">Solomon EB, Huang L, Sites JE, Annous BA (2006) Thermal inactivation of </w:t>
      </w:r>
      <w:bookmarkEnd w:id="822"/>
      <w:r w:rsidRPr="006032FF">
        <w:rPr>
          <w:rFonts w:cs="Arial"/>
          <w:i/>
          <w:sz w:val="20"/>
          <w:szCs w:val="20"/>
        </w:rPr>
        <w:t xml:space="preserve">Salmonella </w:t>
      </w:r>
      <w:r w:rsidRPr="006032FF">
        <w:rPr>
          <w:rFonts w:cs="Arial"/>
          <w:sz w:val="20"/>
          <w:szCs w:val="20"/>
        </w:rPr>
        <w:t xml:space="preserve">on cantaloupes using hot water. Journal of Food Science 71:M25-M30. </w:t>
      </w:r>
      <w:hyperlink r:id="rId365" w:history="1">
        <w:r w:rsidR="00010BAE" w:rsidRPr="006032FF">
          <w:rPr>
            <w:rStyle w:val="Hyperlink"/>
            <w:rFonts w:cs="Arial"/>
            <w:sz w:val="20"/>
            <w:szCs w:val="20"/>
          </w:rPr>
          <w:t>https://doi.org/10.1111/j.1365-2621.2006.tb08903.x|</w:t>
        </w:r>
      </w:hyperlink>
    </w:p>
    <w:p w14:paraId="47D9D30B" w14:textId="36A9D1D9" w:rsidR="00657FDB" w:rsidRPr="006032FF" w:rsidRDefault="00657FDB" w:rsidP="006032FF">
      <w:pPr>
        <w:pStyle w:val="CitaviBibliographyEntry"/>
        <w:spacing w:after="120"/>
        <w:ind w:left="0" w:firstLine="0"/>
        <w:rPr>
          <w:rFonts w:cs="Arial"/>
          <w:sz w:val="20"/>
          <w:szCs w:val="20"/>
        </w:rPr>
      </w:pPr>
      <w:bookmarkStart w:id="823" w:name="_CTVL001daed0a0e5cf745c6836e32e8ca2d4829"/>
      <w:r w:rsidRPr="006032FF">
        <w:rPr>
          <w:rFonts w:cs="Arial"/>
          <w:sz w:val="20"/>
          <w:szCs w:val="20"/>
        </w:rPr>
        <w:t xml:space="preserve">Song H, Yoon J-H, Choi Y-S, Han A, Kim J-Y, Kim J-H, Hyun J-E, Bae Y-M, Amdadul Huq M, Choi C, Park K-H, Lee S-Y (2019) Evaluation of the microbial contamination of fresh produces and their cultivation environments from farms in Korea. Food Science and Biotechnology 28:1265–1274. </w:t>
      </w:r>
      <w:hyperlink r:id="rId366" w:history="1">
        <w:r w:rsidR="00010BAE" w:rsidRPr="006032FF">
          <w:rPr>
            <w:rStyle w:val="Hyperlink"/>
            <w:rFonts w:cs="Arial"/>
            <w:sz w:val="20"/>
            <w:szCs w:val="20"/>
          </w:rPr>
          <w:t>https://doi.org/10.1007/s10068-019-00570-3</w:t>
        </w:r>
      </w:hyperlink>
    </w:p>
    <w:p w14:paraId="68D7B436" w14:textId="77777777" w:rsidR="00657FDB" w:rsidRPr="006032FF" w:rsidRDefault="00657FDB" w:rsidP="006032FF">
      <w:pPr>
        <w:pStyle w:val="CitaviBibliographyEntry"/>
        <w:spacing w:after="120"/>
        <w:ind w:left="0" w:firstLine="0"/>
        <w:rPr>
          <w:rFonts w:cs="Arial"/>
          <w:sz w:val="20"/>
          <w:szCs w:val="20"/>
        </w:rPr>
      </w:pPr>
      <w:bookmarkStart w:id="824" w:name="_CTVL00178f22aca0ee248d39c22d60732027d5b"/>
      <w:bookmarkEnd w:id="823"/>
      <w:r w:rsidRPr="006032FF">
        <w:rPr>
          <w:rFonts w:cs="Arial"/>
          <w:sz w:val="20"/>
          <w:szCs w:val="20"/>
        </w:rPr>
        <w:t xml:space="preserve">Stafford RJ, McCall BJ, Neill AS, Leon DS, Dorricott GJ, Towner CD, Micalizzi GR (2002) A statewide outbreak of </w:t>
      </w:r>
      <w:bookmarkEnd w:id="824"/>
      <w:r w:rsidRPr="006032FF">
        <w:rPr>
          <w:rFonts w:cs="Arial"/>
          <w:i/>
          <w:sz w:val="20"/>
          <w:szCs w:val="20"/>
        </w:rPr>
        <w:t xml:space="preserve">Salmonella </w:t>
      </w:r>
      <w:r w:rsidRPr="006032FF">
        <w:rPr>
          <w:rFonts w:cs="Arial"/>
          <w:sz w:val="20"/>
          <w:szCs w:val="20"/>
        </w:rPr>
        <w:t>Bovismorbificans phage type 32 infection in Queensland. Communicable Diseases Intelligence 26:568–573</w:t>
      </w:r>
    </w:p>
    <w:p w14:paraId="1DEAD750" w14:textId="6E6492C2" w:rsidR="00657FDB" w:rsidRPr="006032FF" w:rsidRDefault="00657FDB" w:rsidP="006032FF">
      <w:pPr>
        <w:pStyle w:val="CitaviBibliographyEntry"/>
        <w:spacing w:after="120"/>
        <w:ind w:left="0" w:firstLine="0"/>
        <w:rPr>
          <w:rFonts w:cs="Arial"/>
          <w:sz w:val="20"/>
          <w:szCs w:val="20"/>
        </w:rPr>
      </w:pPr>
      <w:bookmarkStart w:id="825" w:name="_CTVL00147d8cbbada76435dadf0110307202783"/>
      <w:r w:rsidRPr="006032FF">
        <w:rPr>
          <w:rFonts w:cs="Arial"/>
          <w:sz w:val="20"/>
          <w:szCs w:val="20"/>
        </w:rPr>
        <w:t xml:space="preserve">Standing T-A, Du Plessis E, Duvenage S, Korsten L (2013) Internalisation potential of </w:t>
      </w:r>
      <w:bookmarkEnd w:id="825"/>
      <w:r w:rsidR="00FA76C9">
        <w:rPr>
          <w:rFonts w:cs="Arial"/>
          <w:i/>
          <w:sz w:val="20"/>
          <w:szCs w:val="20"/>
        </w:rPr>
        <w:t>Escherichia coli </w:t>
      </w:r>
      <w:r w:rsidRPr="006032FF">
        <w:rPr>
          <w:rFonts w:cs="Arial"/>
          <w:sz w:val="20"/>
          <w:szCs w:val="20"/>
        </w:rPr>
        <w:t xml:space="preserve">O157:H7, </w:t>
      </w:r>
      <w:r w:rsidRPr="006032FF">
        <w:rPr>
          <w:rFonts w:cs="Arial"/>
          <w:i/>
          <w:sz w:val="20"/>
          <w:szCs w:val="20"/>
        </w:rPr>
        <w:t>Listeria monocytogenes</w:t>
      </w:r>
      <w:r w:rsidRPr="006032FF">
        <w:rPr>
          <w:rFonts w:cs="Arial"/>
          <w:sz w:val="20"/>
          <w:szCs w:val="20"/>
        </w:rPr>
        <w:t xml:space="preserve">, </w:t>
      </w:r>
      <w:r w:rsidRPr="006032FF">
        <w:rPr>
          <w:rFonts w:cs="Arial"/>
          <w:i/>
          <w:sz w:val="20"/>
          <w:szCs w:val="20"/>
        </w:rPr>
        <w:t xml:space="preserve">Salmonella enterica </w:t>
      </w:r>
      <w:r w:rsidRPr="006032FF">
        <w:rPr>
          <w:rFonts w:cs="Arial"/>
          <w:sz w:val="20"/>
          <w:szCs w:val="20"/>
        </w:rPr>
        <w:t xml:space="preserve">subsp. enterica serovar Typhimurium and </w:t>
      </w:r>
      <w:r w:rsidRPr="006032FF">
        <w:rPr>
          <w:rFonts w:cs="Arial"/>
          <w:i/>
          <w:sz w:val="20"/>
          <w:szCs w:val="20"/>
        </w:rPr>
        <w:t xml:space="preserve">Staphylococcus aureus </w:t>
      </w:r>
      <w:r w:rsidRPr="006032FF">
        <w:rPr>
          <w:rFonts w:cs="Arial"/>
          <w:sz w:val="20"/>
          <w:szCs w:val="20"/>
        </w:rPr>
        <w:t xml:space="preserve">in lettuce seedlings and mature plants. Journal of Water &amp; Health 11:210–223. </w:t>
      </w:r>
      <w:hyperlink r:id="rId367" w:history="1">
        <w:r w:rsidR="00010BAE" w:rsidRPr="006032FF">
          <w:rPr>
            <w:rStyle w:val="Hyperlink"/>
            <w:rFonts w:cs="Arial"/>
            <w:sz w:val="20"/>
            <w:szCs w:val="20"/>
          </w:rPr>
          <w:t>https://doi.org/10.2166/wh.2013.164</w:t>
        </w:r>
      </w:hyperlink>
    </w:p>
    <w:p w14:paraId="2BE0C777" w14:textId="6C006D3D" w:rsidR="00657FDB" w:rsidRPr="006032FF" w:rsidRDefault="00657FDB" w:rsidP="006032FF">
      <w:pPr>
        <w:pStyle w:val="CitaviBibliographyEntry"/>
        <w:spacing w:after="120"/>
        <w:ind w:left="0" w:firstLine="0"/>
        <w:rPr>
          <w:rFonts w:cs="Arial"/>
          <w:sz w:val="20"/>
          <w:szCs w:val="20"/>
        </w:rPr>
      </w:pPr>
      <w:bookmarkStart w:id="826" w:name="_CTVL001216886e6a57b44c1998e2eda5d85f3a8"/>
      <w:r w:rsidRPr="006032FF">
        <w:rPr>
          <w:rFonts w:cs="Arial"/>
          <w:sz w:val="20"/>
          <w:szCs w:val="20"/>
        </w:rPr>
        <w:t>Stewart D, Reineke K, Ulaszek J, Fu T, Tortorello M (2001a) Growth of</w:t>
      </w:r>
      <w:bookmarkEnd w:id="826"/>
      <w:r w:rsidRPr="006032FF">
        <w:rPr>
          <w:rFonts w:cs="Arial"/>
          <w:i/>
          <w:sz w:val="20"/>
          <w:szCs w:val="20"/>
        </w:rPr>
        <w:t xml:space="preserve"> Escherichia coli </w:t>
      </w:r>
      <w:r w:rsidRPr="006032FF">
        <w:rPr>
          <w:rFonts w:cs="Arial"/>
          <w:sz w:val="20"/>
          <w:szCs w:val="20"/>
        </w:rPr>
        <w:t xml:space="preserve">O157:H7 during sprouting of alfalfa seeds. Letters in Applied Microbiology 33:95–99. </w:t>
      </w:r>
      <w:hyperlink r:id="rId368" w:history="1">
        <w:r w:rsidR="00010BAE" w:rsidRPr="006032FF">
          <w:rPr>
            <w:rStyle w:val="Hyperlink"/>
            <w:rFonts w:cs="Arial"/>
            <w:sz w:val="20"/>
            <w:szCs w:val="20"/>
          </w:rPr>
          <w:t>https://doi.org/10.1046/j.1472-765x.2001.00957.x|</w:t>
        </w:r>
      </w:hyperlink>
    </w:p>
    <w:p w14:paraId="0AB7AEBC" w14:textId="77777777" w:rsidR="00455A97" w:rsidRDefault="00455A97">
      <w:pPr>
        <w:widowControl/>
        <w:rPr>
          <w:rFonts w:cs="Arial"/>
          <w:color w:val="000000" w:themeColor="text1"/>
          <w:sz w:val="20"/>
          <w:szCs w:val="20"/>
        </w:rPr>
      </w:pPr>
      <w:bookmarkStart w:id="827" w:name="_CTVL001d180e93f540a41a38202c07d68574cd6"/>
      <w:r>
        <w:rPr>
          <w:rFonts w:cs="Arial"/>
          <w:sz w:val="20"/>
          <w:szCs w:val="20"/>
        </w:rPr>
        <w:br w:type="page"/>
      </w:r>
    </w:p>
    <w:p w14:paraId="57F06B5E" w14:textId="17895612"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Stewart DS, Reineke KF, Ulaszek JM, Tortorello ML (2001b) Growth of </w:t>
      </w:r>
      <w:bookmarkEnd w:id="827"/>
      <w:r w:rsidRPr="006032FF">
        <w:rPr>
          <w:rFonts w:cs="Arial"/>
          <w:i/>
          <w:sz w:val="20"/>
          <w:szCs w:val="20"/>
        </w:rPr>
        <w:t xml:space="preserve">Salmonella </w:t>
      </w:r>
      <w:r w:rsidRPr="006032FF">
        <w:rPr>
          <w:rFonts w:cs="Arial"/>
          <w:sz w:val="20"/>
          <w:szCs w:val="20"/>
        </w:rPr>
        <w:t xml:space="preserve">during sprouting of alfalfa seeds associated with salmonellosis outbreaks. Journal of Food Protection 64:618–622. </w:t>
      </w:r>
      <w:hyperlink r:id="rId369" w:history="1">
        <w:r w:rsidR="00010BAE" w:rsidRPr="006032FF">
          <w:rPr>
            <w:rStyle w:val="Hyperlink"/>
            <w:rFonts w:cs="Arial"/>
            <w:sz w:val="20"/>
            <w:szCs w:val="20"/>
          </w:rPr>
          <w:t>https://doi.org/10.4315/0362-028x-64.5.618</w:t>
        </w:r>
      </w:hyperlink>
    </w:p>
    <w:p w14:paraId="6CF9432F" w14:textId="4BE41EEA" w:rsidR="00657FDB" w:rsidRPr="006032FF" w:rsidRDefault="00657FDB" w:rsidP="006032FF">
      <w:pPr>
        <w:pStyle w:val="CitaviBibliographyEntry"/>
        <w:spacing w:after="120"/>
        <w:ind w:left="0" w:firstLine="0"/>
        <w:rPr>
          <w:rFonts w:cs="Arial"/>
          <w:sz w:val="20"/>
          <w:szCs w:val="20"/>
        </w:rPr>
      </w:pPr>
      <w:bookmarkStart w:id="828" w:name="_CTVL001828351186cab465f8a4b77cd616618f7"/>
      <w:r w:rsidRPr="006032FF">
        <w:rPr>
          <w:rFonts w:cs="Arial"/>
          <w:sz w:val="20"/>
          <w:szCs w:val="20"/>
        </w:rPr>
        <w:t xml:space="preserve">Strawberries Australia (2013) About strawberries. </w:t>
      </w:r>
      <w:hyperlink r:id="rId370" w:history="1">
        <w:r w:rsidR="00010BAE" w:rsidRPr="006032FF">
          <w:rPr>
            <w:rStyle w:val="Hyperlink"/>
            <w:rFonts w:cs="Arial"/>
            <w:sz w:val="20"/>
            <w:szCs w:val="20"/>
          </w:rPr>
          <w:t>http://www.strawberriesaustralia.com.au/6836950/strawberries-australia-about-strawberries.htm</w:t>
        </w:r>
      </w:hyperlink>
      <w:r w:rsidRPr="006032FF">
        <w:rPr>
          <w:rFonts w:cs="Arial"/>
          <w:sz w:val="20"/>
          <w:szCs w:val="20"/>
        </w:rPr>
        <w:t>. Accessed 30 May 2019</w:t>
      </w:r>
    </w:p>
    <w:p w14:paraId="7571497F" w14:textId="499E9E5B" w:rsidR="00657FDB" w:rsidRPr="006032FF" w:rsidRDefault="00657FDB" w:rsidP="006032FF">
      <w:pPr>
        <w:pStyle w:val="CitaviBibliographyEntry"/>
        <w:spacing w:after="120"/>
        <w:ind w:left="0" w:firstLine="0"/>
        <w:rPr>
          <w:rFonts w:cs="Arial"/>
          <w:sz w:val="20"/>
          <w:szCs w:val="20"/>
        </w:rPr>
      </w:pPr>
      <w:bookmarkStart w:id="829" w:name="_CTVL0010149b232cd004461a0424060a553c4be"/>
      <w:bookmarkEnd w:id="828"/>
      <w:r w:rsidRPr="006032FF">
        <w:rPr>
          <w:rFonts w:cs="Arial"/>
          <w:sz w:val="20"/>
          <w:szCs w:val="20"/>
        </w:rPr>
        <w:t xml:space="preserve">Strawn LK, Fortes ED, Bihn EA, Nightingale KK, Groehn YT, Worobo RW, Wiedmann M, Bergholz PW (2013) Landscape and meteorological factors affecting prevalence of three food-borne pathogens in fruit and vegetable farms. Applied and Environmental Microbiology 79:588–600. </w:t>
      </w:r>
      <w:hyperlink r:id="rId371" w:history="1">
        <w:r w:rsidR="00010BAE" w:rsidRPr="006032FF">
          <w:rPr>
            <w:rStyle w:val="Hyperlink"/>
            <w:rFonts w:cs="Arial"/>
            <w:sz w:val="20"/>
            <w:szCs w:val="20"/>
          </w:rPr>
          <w:t>https://doi.org/10.1128/AEM.02491-12</w:t>
        </w:r>
      </w:hyperlink>
    </w:p>
    <w:p w14:paraId="76A03305" w14:textId="77777777" w:rsidR="00657FDB" w:rsidRPr="006032FF" w:rsidRDefault="00657FDB" w:rsidP="006032FF">
      <w:pPr>
        <w:pStyle w:val="CitaviBibliographyEntry"/>
        <w:spacing w:after="120"/>
        <w:ind w:left="0" w:firstLine="0"/>
        <w:rPr>
          <w:rFonts w:cs="Arial"/>
          <w:sz w:val="20"/>
          <w:szCs w:val="20"/>
        </w:rPr>
      </w:pPr>
      <w:bookmarkStart w:id="830" w:name="_CTVL0016d34fa546a5b4082ad3b594495e3c8a2"/>
      <w:bookmarkEnd w:id="829"/>
      <w:r w:rsidRPr="006032FF">
        <w:rPr>
          <w:rFonts w:cs="Arial"/>
          <w:sz w:val="20"/>
          <w:szCs w:val="20"/>
        </w:rPr>
        <w:t>Suslow T (1997) Postharvest chlorination: Basic properties &amp; key points for effective distribution. University of California, Oakland</w:t>
      </w:r>
    </w:p>
    <w:p w14:paraId="09006DB3" w14:textId="7494B6F4" w:rsidR="00657FDB" w:rsidRPr="006032FF" w:rsidRDefault="00657FDB" w:rsidP="006032FF">
      <w:pPr>
        <w:pStyle w:val="CitaviBibliographyEntry"/>
        <w:spacing w:after="120"/>
        <w:ind w:left="0" w:firstLine="0"/>
        <w:rPr>
          <w:rFonts w:cs="Arial"/>
          <w:sz w:val="20"/>
          <w:szCs w:val="20"/>
        </w:rPr>
      </w:pPr>
      <w:bookmarkStart w:id="831" w:name="_CTVL001912566d9907a4998b1622c964a214ba8"/>
      <w:bookmarkEnd w:id="830"/>
      <w:r w:rsidRPr="006032FF">
        <w:rPr>
          <w:rFonts w:cs="Arial"/>
          <w:sz w:val="20"/>
          <w:szCs w:val="20"/>
        </w:rPr>
        <w:t xml:space="preserve">Svoboda A, Shaw A, Dzubak J, Mendonca A, Wilson L, Nair A (2016) Effectiveness of broad-spectrum chemical produce sanitizers against foodborne pathogens as in vitro planktonic cells and on the surface of whole cantaloupes and watermelons. Journal of Food Protection 79:524–530. </w:t>
      </w:r>
      <w:hyperlink r:id="rId372" w:history="1">
        <w:r w:rsidR="00010BAE" w:rsidRPr="006032FF">
          <w:rPr>
            <w:rStyle w:val="Hyperlink"/>
            <w:rFonts w:cs="Arial"/>
            <w:sz w:val="20"/>
            <w:szCs w:val="20"/>
          </w:rPr>
          <w:t>https://doi.org/10.4315/0362-028X.JFP-15-490</w:t>
        </w:r>
      </w:hyperlink>
    </w:p>
    <w:p w14:paraId="4FDDD131" w14:textId="61B98A36" w:rsidR="00657FDB" w:rsidRPr="006032FF" w:rsidRDefault="00657FDB" w:rsidP="006032FF">
      <w:pPr>
        <w:pStyle w:val="CitaviBibliographyEntry"/>
        <w:spacing w:after="120"/>
        <w:ind w:left="0" w:firstLine="0"/>
        <w:rPr>
          <w:rFonts w:cs="Arial"/>
          <w:sz w:val="20"/>
          <w:szCs w:val="20"/>
        </w:rPr>
      </w:pPr>
      <w:bookmarkStart w:id="832" w:name="_CTVL0019265e94b94e144b492f6f3414c36d5bf"/>
      <w:bookmarkEnd w:id="831"/>
      <w:r w:rsidRPr="006032FF">
        <w:rPr>
          <w:rFonts w:cs="Arial"/>
          <w:sz w:val="20"/>
          <w:szCs w:val="20"/>
        </w:rPr>
        <w:t xml:space="preserve">Szczech M, Kowalska B, Smolińska U, Maciorowski R, Oskiera M, Michalska A (2018) Microbial quality of organic and conventional vegetables from Polish farms. International Journal of Food Microbiology 286:155–161. </w:t>
      </w:r>
      <w:hyperlink r:id="rId373" w:history="1">
        <w:r w:rsidR="00010BAE" w:rsidRPr="006032FF">
          <w:rPr>
            <w:rStyle w:val="Hyperlink"/>
            <w:rFonts w:cs="Arial"/>
            <w:sz w:val="20"/>
            <w:szCs w:val="20"/>
          </w:rPr>
          <w:t>https://doi.org/10.1016/j.ijfoodmicro.2018.08.018</w:t>
        </w:r>
      </w:hyperlink>
    </w:p>
    <w:p w14:paraId="59EB5726" w14:textId="523F7CA2" w:rsidR="00657FDB" w:rsidRPr="006032FF" w:rsidRDefault="00657FDB" w:rsidP="006032FF">
      <w:pPr>
        <w:pStyle w:val="CitaviBibliographyEntry"/>
        <w:spacing w:after="120"/>
        <w:ind w:left="0" w:firstLine="0"/>
        <w:rPr>
          <w:rFonts w:cs="Arial"/>
          <w:sz w:val="20"/>
          <w:szCs w:val="20"/>
        </w:rPr>
      </w:pPr>
      <w:bookmarkStart w:id="833" w:name="_CTVL001a885b8f2d9054467b6c82f729ec25942"/>
      <w:bookmarkEnd w:id="832"/>
      <w:r w:rsidRPr="006032FF">
        <w:rPr>
          <w:rFonts w:cs="Arial"/>
          <w:sz w:val="20"/>
          <w:szCs w:val="20"/>
        </w:rPr>
        <w:t xml:space="preserve">Tadmor Z, Sachs K, Chet I, Spiegel Y, Ravina I, Manor G, Yannai S (2005) An innovative approach: The use of di-nitrogen tetroxide for soil fumigation. Biosystems engineering 91:413–419. </w:t>
      </w:r>
      <w:hyperlink r:id="rId374" w:history="1">
        <w:r w:rsidR="00010BAE" w:rsidRPr="006032FF">
          <w:rPr>
            <w:rStyle w:val="Hyperlink"/>
            <w:rFonts w:cs="Arial"/>
            <w:sz w:val="20"/>
            <w:szCs w:val="20"/>
          </w:rPr>
          <w:t>https://doi.org/10.1016/j.biosystemseng.2005.04.006</w:t>
        </w:r>
      </w:hyperlink>
    </w:p>
    <w:p w14:paraId="39E15010" w14:textId="6414A399" w:rsidR="00657FDB" w:rsidRPr="006032FF" w:rsidRDefault="00657FDB" w:rsidP="006032FF">
      <w:pPr>
        <w:pStyle w:val="CitaviBibliographyEntry"/>
        <w:spacing w:after="120"/>
        <w:ind w:left="0" w:firstLine="0"/>
        <w:rPr>
          <w:rFonts w:cs="Arial"/>
          <w:sz w:val="20"/>
          <w:szCs w:val="20"/>
        </w:rPr>
      </w:pPr>
      <w:bookmarkStart w:id="834" w:name="_CTVL00156844dea80064727a061c85a5cbd9968"/>
      <w:bookmarkEnd w:id="833"/>
      <w:r w:rsidRPr="006032FF">
        <w:rPr>
          <w:rFonts w:cs="Arial"/>
          <w:sz w:val="20"/>
          <w:szCs w:val="20"/>
        </w:rPr>
        <w:t>Takeuchi K, Frank JF (2000) Penetration of</w:t>
      </w:r>
      <w:bookmarkEnd w:id="834"/>
      <w:r w:rsidRPr="006032FF">
        <w:rPr>
          <w:rFonts w:cs="Arial"/>
          <w:i/>
          <w:sz w:val="20"/>
          <w:szCs w:val="20"/>
        </w:rPr>
        <w:t xml:space="preserve"> Escherichia coli </w:t>
      </w:r>
      <w:r w:rsidRPr="006032FF">
        <w:rPr>
          <w:rFonts w:cs="Arial"/>
          <w:sz w:val="20"/>
          <w:szCs w:val="20"/>
        </w:rPr>
        <w:t xml:space="preserve">O157:H7 into lettuce tissues as affected by inoculum size and temperature and the effect of chlorine treatment on cell viability. Journal of Food Protection 63:434–440. </w:t>
      </w:r>
      <w:hyperlink r:id="rId375" w:history="1">
        <w:r w:rsidR="00010BAE" w:rsidRPr="006032FF">
          <w:rPr>
            <w:rStyle w:val="Hyperlink"/>
            <w:rFonts w:cs="Arial"/>
            <w:sz w:val="20"/>
            <w:szCs w:val="20"/>
          </w:rPr>
          <w:t>https://doi.org/10.4315/0362-028X-63.4.434</w:t>
        </w:r>
      </w:hyperlink>
    </w:p>
    <w:p w14:paraId="13D19D9B" w14:textId="70727C84" w:rsidR="00657FDB" w:rsidRPr="006032FF" w:rsidRDefault="00657FDB" w:rsidP="006032FF">
      <w:pPr>
        <w:pStyle w:val="CitaviBibliographyEntry"/>
        <w:spacing w:after="120"/>
        <w:ind w:left="0" w:firstLine="0"/>
        <w:rPr>
          <w:rFonts w:cs="Arial"/>
          <w:sz w:val="20"/>
          <w:szCs w:val="20"/>
        </w:rPr>
      </w:pPr>
      <w:bookmarkStart w:id="835" w:name="_CTVL00164cc07462b6641f8b7333432aadeee87"/>
      <w:r w:rsidRPr="006032FF">
        <w:rPr>
          <w:rFonts w:cs="Arial"/>
          <w:sz w:val="20"/>
          <w:szCs w:val="20"/>
        </w:rPr>
        <w:t xml:space="preserve">Takeuchi K, Matute CM, Hassan AN, Frank JF (2000) Comparison of the attachment of </w:t>
      </w:r>
      <w:bookmarkEnd w:id="835"/>
      <w:r w:rsidR="00F87CC5">
        <w:rPr>
          <w:rFonts w:cs="Arial"/>
          <w:i/>
          <w:sz w:val="20"/>
          <w:szCs w:val="20"/>
        </w:rPr>
        <w:t>Escherichia </w:t>
      </w:r>
      <w:r w:rsidRPr="006032FF">
        <w:rPr>
          <w:rFonts w:cs="Arial"/>
          <w:i/>
          <w:sz w:val="20"/>
          <w:szCs w:val="20"/>
        </w:rPr>
        <w:t xml:space="preserve">coli </w:t>
      </w:r>
      <w:r w:rsidRPr="006032FF">
        <w:rPr>
          <w:rFonts w:cs="Arial"/>
          <w:sz w:val="20"/>
          <w:szCs w:val="20"/>
        </w:rPr>
        <w:t xml:space="preserve">O157:H7, </w:t>
      </w:r>
      <w:r w:rsidRPr="006032FF">
        <w:rPr>
          <w:rFonts w:cs="Arial"/>
          <w:i/>
          <w:sz w:val="20"/>
          <w:szCs w:val="20"/>
        </w:rPr>
        <w:t>Listeria monocytogenes</w:t>
      </w:r>
      <w:r w:rsidRPr="006032FF">
        <w:rPr>
          <w:rFonts w:cs="Arial"/>
          <w:sz w:val="20"/>
          <w:szCs w:val="20"/>
        </w:rPr>
        <w:t xml:space="preserve">, </w:t>
      </w:r>
      <w:r w:rsidRPr="006032FF">
        <w:rPr>
          <w:rFonts w:cs="Arial"/>
          <w:i/>
          <w:sz w:val="20"/>
          <w:szCs w:val="20"/>
        </w:rPr>
        <w:t xml:space="preserve">Salmonella </w:t>
      </w:r>
      <w:r w:rsidRPr="006032FF">
        <w:rPr>
          <w:rFonts w:cs="Arial"/>
          <w:sz w:val="20"/>
          <w:szCs w:val="20"/>
        </w:rPr>
        <w:t xml:space="preserve">Typhimurium, and </w:t>
      </w:r>
      <w:r w:rsidR="00F87CC5">
        <w:rPr>
          <w:rFonts w:cs="Arial"/>
          <w:i/>
          <w:sz w:val="20"/>
          <w:szCs w:val="20"/>
        </w:rPr>
        <w:t>Pseudomonas </w:t>
      </w:r>
      <w:r w:rsidRPr="006032FF">
        <w:rPr>
          <w:rFonts w:cs="Arial"/>
          <w:i/>
          <w:sz w:val="20"/>
          <w:szCs w:val="20"/>
        </w:rPr>
        <w:t xml:space="preserve">fluorescens </w:t>
      </w:r>
      <w:r w:rsidRPr="006032FF">
        <w:rPr>
          <w:rFonts w:cs="Arial"/>
          <w:sz w:val="20"/>
          <w:szCs w:val="20"/>
        </w:rPr>
        <w:t xml:space="preserve">to lettuce leaves. Journal of Food Protection 63:1433–1437. </w:t>
      </w:r>
      <w:hyperlink r:id="rId376" w:history="1">
        <w:r w:rsidR="00010BAE" w:rsidRPr="006032FF">
          <w:rPr>
            <w:rStyle w:val="Hyperlink"/>
            <w:rFonts w:cs="Arial"/>
            <w:sz w:val="20"/>
            <w:szCs w:val="20"/>
          </w:rPr>
          <w:t>https://doi.org/10.4315/0362-028x-63.10.1433</w:t>
        </w:r>
      </w:hyperlink>
      <w:r w:rsidRPr="006032FF">
        <w:rPr>
          <w:rFonts w:cs="Arial"/>
          <w:sz w:val="20"/>
          <w:szCs w:val="20"/>
        </w:rPr>
        <w:t>.</w:t>
      </w:r>
    </w:p>
    <w:p w14:paraId="62683508" w14:textId="16F2A44C" w:rsidR="00657FDB" w:rsidRPr="006032FF" w:rsidRDefault="00657FDB" w:rsidP="006032FF">
      <w:pPr>
        <w:pStyle w:val="CitaviBibliographyEntry"/>
        <w:spacing w:after="120"/>
        <w:ind w:left="0" w:firstLine="0"/>
        <w:rPr>
          <w:rFonts w:cs="Arial"/>
          <w:sz w:val="20"/>
          <w:szCs w:val="20"/>
        </w:rPr>
      </w:pPr>
      <w:bookmarkStart w:id="836" w:name="_CTVL00129922d6c1b4747e184a45da1d9de495d"/>
      <w:r w:rsidRPr="006032FF">
        <w:rPr>
          <w:rFonts w:cs="Arial"/>
          <w:sz w:val="20"/>
          <w:szCs w:val="20"/>
        </w:rPr>
        <w:t xml:space="preserve">Tango CN, Choi N-J, Chung M-S, Oh DH (2014) Bacteriological quality of vegetables from organic and conventional production in different areas of Korea. Journal of Food Protection 77:1411–1417. </w:t>
      </w:r>
      <w:hyperlink r:id="rId377" w:history="1">
        <w:r w:rsidR="00010BAE" w:rsidRPr="006032FF">
          <w:rPr>
            <w:rStyle w:val="Hyperlink"/>
            <w:rFonts w:cs="Arial"/>
            <w:sz w:val="20"/>
            <w:szCs w:val="20"/>
          </w:rPr>
          <w:t>https://doi.org/10.4315/0362-028X.JFP-13-514</w:t>
        </w:r>
      </w:hyperlink>
    </w:p>
    <w:p w14:paraId="072937AF" w14:textId="075D5D3F" w:rsidR="00657FDB" w:rsidRPr="006032FF" w:rsidRDefault="00657FDB" w:rsidP="006032FF">
      <w:pPr>
        <w:pStyle w:val="CitaviBibliographyEntry"/>
        <w:spacing w:after="120"/>
        <w:ind w:left="0" w:firstLine="0"/>
        <w:rPr>
          <w:rFonts w:cs="Arial"/>
          <w:sz w:val="20"/>
          <w:szCs w:val="20"/>
        </w:rPr>
      </w:pPr>
      <w:bookmarkStart w:id="837" w:name="_CTVL0012a63429ac2ad4b82b14967213dc65cbb"/>
      <w:bookmarkEnd w:id="836"/>
      <w:r w:rsidRPr="006032FF">
        <w:rPr>
          <w:rFonts w:cs="Arial"/>
          <w:sz w:val="20"/>
          <w:szCs w:val="20"/>
        </w:rPr>
        <w:t xml:space="preserve">Taormina PJ, Beuchat LR, Erickson MC, Ma LI, Zhang G, Doyle MP (2009) Transfer of </w:t>
      </w:r>
      <w:bookmarkEnd w:id="837"/>
      <w:r w:rsidR="00F87CC5">
        <w:rPr>
          <w:rFonts w:cs="Arial"/>
          <w:i/>
          <w:sz w:val="20"/>
          <w:szCs w:val="20"/>
        </w:rPr>
        <w:t>Escherichia </w:t>
      </w:r>
      <w:r w:rsidRPr="006032FF">
        <w:rPr>
          <w:rFonts w:cs="Arial"/>
          <w:i/>
          <w:sz w:val="20"/>
          <w:szCs w:val="20"/>
        </w:rPr>
        <w:t>coli</w:t>
      </w:r>
      <w:r w:rsidRPr="006032FF">
        <w:rPr>
          <w:rFonts w:cs="Arial"/>
          <w:sz w:val="20"/>
          <w:szCs w:val="20"/>
        </w:rPr>
        <w:t xml:space="preserve"> O157:H7 to iceberg lettuce via simulated field coring. Journal of Food Protection 72:465. </w:t>
      </w:r>
      <w:hyperlink r:id="rId378" w:history="1">
        <w:r w:rsidR="00010BAE" w:rsidRPr="006032FF">
          <w:rPr>
            <w:rStyle w:val="Hyperlink"/>
            <w:rFonts w:cs="Arial"/>
            <w:sz w:val="20"/>
            <w:szCs w:val="20"/>
          </w:rPr>
          <w:t>https://doi.org/10.4315/0362-028X-72.3.465</w:t>
        </w:r>
      </w:hyperlink>
    </w:p>
    <w:p w14:paraId="744A3C16" w14:textId="77777777" w:rsidR="00657FDB" w:rsidRPr="006032FF" w:rsidRDefault="00657FDB" w:rsidP="006032FF">
      <w:pPr>
        <w:pStyle w:val="CitaviBibliographyEntry"/>
        <w:spacing w:after="120"/>
        <w:ind w:left="0" w:firstLine="0"/>
        <w:rPr>
          <w:rFonts w:cs="Arial"/>
          <w:sz w:val="20"/>
          <w:szCs w:val="20"/>
        </w:rPr>
      </w:pPr>
      <w:bookmarkStart w:id="838" w:name="_CTVL0013c83466f20534f0f857ee503e205d693"/>
      <w:r w:rsidRPr="006032FF">
        <w:rPr>
          <w:rFonts w:cs="Arial"/>
          <w:sz w:val="20"/>
          <w:szCs w:val="20"/>
        </w:rPr>
        <w:t>Telmoudi A, Hassouna M (2015) Microbiological quality of fresh iceberg lettuce harvested in Tunisia. Journal of Pure and Applied Microbiology 9:2229–2236</w:t>
      </w:r>
    </w:p>
    <w:p w14:paraId="2B4A3D17" w14:textId="7F562A03" w:rsidR="00657FDB" w:rsidRPr="006032FF" w:rsidRDefault="00657FDB" w:rsidP="006032FF">
      <w:pPr>
        <w:pStyle w:val="CitaviBibliographyEntry"/>
        <w:spacing w:after="120"/>
        <w:ind w:left="0" w:firstLine="0"/>
        <w:rPr>
          <w:rFonts w:cs="Arial"/>
          <w:sz w:val="20"/>
          <w:szCs w:val="20"/>
        </w:rPr>
      </w:pPr>
      <w:bookmarkStart w:id="839" w:name="_CTVL001ccf30538f4d84041963d0326c5f14b3b"/>
      <w:bookmarkEnd w:id="838"/>
      <w:r w:rsidRPr="006032FF">
        <w:rPr>
          <w:rFonts w:cs="Arial"/>
          <w:sz w:val="20"/>
          <w:szCs w:val="20"/>
        </w:rPr>
        <w:t xml:space="preserve">Thi-Van N, Ross T, Chuyen HV (2019) Evaluating the efficacy of three sanitizing agents for extending the shelf life of fresh-cut baby spinach: Food safety and quality aspects. Aims Agriculture and Food 4:320–339. </w:t>
      </w:r>
      <w:hyperlink r:id="rId379" w:history="1">
        <w:r w:rsidR="00010BAE" w:rsidRPr="006032FF">
          <w:rPr>
            <w:rStyle w:val="Hyperlink"/>
            <w:rFonts w:cs="Arial"/>
            <w:sz w:val="20"/>
            <w:szCs w:val="20"/>
          </w:rPr>
          <w:t>https://doi.org/10.3934/agrfood.2019.2.320</w:t>
        </w:r>
      </w:hyperlink>
    </w:p>
    <w:p w14:paraId="47BB78D8" w14:textId="0F6323C0" w:rsidR="00657FDB" w:rsidRPr="006032FF" w:rsidRDefault="00657FDB" w:rsidP="006032FF">
      <w:pPr>
        <w:pStyle w:val="CitaviBibliographyEntry"/>
        <w:spacing w:after="120"/>
        <w:ind w:left="0" w:firstLine="0"/>
        <w:rPr>
          <w:rFonts w:cs="Arial"/>
          <w:sz w:val="20"/>
          <w:szCs w:val="20"/>
        </w:rPr>
      </w:pPr>
      <w:bookmarkStart w:id="840" w:name="_CTVL00149dc27f658974f94b638a66f3805e2a5"/>
      <w:bookmarkEnd w:id="839"/>
      <w:r w:rsidRPr="006032FF">
        <w:rPr>
          <w:rFonts w:cs="Arial"/>
          <w:sz w:val="20"/>
          <w:szCs w:val="20"/>
        </w:rPr>
        <w:t xml:space="preserve">Thurman R, Faulkner B, Veal D, Cramer G, Meiklejohn M (1998) Water quality in rural Australia. Journal of Applied Microbiology 84:627–632. </w:t>
      </w:r>
      <w:hyperlink r:id="rId380" w:history="1">
        <w:r w:rsidR="00010BAE" w:rsidRPr="006032FF">
          <w:rPr>
            <w:rStyle w:val="Hyperlink"/>
            <w:rFonts w:cs="Arial"/>
            <w:sz w:val="20"/>
            <w:szCs w:val="20"/>
          </w:rPr>
          <w:t>https://doi.org/10.1046/j.1365-2672.1998.00390.x</w:t>
        </w:r>
      </w:hyperlink>
    </w:p>
    <w:p w14:paraId="0F18610E" w14:textId="593E1ADD" w:rsidR="00657FDB" w:rsidRPr="006032FF" w:rsidRDefault="00657FDB" w:rsidP="006032FF">
      <w:pPr>
        <w:pStyle w:val="CitaviBibliographyEntry"/>
        <w:spacing w:after="120"/>
        <w:ind w:left="0" w:firstLine="0"/>
        <w:rPr>
          <w:rFonts w:cs="Arial"/>
          <w:sz w:val="20"/>
          <w:szCs w:val="20"/>
        </w:rPr>
      </w:pPr>
      <w:bookmarkStart w:id="841" w:name="_CTVL00101b94daec7284b48aaab9729ca312be3"/>
      <w:bookmarkEnd w:id="840"/>
      <w:r w:rsidRPr="006032FF">
        <w:rPr>
          <w:rFonts w:cs="Arial"/>
          <w:sz w:val="20"/>
          <w:szCs w:val="20"/>
        </w:rPr>
        <w:t xml:space="preserve">Tignat-Perrier R, Dommergue A, Thollot A, Keuschnig C, Magand O, Vogel TM, Larose C (2019) Global airborne microbial communities controlled by surrounding landscapes and wind conditions. Scientific Reports 9:14441. </w:t>
      </w:r>
      <w:hyperlink r:id="rId381" w:history="1">
        <w:r w:rsidR="00010BAE" w:rsidRPr="006032FF">
          <w:rPr>
            <w:rStyle w:val="Hyperlink"/>
            <w:rFonts w:cs="Arial"/>
            <w:sz w:val="20"/>
            <w:szCs w:val="20"/>
          </w:rPr>
          <w:t>https://doi.org/10.1038/s41598-019-51073-4</w:t>
        </w:r>
      </w:hyperlink>
    </w:p>
    <w:p w14:paraId="434CCE53" w14:textId="0AEB76EA" w:rsidR="00657FDB" w:rsidRPr="006032FF" w:rsidRDefault="00657FDB" w:rsidP="006032FF">
      <w:pPr>
        <w:pStyle w:val="CitaviBibliographyEntry"/>
        <w:spacing w:after="120"/>
        <w:ind w:left="0" w:firstLine="0"/>
        <w:rPr>
          <w:rFonts w:cs="Arial"/>
          <w:sz w:val="20"/>
          <w:szCs w:val="20"/>
        </w:rPr>
      </w:pPr>
      <w:bookmarkStart w:id="842" w:name="_CTVL0018da1e9523983493bba913a130a41d18e"/>
      <w:bookmarkEnd w:id="841"/>
      <w:r w:rsidRPr="006032FF">
        <w:rPr>
          <w:rFonts w:cs="Arial"/>
          <w:sz w:val="20"/>
          <w:szCs w:val="20"/>
        </w:rPr>
        <w:t xml:space="preserve">Tran DTQ, Bradbury MI, van Ogtrop FF, Bozkurt H, Jones BJ, McConchie R (2020) Environmental drivers for persistence of </w:t>
      </w:r>
      <w:bookmarkEnd w:id="842"/>
      <w:r w:rsidRPr="006032FF">
        <w:rPr>
          <w:rFonts w:cs="Arial"/>
          <w:i/>
          <w:sz w:val="20"/>
          <w:szCs w:val="20"/>
        </w:rPr>
        <w:t xml:space="preserve">Escherichia coli </w:t>
      </w:r>
      <w:r w:rsidRPr="006032FF">
        <w:rPr>
          <w:rFonts w:cs="Arial"/>
          <w:sz w:val="20"/>
          <w:szCs w:val="20"/>
        </w:rPr>
        <w:t xml:space="preserve">and </w:t>
      </w:r>
      <w:r w:rsidRPr="006032FF">
        <w:rPr>
          <w:rFonts w:cs="Arial"/>
          <w:i/>
          <w:sz w:val="20"/>
          <w:szCs w:val="20"/>
        </w:rPr>
        <w:t xml:space="preserve">Salmonella </w:t>
      </w:r>
      <w:r w:rsidRPr="006032FF">
        <w:rPr>
          <w:rFonts w:cs="Arial"/>
          <w:sz w:val="20"/>
          <w:szCs w:val="20"/>
        </w:rPr>
        <w:t xml:space="preserve">in manure-amended soils: A meta-analysis. Journal of Food Protection 83:1268–1277. </w:t>
      </w:r>
      <w:hyperlink r:id="rId382" w:history="1">
        <w:r w:rsidR="00010BAE" w:rsidRPr="006032FF">
          <w:rPr>
            <w:rStyle w:val="Hyperlink"/>
            <w:rFonts w:cs="Arial"/>
            <w:sz w:val="20"/>
            <w:szCs w:val="20"/>
          </w:rPr>
          <w:t>https://doi.org/10.4315/0362-028X.JFP-19-460</w:t>
        </w:r>
      </w:hyperlink>
    </w:p>
    <w:p w14:paraId="3741594F" w14:textId="634F68C2" w:rsidR="00657FDB" w:rsidRPr="006032FF" w:rsidRDefault="00657FDB" w:rsidP="006032FF">
      <w:pPr>
        <w:pStyle w:val="CitaviBibliographyEntry"/>
        <w:spacing w:after="120"/>
        <w:ind w:left="0" w:firstLine="0"/>
        <w:rPr>
          <w:rFonts w:cs="Arial"/>
          <w:sz w:val="20"/>
          <w:szCs w:val="20"/>
        </w:rPr>
      </w:pPr>
      <w:bookmarkStart w:id="843" w:name="_CTVL0011101ca1b1a974f6e94b8eb645f2acd80"/>
      <w:r w:rsidRPr="006032FF">
        <w:rPr>
          <w:rFonts w:cs="Arial"/>
          <w:sz w:val="20"/>
          <w:szCs w:val="20"/>
        </w:rPr>
        <w:t xml:space="preserve">Truchado P, Hernandez N, Gil MI, Ivanek R, Allende A (2018) Correlation between </w:t>
      </w:r>
      <w:bookmarkEnd w:id="843"/>
      <w:r w:rsidRPr="006032FF">
        <w:rPr>
          <w:rFonts w:cs="Arial"/>
          <w:i/>
          <w:sz w:val="20"/>
          <w:szCs w:val="20"/>
        </w:rPr>
        <w:t xml:space="preserve">E. coli </w:t>
      </w:r>
      <w:r w:rsidRPr="006032FF">
        <w:rPr>
          <w:rFonts w:cs="Arial"/>
          <w:sz w:val="20"/>
          <w:szCs w:val="20"/>
        </w:rPr>
        <w:t xml:space="preserve">levels and the presence of foodborne pathogens in surface irrigation water: Establishment of a sampling program. Water Research 128:226–233. </w:t>
      </w:r>
      <w:hyperlink r:id="rId383" w:history="1">
        <w:r w:rsidR="00010BAE" w:rsidRPr="006032FF">
          <w:rPr>
            <w:rStyle w:val="Hyperlink"/>
            <w:rFonts w:cs="Arial"/>
            <w:sz w:val="20"/>
            <w:szCs w:val="20"/>
          </w:rPr>
          <w:t>https://doi.org/10.1016/j.watres.2017.10.041</w:t>
        </w:r>
      </w:hyperlink>
    </w:p>
    <w:p w14:paraId="775E899A" w14:textId="77777777" w:rsidR="00455A97" w:rsidRDefault="00455A97">
      <w:pPr>
        <w:widowControl/>
        <w:rPr>
          <w:rFonts w:cs="Arial"/>
          <w:color w:val="000000" w:themeColor="text1"/>
          <w:sz w:val="20"/>
          <w:szCs w:val="20"/>
        </w:rPr>
      </w:pPr>
      <w:bookmarkStart w:id="844" w:name="_CTVL00179caa8dbb430422bb448ad8aff8229b5"/>
      <w:r>
        <w:rPr>
          <w:rFonts w:cs="Arial"/>
          <w:sz w:val="20"/>
          <w:szCs w:val="20"/>
        </w:rPr>
        <w:br w:type="page"/>
      </w:r>
    </w:p>
    <w:p w14:paraId="231DDB7F" w14:textId="44A48A68"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Tyagi D, Kraft AL, Levadney Smith S, Roof SE, Sherwood JS, Wiedmann M, Bergholz TM (2019) Pre-harvest survival and post-harvest chlorine tolerance of enterohemorrhagic </w:t>
      </w:r>
      <w:bookmarkEnd w:id="844"/>
      <w:r w:rsidRPr="006032FF">
        <w:rPr>
          <w:rFonts w:cs="Arial"/>
          <w:i/>
          <w:sz w:val="20"/>
          <w:szCs w:val="20"/>
        </w:rPr>
        <w:t xml:space="preserve">Escherichia coli </w:t>
      </w:r>
      <w:r w:rsidRPr="006032FF">
        <w:rPr>
          <w:rFonts w:cs="Arial"/>
          <w:sz w:val="20"/>
          <w:szCs w:val="20"/>
        </w:rPr>
        <w:t xml:space="preserve">on lettuce. Toxins 11:675. </w:t>
      </w:r>
      <w:hyperlink r:id="rId384" w:history="1">
        <w:r w:rsidR="00010BAE" w:rsidRPr="006032FF">
          <w:rPr>
            <w:rStyle w:val="Hyperlink"/>
            <w:rFonts w:cs="Arial"/>
            <w:sz w:val="20"/>
            <w:szCs w:val="20"/>
          </w:rPr>
          <w:t>https://doi.org/10.3390/toxins11110675</w:t>
        </w:r>
      </w:hyperlink>
    </w:p>
    <w:p w14:paraId="748CDB69" w14:textId="03BA99DD" w:rsidR="00657FDB" w:rsidRPr="006032FF" w:rsidRDefault="00657FDB" w:rsidP="006032FF">
      <w:pPr>
        <w:pStyle w:val="CitaviBibliographyEntry"/>
        <w:spacing w:after="120"/>
        <w:ind w:left="0" w:firstLine="0"/>
        <w:rPr>
          <w:rFonts w:cs="Arial"/>
          <w:sz w:val="20"/>
          <w:szCs w:val="20"/>
        </w:rPr>
      </w:pPr>
      <w:bookmarkStart w:id="845" w:name="_CTVL00154d9f3a7f90e4942b309b0e3e3248f74"/>
      <w:r w:rsidRPr="006032FF">
        <w:rPr>
          <w:rFonts w:cs="Arial"/>
          <w:sz w:val="20"/>
          <w:szCs w:val="20"/>
        </w:rPr>
        <w:t xml:space="preserve">UC Davis (2020) Co-Management of Food Safety and Sustainability. </w:t>
      </w:r>
      <w:hyperlink r:id="rId385" w:history="1">
        <w:r w:rsidR="00010BAE" w:rsidRPr="006032FF">
          <w:rPr>
            <w:rStyle w:val="Hyperlink"/>
            <w:rFonts w:cs="Arial"/>
            <w:sz w:val="20"/>
            <w:szCs w:val="20"/>
          </w:rPr>
          <w:t>https://ucfoodsafety.ucdavis.edu/pre-post-harvest/co-management-food-safety-and-sustainability</w:t>
        </w:r>
      </w:hyperlink>
      <w:r w:rsidRPr="006032FF">
        <w:rPr>
          <w:rFonts w:cs="Arial"/>
          <w:sz w:val="20"/>
          <w:szCs w:val="20"/>
        </w:rPr>
        <w:t>. Accessed 22 February 2021</w:t>
      </w:r>
    </w:p>
    <w:p w14:paraId="0477144D" w14:textId="74E63487" w:rsidR="00657FDB" w:rsidRPr="006032FF" w:rsidRDefault="00657FDB" w:rsidP="006032FF">
      <w:pPr>
        <w:pStyle w:val="CitaviBibliographyEntry"/>
        <w:spacing w:after="120"/>
        <w:ind w:left="0" w:firstLine="0"/>
        <w:rPr>
          <w:rFonts w:cs="Arial"/>
          <w:sz w:val="20"/>
          <w:szCs w:val="20"/>
        </w:rPr>
      </w:pPr>
      <w:bookmarkStart w:id="846" w:name="_CTVL001cb1df671040d468c8850a82db2745264"/>
      <w:bookmarkEnd w:id="845"/>
      <w:r w:rsidRPr="006032FF">
        <w:rPr>
          <w:rFonts w:cs="Arial"/>
          <w:sz w:val="20"/>
          <w:szCs w:val="20"/>
        </w:rPr>
        <w:t xml:space="preserve">Ueda S, Kuwabara Y (2007) Susceptibility of biofilm </w:t>
      </w:r>
      <w:bookmarkEnd w:id="846"/>
      <w:r w:rsidRPr="006032FF">
        <w:rPr>
          <w:rFonts w:cs="Arial"/>
          <w:i/>
          <w:sz w:val="20"/>
          <w:szCs w:val="20"/>
        </w:rPr>
        <w:t xml:space="preserve">Escherichia coli, Salmonella </w:t>
      </w:r>
      <w:r w:rsidRPr="006032FF">
        <w:rPr>
          <w:rFonts w:cs="Arial"/>
          <w:sz w:val="20"/>
          <w:szCs w:val="20"/>
        </w:rPr>
        <w:t xml:space="preserve">Enteritidis and </w:t>
      </w:r>
      <w:r w:rsidRPr="006032FF">
        <w:rPr>
          <w:rFonts w:cs="Arial"/>
          <w:i/>
          <w:sz w:val="20"/>
          <w:szCs w:val="20"/>
        </w:rPr>
        <w:t xml:space="preserve">Staphylococcus aureus </w:t>
      </w:r>
      <w:r w:rsidRPr="006032FF">
        <w:rPr>
          <w:rFonts w:cs="Arial"/>
          <w:sz w:val="20"/>
          <w:szCs w:val="20"/>
        </w:rPr>
        <w:t xml:space="preserve">to detergents and sanitizers. Biocontrol Science 12:149–153. </w:t>
      </w:r>
      <w:hyperlink r:id="rId386" w:history="1">
        <w:r w:rsidR="00010BAE" w:rsidRPr="006032FF">
          <w:rPr>
            <w:rStyle w:val="Hyperlink"/>
            <w:rFonts w:cs="Arial"/>
            <w:sz w:val="20"/>
            <w:szCs w:val="20"/>
          </w:rPr>
          <w:t>https://doi.org/10.4265/bio.12.149</w:t>
        </w:r>
      </w:hyperlink>
    </w:p>
    <w:p w14:paraId="6CB49718" w14:textId="54BF3309" w:rsidR="00657FDB" w:rsidRPr="006032FF" w:rsidRDefault="00657FDB" w:rsidP="006032FF">
      <w:pPr>
        <w:pStyle w:val="CitaviBibliographyEntry"/>
        <w:spacing w:after="120"/>
        <w:ind w:left="0" w:firstLine="0"/>
        <w:rPr>
          <w:rFonts w:cs="Arial"/>
          <w:sz w:val="20"/>
          <w:szCs w:val="20"/>
        </w:rPr>
      </w:pPr>
      <w:bookmarkStart w:id="847" w:name="_CTVL001b0bb0a24ffba4735bacfdcab5cd1dd72"/>
      <w:r w:rsidRPr="006032FF">
        <w:rPr>
          <w:rFonts w:cs="Arial"/>
          <w:sz w:val="20"/>
          <w:szCs w:val="20"/>
        </w:rPr>
        <w:t xml:space="preserve">Ukuku DO, Sapers GM (2001) Effect of sanitizer treatments on </w:t>
      </w:r>
      <w:bookmarkEnd w:id="847"/>
      <w:r w:rsidRPr="006032FF">
        <w:rPr>
          <w:rFonts w:cs="Arial"/>
          <w:i/>
          <w:sz w:val="20"/>
          <w:szCs w:val="20"/>
        </w:rPr>
        <w:t xml:space="preserve">Salmonella </w:t>
      </w:r>
      <w:r w:rsidRPr="006032FF">
        <w:rPr>
          <w:rFonts w:cs="Arial"/>
          <w:sz w:val="20"/>
          <w:szCs w:val="20"/>
        </w:rPr>
        <w:t xml:space="preserve">Stanley attached to the surface of cantaloupe and cell transfer to fresh-cut tissues during cutting practices. Journal of Food Protection 64:1286–1291. </w:t>
      </w:r>
      <w:hyperlink r:id="rId387" w:history="1">
        <w:r w:rsidR="00010BAE" w:rsidRPr="006032FF">
          <w:rPr>
            <w:rStyle w:val="Hyperlink"/>
            <w:rFonts w:cs="Arial"/>
            <w:sz w:val="20"/>
            <w:szCs w:val="20"/>
          </w:rPr>
          <w:t>https://doi.org/10.4315/0362-028x-64.9.1286</w:t>
        </w:r>
      </w:hyperlink>
    </w:p>
    <w:p w14:paraId="752715FD" w14:textId="5E92259E" w:rsidR="00657FDB" w:rsidRPr="006032FF" w:rsidRDefault="00657FDB" w:rsidP="006032FF">
      <w:pPr>
        <w:pStyle w:val="CitaviBibliographyEntry"/>
        <w:spacing w:after="120"/>
        <w:ind w:left="0" w:firstLine="0"/>
        <w:rPr>
          <w:rFonts w:cs="Arial"/>
          <w:sz w:val="20"/>
          <w:szCs w:val="20"/>
        </w:rPr>
      </w:pPr>
      <w:bookmarkStart w:id="848" w:name="_CTVL001ec8cea850b274ebab5fcd5d6aa6d4392"/>
      <w:r w:rsidRPr="006032FF">
        <w:rPr>
          <w:rFonts w:cs="Arial"/>
          <w:sz w:val="20"/>
          <w:szCs w:val="20"/>
        </w:rPr>
        <w:t xml:space="preserve">Ukuku DO (2004) Effect of hydrogen peroxide treatment on microbial quality and appearance of whole and fresh-cut melons contaminated with </w:t>
      </w:r>
      <w:bookmarkEnd w:id="848"/>
      <w:r w:rsidRPr="006032FF">
        <w:rPr>
          <w:rFonts w:cs="Arial"/>
          <w:i/>
          <w:sz w:val="20"/>
          <w:szCs w:val="20"/>
        </w:rPr>
        <w:t xml:space="preserve">Salmonella </w:t>
      </w:r>
      <w:r w:rsidRPr="006032FF">
        <w:rPr>
          <w:rFonts w:cs="Arial"/>
          <w:sz w:val="20"/>
          <w:szCs w:val="20"/>
        </w:rPr>
        <w:t xml:space="preserve">spp. International Journal of Food Microbiology 95:137–146. </w:t>
      </w:r>
      <w:hyperlink r:id="rId388" w:history="1">
        <w:r w:rsidR="00010BAE" w:rsidRPr="006032FF">
          <w:rPr>
            <w:rStyle w:val="Hyperlink"/>
            <w:rFonts w:cs="Arial"/>
            <w:sz w:val="20"/>
            <w:szCs w:val="20"/>
          </w:rPr>
          <w:t>https://doi.org/10.1016/j.ijfoodmicro.2004.01.021</w:t>
        </w:r>
      </w:hyperlink>
    </w:p>
    <w:p w14:paraId="67495AA8" w14:textId="2B490EB1" w:rsidR="00657FDB" w:rsidRPr="006032FF" w:rsidRDefault="00657FDB" w:rsidP="006032FF">
      <w:pPr>
        <w:pStyle w:val="CitaviBibliographyEntry"/>
        <w:spacing w:after="120"/>
        <w:ind w:left="0" w:firstLine="0"/>
        <w:rPr>
          <w:rFonts w:cs="Arial"/>
          <w:sz w:val="20"/>
          <w:szCs w:val="20"/>
        </w:rPr>
      </w:pPr>
      <w:bookmarkStart w:id="849" w:name="_CTVL00185f23782fcdc474794922a8993c1a0b9"/>
      <w:r w:rsidRPr="006032FF">
        <w:rPr>
          <w:rFonts w:cs="Arial"/>
          <w:sz w:val="20"/>
          <w:szCs w:val="20"/>
        </w:rPr>
        <w:t xml:space="preserve">Ukuku DO (2006) Effect of sanitizing treatments on removal of bacteria from cantaloupe surface, and re-contamination with </w:t>
      </w:r>
      <w:bookmarkEnd w:id="849"/>
      <w:r w:rsidRPr="006032FF">
        <w:rPr>
          <w:rFonts w:cs="Arial"/>
          <w:i/>
          <w:sz w:val="20"/>
          <w:szCs w:val="20"/>
        </w:rPr>
        <w:t>Salmonella</w:t>
      </w:r>
      <w:r w:rsidRPr="006032FF">
        <w:rPr>
          <w:rFonts w:cs="Arial"/>
          <w:sz w:val="20"/>
          <w:szCs w:val="20"/>
        </w:rPr>
        <w:t xml:space="preserve">. Food Microbiology 23:289–293. </w:t>
      </w:r>
      <w:hyperlink r:id="rId389" w:history="1">
        <w:r w:rsidR="00010BAE" w:rsidRPr="006032FF">
          <w:rPr>
            <w:rStyle w:val="Hyperlink"/>
            <w:rFonts w:cs="Arial"/>
            <w:sz w:val="20"/>
            <w:szCs w:val="20"/>
          </w:rPr>
          <w:t>https://doi.org/10.1016/j.fm.2005.04.002</w:t>
        </w:r>
      </w:hyperlink>
    </w:p>
    <w:p w14:paraId="42F45932" w14:textId="77777777" w:rsidR="00657FDB" w:rsidRPr="006032FF" w:rsidRDefault="00657FDB" w:rsidP="006032FF">
      <w:pPr>
        <w:pStyle w:val="CitaviBibliographyEntry"/>
        <w:spacing w:after="120"/>
        <w:ind w:left="0" w:firstLine="0"/>
        <w:rPr>
          <w:rFonts w:cs="Arial"/>
          <w:sz w:val="20"/>
          <w:szCs w:val="20"/>
        </w:rPr>
      </w:pPr>
      <w:bookmarkStart w:id="850" w:name="_CTVL00172ec9301cd7e4069948cdb616384d621"/>
      <w:r w:rsidRPr="006032FF">
        <w:rPr>
          <w:rFonts w:cs="Arial"/>
          <w:sz w:val="20"/>
          <w:szCs w:val="20"/>
        </w:rPr>
        <w:t>Ukuku DO, Fett W (2002) Behavior of Listeria monocytogenes inoculated on cantaloupe surfaces and efficacy of washing treatments to reduce transfer from rind to fresh-cut pieces. Journal of Food Protection 65:924–930</w:t>
      </w:r>
    </w:p>
    <w:p w14:paraId="1B233154" w14:textId="7D1455BC" w:rsidR="00657FDB" w:rsidRPr="006032FF" w:rsidRDefault="00657FDB" w:rsidP="006032FF">
      <w:pPr>
        <w:pStyle w:val="CitaviBibliographyEntry"/>
        <w:spacing w:after="120"/>
        <w:ind w:left="0" w:firstLine="0"/>
        <w:rPr>
          <w:rFonts w:cs="Arial"/>
          <w:sz w:val="20"/>
          <w:szCs w:val="20"/>
        </w:rPr>
      </w:pPr>
      <w:bookmarkStart w:id="851" w:name="_CTVL001615ec464cf64413894682105837bdb31"/>
      <w:bookmarkEnd w:id="850"/>
      <w:r w:rsidRPr="006032FF">
        <w:rPr>
          <w:rFonts w:cs="Arial"/>
          <w:sz w:val="20"/>
          <w:szCs w:val="20"/>
        </w:rPr>
        <w:t xml:space="preserve">Ukuku DO, Sapers GM (2007) Effect of time before storage and storage temperature on survival of </w:t>
      </w:r>
      <w:bookmarkEnd w:id="851"/>
      <w:r w:rsidRPr="006032FF">
        <w:rPr>
          <w:rFonts w:cs="Arial"/>
          <w:i/>
          <w:sz w:val="20"/>
          <w:szCs w:val="20"/>
        </w:rPr>
        <w:t xml:space="preserve">Salmonella </w:t>
      </w:r>
      <w:r w:rsidRPr="006032FF">
        <w:rPr>
          <w:rFonts w:cs="Arial"/>
          <w:sz w:val="20"/>
          <w:szCs w:val="20"/>
        </w:rPr>
        <w:t xml:space="preserve">inoculated on fresh-cut melons. Food Microbiology 24:288–295. </w:t>
      </w:r>
      <w:hyperlink r:id="rId390" w:history="1">
        <w:r w:rsidR="00010BAE" w:rsidRPr="006032FF">
          <w:rPr>
            <w:rStyle w:val="Hyperlink"/>
            <w:rFonts w:cs="Arial"/>
            <w:sz w:val="20"/>
            <w:szCs w:val="20"/>
          </w:rPr>
          <w:t>https://doi.org/10.1016/j.fm.2006.04.007</w:t>
        </w:r>
      </w:hyperlink>
    </w:p>
    <w:p w14:paraId="68D4526D" w14:textId="1F5CA066" w:rsidR="00657FDB" w:rsidRPr="006032FF" w:rsidRDefault="00657FDB" w:rsidP="006032FF">
      <w:pPr>
        <w:pStyle w:val="CitaviBibliographyEntry"/>
        <w:spacing w:after="120"/>
        <w:ind w:left="0" w:firstLine="0"/>
        <w:rPr>
          <w:rFonts w:cs="Arial"/>
          <w:sz w:val="20"/>
          <w:szCs w:val="20"/>
        </w:rPr>
      </w:pPr>
      <w:bookmarkStart w:id="852" w:name="_CTVL0018d6dc89934a74db28826296434a718d9"/>
      <w:r w:rsidRPr="006032FF">
        <w:rPr>
          <w:rFonts w:cs="Arial"/>
          <w:sz w:val="20"/>
          <w:szCs w:val="20"/>
        </w:rPr>
        <w:t xml:space="preserve">Ukuku DO, Pilizota V, Sapers GM (2004) Effect of hot water and hydrogen peroxide treatments on survival of </w:t>
      </w:r>
      <w:bookmarkEnd w:id="852"/>
      <w:r w:rsidRPr="006032FF">
        <w:rPr>
          <w:rFonts w:cs="Arial"/>
          <w:i/>
          <w:sz w:val="20"/>
          <w:szCs w:val="20"/>
        </w:rPr>
        <w:t xml:space="preserve">Salmonella </w:t>
      </w:r>
      <w:r w:rsidRPr="006032FF">
        <w:rPr>
          <w:rFonts w:cs="Arial"/>
          <w:sz w:val="20"/>
          <w:szCs w:val="20"/>
        </w:rPr>
        <w:t xml:space="preserve">and microbial quality of whole and fresh-cut cantaloupe. Journal of Food Protection 67:432–437. </w:t>
      </w:r>
      <w:hyperlink r:id="rId391" w:history="1">
        <w:r w:rsidR="00010BAE" w:rsidRPr="006032FF">
          <w:rPr>
            <w:rStyle w:val="Hyperlink"/>
            <w:rFonts w:cs="Arial"/>
            <w:sz w:val="20"/>
            <w:szCs w:val="20"/>
          </w:rPr>
          <w:t>https://doi.org/10.4315/0362-028x-67.3.432</w:t>
        </w:r>
      </w:hyperlink>
    </w:p>
    <w:p w14:paraId="6A649BB0" w14:textId="3A19D615" w:rsidR="00657FDB" w:rsidRPr="006032FF" w:rsidRDefault="00657FDB" w:rsidP="006032FF">
      <w:pPr>
        <w:pStyle w:val="CitaviBibliographyEntry"/>
        <w:spacing w:after="120"/>
        <w:ind w:left="0" w:firstLine="0"/>
        <w:rPr>
          <w:rFonts w:cs="Arial"/>
          <w:sz w:val="20"/>
          <w:szCs w:val="20"/>
        </w:rPr>
      </w:pPr>
      <w:bookmarkStart w:id="853" w:name="_CTVL00112eac238cf4f4416a01d65b078e2eca2"/>
      <w:r w:rsidRPr="006032FF">
        <w:rPr>
          <w:rFonts w:cs="Arial"/>
          <w:sz w:val="20"/>
          <w:szCs w:val="20"/>
        </w:rPr>
        <w:t xml:space="preserve">Ukuku DO, Bari ML, Kawamoto S, Isshiki K (2005) Use of hydrogen peroxide in combination with nisin, sodium lactate and citric acid for reducing transfer of bacterial pathogens from whole melon surfaces to fresh-cut pieces. International Journal of Food Microbiology 104:225–233. </w:t>
      </w:r>
      <w:hyperlink r:id="rId392" w:history="1">
        <w:r w:rsidR="00010BAE" w:rsidRPr="006032FF">
          <w:rPr>
            <w:rStyle w:val="Hyperlink"/>
            <w:rFonts w:cs="Arial"/>
            <w:sz w:val="20"/>
            <w:szCs w:val="20"/>
          </w:rPr>
          <w:t>https://doi.org/10.1016/j.ijfoodmicro.2005.01.016</w:t>
        </w:r>
      </w:hyperlink>
    </w:p>
    <w:p w14:paraId="68824D31" w14:textId="51D0FFBA" w:rsidR="00657FDB" w:rsidRPr="006032FF" w:rsidRDefault="00657FDB" w:rsidP="006032FF">
      <w:pPr>
        <w:pStyle w:val="CitaviBibliographyEntry"/>
        <w:spacing w:after="120"/>
        <w:ind w:left="0" w:firstLine="0"/>
        <w:rPr>
          <w:rFonts w:cs="Arial"/>
          <w:sz w:val="20"/>
          <w:szCs w:val="20"/>
        </w:rPr>
      </w:pPr>
      <w:bookmarkStart w:id="854" w:name="_CTVL00186f3ac53b0004aeb95498851bc61ef0b"/>
      <w:bookmarkEnd w:id="853"/>
      <w:r w:rsidRPr="006032FF">
        <w:rPr>
          <w:rFonts w:cs="Arial"/>
          <w:sz w:val="20"/>
          <w:szCs w:val="20"/>
        </w:rPr>
        <w:t xml:space="preserve">Ukuku DO, Olanya M, Geveke DJ, Sommers CH (2012) Effect of native microflora, waiting period, and storage temperature on </w:t>
      </w:r>
      <w:bookmarkEnd w:id="854"/>
      <w:r w:rsidRPr="006032FF">
        <w:rPr>
          <w:rFonts w:cs="Arial"/>
          <w:i/>
          <w:sz w:val="20"/>
          <w:szCs w:val="20"/>
        </w:rPr>
        <w:t xml:space="preserve">Listeria monocytogenes </w:t>
      </w:r>
      <w:r w:rsidRPr="006032FF">
        <w:rPr>
          <w:rFonts w:cs="Arial"/>
          <w:sz w:val="20"/>
          <w:szCs w:val="20"/>
        </w:rPr>
        <w:t xml:space="preserve">serovars transferred from cantaloupe rind to fresh-cut pieces during preparation. Journal of Food Protection 75:1912–1919. </w:t>
      </w:r>
      <w:hyperlink r:id="rId393" w:history="1">
        <w:r w:rsidR="00010BAE" w:rsidRPr="006032FF">
          <w:rPr>
            <w:rStyle w:val="Hyperlink"/>
            <w:rFonts w:cs="Arial"/>
            <w:sz w:val="20"/>
            <w:szCs w:val="20"/>
          </w:rPr>
          <w:t>https://doi.org/10.4315/0362-028X.JFP-12-191</w:t>
        </w:r>
      </w:hyperlink>
    </w:p>
    <w:p w14:paraId="64AEFB75" w14:textId="471ABD89" w:rsidR="00657FDB" w:rsidRPr="006032FF" w:rsidRDefault="00657FDB" w:rsidP="006032FF">
      <w:pPr>
        <w:pStyle w:val="CitaviBibliographyEntry"/>
        <w:spacing w:after="120"/>
        <w:ind w:left="0" w:firstLine="0"/>
        <w:rPr>
          <w:rFonts w:cs="Arial"/>
          <w:sz w:val="20"/>
          <w:szCs w:val="20"/>
        </w:rPr>
      </w:pPr>
      <w:bookmarkStart w:id="855" w:name="_CTVL0018b117740155241aca48b38cf6044c402"/>
      <w:r w:rsidRPr="006032FF">
        <w:rPr>
          <w:rFonts w:cs="Arial"/>
          <w:sz w:val="20"/>
          <w:szCs w:val="20"/>
        </w:rPr>
        <w:t xml:space="preserve">Ukuku DO, Geveke DJ, Chau L, Niemira BA (2016) Microbial safety and overall quality of cantaloupe fresh-cut pieces prepared from whole fruit after wet steam treatment. International Journal of Food Microbiology 231:86–92. </w:t>
      </w:r>
      <w:hyperlink r:id="rId394" w:history="1">
        <w:r w:rsidR="00010BAE" w:rsidRPr="006032FF">
          <w:rPr>
            <w:rStyle w:val="Hyperlink"/>
            <w:rFonts w:cs="Arial"/>
            <w:sz w:val="20"/>
            <w:szCs w:val="20"/>
          </w:rPr>
          <w:t>https://doi.org/10.1016/j.ijfoodmicro.2016.05.019</w:t>
        </w:r>
      </w:hyperlink>
    </w:p>
    <w:p w14:paraId="20DEFF18" w14:textId="26070DC2" w:rsidR="00657FDB" w:rsidRPr="006032FF" w:rsidRDefault="00657FDB" w:rsidP="006032FF">
      <w:pPr>
        <w:pStyle w:val="CitaviBibliographyEntry"/>
        <w:spacing w:after="120"/>
        <w:ind w:left="0" w:firstLine="0"/>
        <w:rPr>
          <w:rFonts w:cs="Arial"/>
          <w:sz w:val="20"/>
          <w:szCs w:val="20"/>
        </w:rPr>
      </w:pPr>
      <w:bookmarkStart w:id="856" w:name="_CTVL00159bc03d4cffd48468fbb334f46c00b36"/>
      <w:bookmarkEnd w:id="855"/>
      <w:r w:rsidRPr="006032FF">
        <w:rPr>
          <w:rFonts w:cs="Arial"/>
          <w:sz w:val="20"/>
          <w:szCs w:val="20"/>
        </w:rPr>
        <w:t xml:space="preserve">Ukuku DO, Mukhopadhyay S, Olanya OM, Niemira BA (2019) Effect of cold storage on survivors and recovery of injured </w:t>
      </w:r>
      <w:bookmarkEnd w:id="856"/>
      <w:r w:rsidRPr="006032FF">
        <w:rPr>
          <w:rFonts w:cs="Arial"/>
          <w:i/>
          <w:sz w:val="20"/>
          <w:szCs w:val="20"/>
        </w:rPr>
        <w:t xml:space="preserve">Salmonella </w:t>
      </w:r>
      <w:r w:rsidRPr="006032FF">
        <w:rPr>
          <w:rFonts w:cs="Arial"/>
          <w:sz w:val="20"/>
          <w:szCs w:val="20"/>
        </w:rPr>
        <w:t>bacteria on fresh</w:t>
      </w:r>
      <w:r w:rsidRPr="006032FF">
        <w:rPr>
          <w:rFonts w:ascii="Cambria Math" w:hAnsi="Cambria Math" w:cs="Cambria Math"/>
          <w:sz w:val="20"/>
          <w:szCs w:val="20"/>
        </w:rPr>
        <w:t>‐</w:t>
      </w:r>
      <w:r w:rsidRPr="006032FF">
        <w:rPr>
          <w:rFonts w:cs="Arial"/>
          <w:sz w:val="20"/>
          <w:szCs w:val="20"/>
        </w:rPr>
        <w:t xml:space="preserve">cut pieces prepared from whole melons treated with heat and hydrogen peroxide. Journal of Food Processing &amp; Preservation 43:e13943. </w:t>
      </w:r>
      <w:hyperlink r:id="rId395" w:history="1">
        <w:r w:rsidR="00010BAE" w:rsidRPr="006032FF">
          <w:rPr>
            <w:rStyle w:val="Hyperlink"/>
            <w:rFonts w:cs="Arial"/>
            <w:sz w:val="20"/>
            <w:szCs w:val="20"/>
          </w:rPr>
          <w:t>https://doi.org/10.1111/jfpp.13943|</w:t>
        </w:r>
      </w:hyperlink>
    </w:p>
    <w:p w14:paraId="482F77B0" w14:textId="78C8358D" w:rsidR="00657FDB" w:rsidRPr="006032FF" w:rsidRDefault="00657FDB" w:rsidP="006032FF">
      <w:pPr>
        <w:pStyle w:val="CitaviBibliographyEntry"/>
        <w:spacing w:after="120"/>
        <w:ind w:left="0" w:firstLine="0"/>
        <w:rPr>
          <w:rFonts w:cs="Arial"/>
          <w:sz w:val="20"/>
          <w:szCs w:val="20"/>
        </w:rPr>
      </w:pPr>
      <w:bookmarkStart w:id="857" w:name="_CTVL001e1329d171e8d455ab092cbfc7f71b44f"/>
      <w:r w:rsidRPr="006032FF">
        <w:rPr>
          <w:rFonts w:cs="Arial"/>
          <w:sz w:val="20"/>
          <w:szCs w:val="20"/>
        </w:rPr>
        <w:t>US Department of Justice (2013) October 22, 2013: Eric and Ryan Jensen plead guilty to all counts of introducing tainted cantaloupe into interstate commerce. FDA US Foo</w:t>
      </w:r>
      <w:r w:rsidR="00F87CC5">
        <w:rPr>
          <w:rFonts w:cs="Arial"/>
          <w:sz w:val="20"/>
          <w:szCs w:val="20"/>
        </w:rPr>
        <w:t>d &amp; Drug Administration, Silver </w:t>
      </w:r>
      <w:r w:rsidRPr="006032FF">
        <w:rPr>
          <w:rFonts w:cs="Arial"/>
          <w:sz w:val="20"/>
          <w:szCs w:val="20"/>
        </w:rPr>
        <w:t xml:space="preserve">Spring. </w:t>
      </w:r>
      <w:hyperlink r:id="rId396" w:history="1">
        <w:r w:rsidR="00010BAE" w:rsidRPr="006032FF">
          <w:rPr>
            <w:rStyle w:val="Hyperlink"/>
            <w:rFonts w:cs="Arial"/>
            <w:sz w:val="20"/>
            <w:szCs w:val="20"/>
          </w:rPr>
          <w:t>http://wayback.archive-it.org/7993/20180125150727/https://www.fda.gov/iceci/criminalinvestigations/ucm373174.htm</w:t>
        </w:r>
      </w:hyperlink>
      <w:r w:rsidRPr="006032FF">
        <w:rPr>
          <w:rFonts w:cs="Arial"/>
          <w:sz w:val="20"/>
          <w:szCs w:val="20"/>
        </w:rPr>
        <w:t>. Accessed 7 December 2020</w:t>
      </w:r>
    </w:p>
    <w:p w14:paraId="63B4CD57" w14:textId="016E790F" w:rsidR="00657FDB" w:rsidRPr="006032FF" w:rsidRDefault="00657FDB" w:rsidP="006032FF">
      <w:pPr>
        <w:pStyle w:val="CitaviBibliographyEntry"/>
        <w:spacing w:after="120"/>
        <w:ind w:left="0" w:firstLine="0"/>
        <w:rPr>
          <w:rFonts w:cs="Arial"/>
          <w:sz w:val="20"/>
          <w:szCs w:val="20"/>
        </w:rPr>
      </w:pPr>
      <w:bookmarkStart w:id="858" w:name="_CTVL0010913e4eede884578a2652fc5c261f749"/>
      <w:bookmarkEnd w:id="857"/>
      <w:r w:rsidRPr="006032FF">
        <w:rPr>
          <w:rFonts w:cs="Arial"/>
          <w:sz w:val="20"/>
          <w:szCs w:val="20"/>
        </w:rPr>
        <w:t>US FDA/CFSAN (2003) Approximate pH of foo</w:t>
      </w:r>
      <w:r w:rsidR="00F87CC5">
        <w:rPr>
          <w:rFonts w:cs="Arial"/>
          <w:sz w:val="20"/>
          <w:szCs w:val="20"/>
        </w:rPr>
        <w:t>ds and food products. US F</w:t>
      </w:r>
      <w:r w:rsidRPr="006032FF">
        <w:rPr>
          <w:rFonts w:cs="Arial"/>
          <w:sz w:val="20"/>
          <w:szCs w:val="20"/>
        </w:rPr>
        <w:t xml:space="preserve">ood and Drug Administration/Center for Food Safety and applied Nutrition. </w:t>
      </w:r>
      <w:hyperlink r:id="rId397" w:history="1">
        <w:r w:rsidR="00010BAE" w:rsidRPr="006032FF">
          <w:rPr>
            <w:rStyle w:val="Hyperlink"/>
            <w:rFonts w:cs="Arial"/>
            <w:sz w:val="20"/>
            <w:szCs w:val="20"/>
          </w:rPr>
          <w:t>https://www.webpal.org/SAFE/aaarecovery/2_food_storage/Processing/lacf-phs.htm</w:t>
        </w:r>
      </w:hyperlink>
      <w:r w:rsidR="00455A97">
        <w:rPr>
          <w:rFonts w:cs="Arial"/>
          <w:sz w:val="20"/>
          <w:szCs w:val="20"/>
        </w:rPr>
        <w:t>. Accessed 24 </w:t>
      </w:r>
      <w:r w:rsidRPr="006032FF">
        <w:rPr>
          <w:rFonts w:cs="Arial"/>
          <w:sz w:val="20"/>
          <w:szCs w:val="20"/>
        </w:rPr>
        <w:t>August 2020</w:t>
      </w:r>
    </w:p>
    <w:p w14:paraId="2C39A4A0" w14:textId="77777777" w:rsidR="00455A97" w:rsidRDefault="00455A97">
      <w:pPr>
        <w:widowControl/>
        <w:rPr>
          <w:rFonts w:cs="Arial"/>
          <w:color w:val="000000" w:themeColor="text1"/>
          <w:sz w:val="20"/>
          <w:szCs w:val="20"/>
        </w:rPr>
      </w:pPr>
      <w:bookmarkStart w:id="859" w:name="_CTVL001a89b92869f3d467cafe526850fd1a4d3"/>
      <w:bookmarkEnd w:id="858"/>
      <w:r>
        <w:rPr>
          <w:rFonts w:cs="Arial"/>
          <w:sz w:val="20"/>
          <w:szCs w:val="20"/>
        </w:rPr>
        <w:br w:type="page"/>
      </w:r>
    </w:p>
    <w:p w14:paraId="2AA0A942" w14:textId="2C86034E"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US GPO (2011) 7 CFR 205.203 Soil fertility and crop nutrition management practice standard: Subchapter M - Organic foods proction act provisions. US Government publishing office. </w:t>
      </w:r>
      <w:hyperlink r:id="rId398" w:history="1">
        <w:r w:rsidR="00010BAE" w:rsidRPr="006032FF">
          <w:rPr>
            <w:rStyle w:val="Hyperlink"/>
            <w:rFonts w:cs="Arial"/>
            <w:sz w:val="20"/>
            <w:szCs w:val="20"/>
          </w:rPr>
          <w:t>https://www.govinfo.gov/app/details/CFR-2011-title7-vol3/CFR-2011-title7-vol3-sec205-203/context</w:t>
        </w:r>
      </w:hyperlink>
      <w:r w:rsidRPr="006032FF">
        <w:rPr>
          <w:rFonts w:cs="Arial"/>
          <w:sz w:val="20"/>
          <w:szCs w:val="20"/>
        </w:rPr>
        <w:t>. Accessed 26 November 2020</w:t>
      </w:r>
    </w:p>
    <w:p w14:paraId="046D83CA" w14:textId="406B4818" w:rsidR="00657FDB" w:rsidRPr="006032FF" w:rsidRDefault="00657FDB" w:rsidP="006032FF">
      <w:pPr>
        <w:pStyle w:val="CitaviBibliographyEntry"/>
        <w:spacing w:after="120"/>
        <w:ind w:left="0" w:firstLine="0"/>
        <w:rPr>
          <w:rFonts w:cs="Arial"/>
          <w:sz w:val="20"/>
          <w:szCs w:val="20"/>
        </w:rPr>
      </w:pPr>
      <w:bookmarkStart w:id="860" w:name="_CTVL001015230a312e94b51ae25105219dacc3c"/>
      <w:bookmarkEnd w:id="859"/>
      <w:r w:rsidRPr="006032FF">
        <w:rPr>
          <w:rFonts w:cs="Arial"/>
          <w:sz w:val="20"/>
          <w:szCs w:val="20"/>
        </w:rPr>
        <w:t>Uyttendaele M, Jaykus LA, Amoah P, Chiodini, A.</w:t>
      </w:r>
      <w:r w:rsidR="00010BAE" w:rsidRPr="006032FF">
        <w:rPr>
          <w:rFonts w:cs="Arial"/>
          <w:sz w:val="20"/>
          <w:szCs w:val="20"/>
        </w:rPr>
        <w:t>’</w:t>
      </w:r>
      <w:r w:rsidRPr="006032FF">
        <w:rPr>
          <w:rFonts w:cs="Arial"/>
          <w:sz w:val="20"/>
          <w:szCs w:val="20"/>
        </w:rPr>
        <w:t xml:space="preserve"> Cunliffe, D., Jacxse</w:t>
      </w:r>
      <w:r w:rsidR="00F87CC5">
        <w:rPr>
          <w:rFonts w:cs="Arial"/>
          <w:sz w:val="20"/>
          <w:szCs w:val="20"/>
        </w:rPr>
        <w:t>ns L, Holvoet K, Korsten L, Lau </w:t>
      </w:r>
      <w:r w:rsidRPr="006032FF">
        <w:rPr>
          <w:rFonts w:cs="Arial"/>
          <w:sz w:val="20"/>
          <w:szCs w:val="20"/>
        </w:rPr>
        <w:t xml:space="preserve">M, McClure P, Medema G, Sampers I, Jasti PR (2015) Microbial hazards in irrigation water: Standards, norms, and testing to manage use of water in fresh product primary production. Comprehensive Reviews in Food Science and Food Safety 14:336–356. </w:t>
      </w:r>
      <w:hyperlink r:id="rId399" w:history="1">
        <w:r w:rsidR="00010BAE" w:rsidRPr="006032FF">
          <w:rPr>
            <w:rStyle w:val="Hyperlink"/>
            <w:rFonts w:cs="Arial"/>
            <w:sz w:val="20"/>
            <w:szCs w:val="20"/>
          </w:rPr>
          <w:t>https://doi.org/10.1111/1541-4337.12133</w:t>
        </w:r>
      </w:hyperlink>
    </w:p>
    <w:p w14:paraId="49E0086D" w14:textId="4C8069D0" w:rsidR="00657FDB" w:rsidRPr="006032FF" w:rsidRDefault="00657FDB" w:rsidP="006032FF">
      <w:pPr>
        <w:pStyle w:val="CitaviBibliographyEntry"/>
        <w:spacing w:after="120"/>
        <w:ind w:left="0" w:firstLine="0"/>
        <w:rPr>
          <w:rFonts w:cs="Arial"/>
          <w:sz w:val="20"/>
          <w:szCs w:val="20"/>
        </w:rPr>
      </w:pPr>
      <w:bookmarkStart w:id="861" w:name="_CTVL001ca134e4b90684338b14e36e86f11af97"/>
      <w:bookmarkEnd w:id="860"/>
      <w:r w:rsidRPr="006032FF">
        <w:rPr>
          <w:rFonts w:cs="Arial"/>
          <w:sz w:val="20"/>
          <w:szCs w:val="20"/>
        </w:rPr>
        <w:t xml:space="preserve">van der Linden I, Cottyn B, Uyttendaele M, Vlaemynck G, Maes M, Heyndrickx M (2013) Long-term survival of </w:t>
      </w:r>
      <w:bookmarkEnd w:id="861"/>
      <w:r w:rsidRPr="006032FF">
        <w:rPr>
          <w:rFonts w:cs="Arial"/>
          <w:i/>
          <w:sz w:val="20"/>
          <w:szCs w:val="20"/>
        </w:rPr>
        <w:t xml:space="preserve">Escherichia coli </w:t>
      </w:r>
      <w:r w:rsidRPr="006032FF">
        <w:rPr>
          <w:rFonts w:cs="Arial"/>
          <w:sz w:val="20"/>
          <w:szCs w:val="20"/>
        </w:rPr>
        <w:t xml:space="preserve">O157:H7 and </w:t>
      </w:r>
      <w:r w:rsidRPr="006032FF">
        <w:rPr>
          <w:rFonts w:cs="Arial"/>
          <w:i/>
          <w:sz w:val="20"/>
          <w:szCs w:val="20"/>
        </w:rPr>
        <w:t xml:space="preserve">Salmonella enterica </w:t>
      </w:r>
      <w:r w:rsidRPr="006032FF">
        <w:rPr>
          <w:rFonts w:cs="Arial"/>
          <w:sz w:val="20"/>
          <w:szCs w:val="20"/>
        </w:rPr>
        <w:t xml:space="preserve">on butterhead lettuce seeds, and their subsequent survival and growth on the seedlings. International Journal of Food Microbiology 161:214–219. </w:t>
      </w:r>
      <w:hyperlink r:id="rId400" w:history="1">
        <w:r w:rsidR="00010BAE" w:rsidRPr="006032FF">
          <w:rPr>
            <w:rStyle w:val="Hyperlink"/>
            <w:rFonts w:cs="Arial"/>
            <w:sz w:val="20"/>
            <w:szCs w:val="20"/>
          </w:rPr>
          <w:t>https://doi.org/10.1016/j.ijfoodmicro.2012.12.015</w:t>
        </w:r>
      </w:hyperlink>
    </w:p>
    <w:p w14:paraId="47C8FD1F" w14:textId="00F64D86" w:rsidR="00657FDB" w:rsidRPr="006032FF" w:rsidRDefault="00657FDB" w:rsidP="006032FF">
      <w:pPr>
        <w:pStyle w:val="CitaviBibliographyEntry"/>
        <w:spacing w:after="120"/>
        <w:ind w:left="0" w:firstLine="0"/>
        <w:rPr>
          <w:rFonts w:cs="Arial"/>
          <w:sz w:val="20"/>
          <w:szCs w:val="20"/>
        </w:rPr>
      </w:pPr>
      <w:bookmarkStart w:id="862" w:name="_CTVL001e622734a417942959dcd4403afa6ed2c"/>
      <w:r w:rsidRPr="006032FF">
        <w:rPr>
          <w:rFonts w:cs="Arial"/>
          <w:sz w:val="20"/>
          <w:szCs w:val="20"/>
        </w:rPr>
        <w:t xml:space="preserve">van der Linden I, Avalos Llano KR, Eriksson M, Vos WH de, van Damme EJ, Uyttendaele M, Devlieghere F (2016) Minimal processing of iceberg lettuce has no substantial influence on the survival, attachment and internalization of </w:t>
      </w:r>
      <w:bookmarkEnd w:id="862"/>
      <w:r w:rsidRPr="006032FF">
        <w:rPr>
          <w:rFonts w:cs="Arial"/>
          <w:i/>
          <w:sz w:val="20"/>
          <w:szCs w:val="20"/>
        </w:rPr>
        <w:t xml:space="preserve">E. coli </w:t>
      </w:r>
      <w:r w:rsidRPr="006032FF">
        <w:rPr>
          <w:rFonts w:cs="Arial"/>
          <w:sz w:val="20"/>
          <w:szCs w:val="20"/>
        </w:rPr>
        <w:t xml:space="preserve">O157 and </w:t>
      </w:r>
      <w:r w:rsidRPr="006032FF">
        <w:rPr>
          <w:rFonts w:cs="Arial"/>
          <w:i/>
          <w:sz w:val="20"/>
          <w:szCs w:val="20"/>
        </w:rPr>
        <w:t>Salmonella</w:t>
      </w:r>
      <w:r w:rsidRPr="006032FF">
        <w:rPr>
          <w:rFonts w:cs="Arial"/>
          <w:sz w:val="20"/>
          <w:szCs w:val="20"/>
        </w:rPr>
        <w:t xml:space="preserve">. International Journal of Food Microbiology 238:40–49. </w:t>
      </w:r>
      <w:hyperlink r:id="rId401" w:history="1">
        <w:r w:rsidR="00010BAE" w:rsidRPr="006032FF">
          <w:rPr>
            <w:rStyle w:val="Hyperlink"/>
            <w:rFonts w:cs="Arial"/>
            <w:sz w:val="20"/>
            <w:szCs w:val="20"/>
          </w:rPr>
          <w:t>https://doi.org/10.1016/j.ijfoodmicro.2016.07.029</w:t>
        </w:r>
      </w:hyperlink>
    </w:p>
    <w:p w14:paraId="27B054D1" w14:textId="1C9A1B9D" w:rsidR="00657FDB" w:rsidRPr="006032FF" w:rsidRDefault="00657FDB" w:rsidP="006032FF">
      <w:pPr>
        <w:pStyle w:val="CitaviBibliographyEntry"/>
        <w:spacing w:after="120"/>
        <w:ind w:left="0" w:firstLine="0"/>
        <w:rPr>
          <w:rFonts w:cs="Arial"/>
          <w:sz w:val="20"/>
          <w:szCs w:val="20"/>
        </w:rPr>
      </w:pPr>
      <w:bookmarkStart w:id="863" w:name="_CTVL001bde1ee4b5ea2417c944769c3226dfe8a"/>
      <w:r w:rsidRPr="006032FF">
        <w:rPr>
          <w:rFonts w:cs="Arial"/>
          <w:sz w:val="20"/>
          <w:szCs w:val="20"/>
        </w:rPr>
        <w:t>van Elsas JD, Hill P, Chroňáková A, Grekova M, Topalova Y, Elhottová</w:t>
      </w:r>
      <w:r w:rsidR="00455A97">
        <w:rPr>
          <w:rFonts w:cs="Arial"/>
          <w:sz w:val="20"/>
          <w:szCs w:val="20"/>
        </w:rPr>
        <w:t xml:space="preserve"> D, Krištůfek V (2007) Survival </w:t>
      </w:r>
      <w:r w:rsidRPr="006032FF">
        <w:rPr>
          <w:rFonts w:cs="Arial"/>
          <w:sz w:val="20"/>
          <w:szCs w:val="20"/>
        </w:rPr>
        <w:t xml:space="preserve">of genetically marked </w:t>
      </w:r>
      <w:bookmarkEnd w:id="863"/>
      <w:r w:rsidRPr="006032FF">
        <w:rPr>
          <w:rFonts w:cs="Arial"/>
          <w:i/>
          <w:sz w:val="20"/>
          <w:szCs w:val="20"/>
        </w:rPr>
        <w:t xml:space="preserve">Escherichia coli </w:t>
      </w:r>
      <w:r w:rsidRPr="006032FF">
        <w:rPr>
          <w:rFonts w:cs="Arial"/>
          <w:sz w:val="20"/>
          <w:szCs w:val="20"/>
        </w:rPr>
        <w:t xml:space="preserve">O157:H7 in soil as affected by soil microbial community shifts. The ISME journal 1:204–214. </w:t>
      </w:r>
      <w:hyperlink r:id="rId402" w:history="1">
        <w:r w:rsidR="00010BAE" w:rsidRPr="006032FF">
          <w:rPr>
            <w:rStyle w:val="Hyperlink"/>
            <w:rFonts w:cs="Arial"/>
            <w:sz w:val="20"/>
            <w:szCs w:val="20"/>
          </w:rPr>
          <w:t>https://doi.org/10.1038/ismej.2007.21</w:t>
        </w:r>
      </w:hyperlink>
    </w:p>
    <w:p w14:paraId="6F4D32D9" w14:textId="63B99881" w:rsidR="00657FDB" w:rsidRPr="006032FF" w:rsidRDefault="00657FDB" w:rsidP="006032FF">
      <w:pPr>
        <w:pStyle w:val="CitaviBibliographyEntry"/>
        <w:spacing w:after="120"/>
        <w:ind w:left="0" w:firstLine="0"/>
        <w:rPr>
          <w:rFonts w:cs="Arial"/>
          <w:sz w:val="20"/>
          <w:szCs w:val="20"/>
        </w:rPr>
      </w:pPr>
      <w:bookmarkStart w:id="864" w:name="_CTVL0012c7a67506e7b4f708cbc6d9681626503"/>
      <w:r w:rsidRPr="006032FF">
        <w:rPr>
          <w:rFonts w:cs="Arial"/>
          <w:sz w:val="20"/>
          <w:szCs w:val="20"/>
        </w:rPr>
        <w:t xml:space="preserve">van Haute S, Sampers I, Holvoet K, Uyttendaele M (2013) Physicochemical quality and chemical safety of chlorine as a reconditioning agent and wash water disinfectant for fresh-cut lettuce washing. Applied and Environmental Microbiology 79:2850–2861. </w:t>
      </w:r>
      <w:hyperlink r:id="rId403" w:history="1">
        <w:r w:rsidR="00010BAE" w:rsidRPr="006032FF">
          <w:rPr>
            <w:rStyle w:val="Hyperlink"/>
            <w:rFonts w:cs="Arial"/>
            <w:sz w:val="20"/>
            <w:szCs w:val="20"/>
          </w:rPr>
          <w:t>https://doi.org/10.1128/AEM.03283-12</w:t>
        </w:r>
      </w:hyperlink>
    </w:p>
    <w:p w14:paraId="5DCE3CAB" w14:textId="792FAE08" w:rsidR="00657FDB" w:rsidRPr="006032FF" w:rsidRDefault="00657FDB" w:rsidP="006032FF">
      <w:pPr>
        <w:pStyle w:val="CitaviBibliographyEntry"/>
        <w:spacing w:after="120"/>
        <w:ind w:left="0" w:firstLine="0"/>
        <w:rPr>
          <w:rFonts w:cs="Arial"/>
          <w:sz w:val="20"/>
          <w:szCs w:val="20"/>
        </w:rPr>
      </w:pPr>
      <w:bookmarkStart w:id="865" w:name="_CTVL0016e4bf564965b420ab66c906f6e9a86ab"/>
      <w:bookmarkEnd w:id="864"/>
      <w:r w:rsidRPr="006032FF">
        <w:rPr>
          <w:rFonts w:cs="Arial"/>
          <w:sz w:val="20"/>
          <w:szCs w:val="20"/>
        </w:rPr>
        <w:t xml:space="preserve">van Haute S, López-Gálvez F, Gómez-López VM, Eriksson M, Devlieghere F, Allende A, Sampers I (2015a) Methodology for modeling the disinfection efficiency of fresh-cut leafy vegetables wash water applied on peracetic acid combined with lactic acid. International Journal of Food Microbiology 208:102–113. </w:t>
      </w:r>
      <w:hyperlink r:id="rId404" w:history="1">
        <w:r w:rsidR="00010BAE" w:rsidRPr="006032FF">
          <w:rPr>
            <w:rStyle w:val="Hyperlink"/>
            <w:rFonts w:cs="Arial"/>
            <w:sz w:val="20"/>
            <w:szCs w:val="20"/>
          </w:rPr>
          <w:t>https://doi.org/10.1016/j.ijfoodmicro.2015.05.020</w:t>
        </w:r>
      </w:hyperlink>
    </w:p>
    <w:p w14:paraId="414BAD09" w14:textId="65763D67" w:rsidR="00657FDB" w:rsidRPr="006032FF" w:rsidRDefault="00657FDB" w:rsidP="006032FF">
      <w:pPr>
        <w:pStyle w:val="CitaviBibliographyEntry"/>
        <w:spacing w:after="120"/>
        <w:ind w:left="0" w:firstLine="0"/>
        <w:rPr>
          <w:rFonts w:cs="Arial"/>
          <w:sz w:val="20"/>
          <w:szCs w:val="20"/>
        </w:rPr>
      </w:pPr>
      <w:bookmarkStart w:id="866" w:name="_CTVL00157904cd69222430ebcbb9acd958e1692"/>
      <w:bookmarkEnd w:id="865"/>
      <w:r w:rsidRPr="006032FF">
        <w:rPr>
          <w:rFonts w:cs="Arial"/>
          <w:sz w:val="20"/>
          <w:szCs w:val="20"/>
        </w:rPr>
        <w:t xml:space="preserve">van Haute S, Tryland I, Veys A, Sampers I (2015b) Wash water disinfection of a full-scale leafy vegetables washing process with hydrogen peroxide and the use of a commercial metal ion mixture to improve disinfection efficiency. Food Control 50:173–183. </w:t>
      </w:r>
      <w:hyperlink r:id="rId405" w:history="1">
        <w:r w:rsidR="00010BAE" w:rsidRPr="006032FF">
          <w:rPr>
            <w:rStyle w:val="Hyperlink"/>
            <w:rFonts w:cs="Arial"/>
            <w:sz w:val="20"/>
            <w:szCs w:val="20"/>
          </w:rPr>
          <w:t>https://doi.org/10.1016/j.foodcont.2014.08.028</w:t>
        </w:r>
      </w:hyperlink>
    </w:p>
    <w:p w14:paraId="529EF07A" w14:textId="6D48CC6E" w:rsidR="00657FDB" w:rsidRPr="006032FF" w:rsidRDefault="00657FDB" w:rsidP="006032FF">
      <w:pPr>
        <w:pStyle w:val="CitaviBibliographyEntry"/>
        <w:spacing w:after="120"/>
        <w:ind w:left="0" w:firstLine="0"/>
        <w:rPr>
          <w:rFonts w:cs="Arial"/>
          <w:sz w:val="20"/>
          <w:szCs w:val="20"/>
        </w:rPr>
      </w:pPr>
      <w:bookmarkStart w:id="867" w:name="_CTVL001177e4996db0e4765956eb07c232c7b55"/>
      <w:bookmarkEnd w:id="866"/>
      <w:r w:rsidRPr="006032FF">
        <w:rPr>
          <w:rFonts w:cs="Arial"/>
          <w:sz w:val="20"/>
          <w:szCs w:val="20"/>
        </w:rPr>
        <w:t xml:space="preserve">van Haute S, Tryland I, Escudero C, Vanneste M, Sampers I (2017) Chlorine dioxide as water disinfectant during fresh-cut iceberg lettuce washing: Disinfectant demand, disinfection efficiency, and chlorite formation. LWT 75:301–304. </w:t>
      </w:r>
      <w:hyperlink r:id="rId406" w:history="1">
        <w:r w:rsidR="00010BAE" w:rsidRPr="006032FF">
          <w:rPr>
            <w:rStyle w:val="Hyperlink"/>
            <w:rFonts w:cs="Arial"/>
            <w:sz w:val="20"/>
            <w:szCs w:val="20"/>
          </w:rPr>
          <w:t>https://doi.org/10.1016/j.lwt.2016.09.002</w:t>
        </w:r>
      </w:hyperlink>
    </w:p>
    <w:p w14:paraId="1E9B0984" w14:textId="4B767D95" w:rsidR="00657FDB" w:rsidRPr="006032FF" w:rsidRDefault="00657FDB" w:rsidP="006032FF">
      <w:pPr>
        <w:pStyle w:val="CitaviBibliographyEntry"/>
        <w:spacing w:after="120"/>
        <w:ind w:left="0" w:firstLine="0"/>
        <w:rPr>
          <w:rFonts w:cs="Arial"/>
          <w:sz w:val="20"/>
          <w:szCs w:val="20"/>
        </w:rPr>
      </w:pPr>
      <w:bookmarkStart w:id="868" w:name="_CTVL00105a8e019d8de4882a83435f6539377a6"/>
      <w:bookmarkEnd w:id="867"/>
      <w:r w:rsidRPr="006032FF">
        <w:rPr>
          <w:rFonts w:cs="Arial"/>
          <w:sz w:val="20"/>
          <w:szCs w:val="20"/>
        </w:rPr>
        <w:t xml:space="preserve">van Ogtrop F (2018) What’s in the water?: Links between irrigation water quality and food safety. </w:t>
      </w:r>
      <w:hyperlink r:id="rId407" w:history="1">
        <w:r w:rsidR="00010BAE" w:rsidRPr="006032FF">
          <w:rPr>
            <w:rStyle w:val="Hyperlink"/>
            <w:rFonts w:cs="Arial"/>
            <w:sz w:val="20"/>
            <w:szCs w:val="20"/>
          </w:rPr>
          <w:t>https://www.melonsaustralia.org.au/wp-content/uploads/2018/12/Whats-in-the-water_FvanOgtrop-1.pdf</w:t>
        </w:r>
      </w:hyperlink>
      <w:r w:rsidRPr="006032FF">
        <w:rPr>
          <w:rFonts w:cs="Arial"/>
          <w:sz w:val="20"/>
          <w:szCs w:val="20"/>
        </w:rPr>
        <w:t>. Accessed 17 October 2020</w:t>
      </w:r>
    </w:p>
    <w:p w14:paraId="49A28F0F" w14:textId="77E5B2DF" w:rsidR="00657FDB" w:rsidRPr="006032FF" w:rsidRDefault="00657FDB" w:rsidP="006032FF">
      <w:pPr>
        <w:pStyle w:val="CitaviBibliographyEntry"/>
        <w:spacing w:after="120"/>
        <w:ind w:left="0" w:firstLine="0"/>
        <w:rPr>
          <w:rFonts w:cs="Arial"/>
          <w:sz w:val="20"/>
          <w:szCs w:val="20"/>
        </w:rPr>
      </w:pPr>
      <w:bookmarkStart w:id="869" w:name="_CTVL001b4ba2ef8bb394adf8230e4e0e5c5fe81"/>
      <w:bookmarkEnd w:id="868"/>
      <w:r w:rsidRPr="006032FF">
        <w:rPr>
          <w:rFonts w:cs="Arial"/>
          <w:sz w:val="20"/>
          <w:szCs w:val="20"/>
        </w:rPr>
        <w:t xml:space="preserve">Verhaelen K, Bouwknegt M, Lodder-Verschoor F, Rutjes SA, de Roda Husman, Ann M (2012) Persistence of human norovirus GII.4 and GI.4, murine norovirus, and human adenovirus on soft berries as compared with PBS at commonly applied storage conditions. International Journal of Food Microbiology 160:137–144. </w:t>
      </w:r>
      <w:hyperlink r:id="rId408" w:history="1">
        <w:r w:rsidR="00010BAE" w:rsidRPr="006032FF">
          <w:rPr>
            <w:rStyle w:val="Hyperlink"/>
            <w:rFonts w:cs="Arial"/>
            <w:sz w:val="20"/>
            <w:szCs w:val="20"/>
          </w:rPr>
          <w:t>https://doi.org/10.1016/j.ijfoodmicro.2012.10.008</w:t>
        </w:r>
      </w:hyperlink>
    </w:p>
    <w:p w14:paraId="2AF3B59E" w14:textId="7F5F7F7D" w:rsidR="00657FDB" w:rsidRPr="006032FF" w:rsidRDefault="00657FDB" w:rsidP="006032FF">
      <w:pPr>
        <w:pStyle w:val="CitaviBibliographyEntry"/>
        <w:spacing w:after="120"/>
        <w:ind w:left="0" w:firstLine="0"/>
        <w:rPr>
          <w:rFonts w:cs="Arial"/>
          <w:sz w:val="20"/>
          <w:szCs w:val="20"/>
        </w:rPr>
      </w:pPr>
      <w:bookmarkStart w:id="870" w:name="_CTVL001dd561dd715d245cd9f54057585396868"/>
      <w:bookmarkEnd w:id="869"/>
      <w:r w:rsidRPr="006032FF">
        <w:rPr>
          <w:rFonts w:cs="Arial"/>
          <w:sz w:val="20"/>
          <w:szCs w:val="20"/>
        </w:rPr>
        <w:t xml:space="preserve">Verhaelen K, Bouwknegt M, Rutjes SA, de Roda Husman, Ann M (2013a) Persistence of human norovirus in reconstituted pesticides — Pesticide application as a possible source of viruses in fresh produce chains. International Journal of Food Microbiology 160:323–328. </w:t>
      </w:r>
      <w:hyperlink r:id="rId409" w:history="1">
        <w:r w:rsidR="00010BAE" w:rsidRPr="006032FF">
          <w:rPr>
            <w:rStyle w:val="Hyperlink"/>
            <w:rFonts w:cs="Arial"/>
            <w:sz w:val="20"/>
            <w:szCs w:val="20"/>
          </w:rPr>
          <w:t>https://doi.org/10.1016/j.ijfoodmicro.2012.11.007</w:t>
        </w:r>
      </w:hyperlink>
    </w:p>
    <w:p w14:paraId="16AAE6B6" w14:textId="6DB7BFDD" w:rsidR="00657FDB" w:rsidRPr="006032FF" w:rsidRDefault="00657FDB" w:rsidP="006032FF">
      <w:pPr>
        <w:pStyle w:val="CitaviBibliographyEntry"/>
        <w:spacing w:after="120"/>
        <w:ind w:left="0" w:firstLine="0"/>
        <w:rPr>
          <w:rFonts w:cs="Arial"/>
          <w:sz w:val="20"/>
          <w:szCs w:val="20"/>
        </w:rPr>
      </w:pPr>
      <w:bookmarkStart w:id="871" w:name="_CTVL001276ab37c975543e89058bd09cb087d3c"/>
      <w:bookmarkEnd w:id="870"/>
      <w:r w:rsidRPr="006032FF">
        <w:rPr>
          <w:rFonts w:cs="Arial"/>
          <w:sz w:val="20"/>
          <w:szCs w:val="20"/>
        </w:rPr>
        <w:t xml:space="preserve">Verhaelen K, Bouwknegt M, Carratalà A, Lodder-Verschoor F, Diez-Valcarce M, Rodríguez-Lázaro D, de Roda Husman, Ann M, Rutjes SA (2013b) Virus transfer proportions between gloved fingertips, soft berries, and lettuce, and associated health risks. International Journal of Food Microbiology 166:419–425. </w:t>
      </w:r>
      <w:hyperlink r:id="rId410" w:history="1">
        <w:r w:rsidR="00010BAE" w:rsidRPr="006032FF">
          <w:rPr>
            <w:rStyle w:val="Hyperlink"/>
            <w:rFonts w:cs="Arial"/>
            <w:sz w:val="20"/>
            <w:szCs w:val="20"/>
          </w:rPr>
          <w:t>https://doi.org/10.1016/j.ijfoodmicro.2013.07.025</w:t>
        </w:r>
      </w:hyperlink>
    </w:p>
    <w:p w14:paraId="2D612192" w14:textId="72773A0D" w:rsidR="00657FDB" w:rsidRPr="006032FF" w:rsidRDefault="00657FDB" w:rsidP="006032FF">
      <w:pPr>
        <w:pStyle w:val="CitaviBibliographyEntry"/>
        <w:spacing w:after="120"/>
        <w:ind w:left="0" w:firstLine="0"/>
        <w:rPr>
          <w:rFonts w:cs="Arial"/>
          <w:sz w:val="20"/>
          <w:szCs w:val="20"/>
        </w:rPr>
      </w:pPr>
      <w:bookmarkStart w:id="872" w:name="_CTVL00170f41035da6549b1af41ff3bb3085e4c"/>
      <w:bookmarkEnd w:id="871"/>
      <w:r w:rsidRPr="006032FF">
        <w:rPr>
          <w:rFonts w:cs="Arial"/>
          <w:sz w:val="20"/>
          <w:szCs w:val="20"/>
        </w:rPr>
        <w:t xml:space="preserve">Vital PG, Dimasuay KGB, Widmer KW, Rivera WL (2014) Microbiological quality of fresh produce from open air markets and supermarkets in the Philippines. Scientific World Journal 2014:219534. </w:t>
      </w:r>
      <w:hyperlink r:id="rId411" w:history="1">
        <w:r w:rsidR="00010BAE" w:rsidRPr="006032FF">
          <w:rPr>
            <w:rStyle w:val="Hyperlink"/>
            <w:rFonts w:cs="Arial"/>
            <w:sz w:val="20"/>
            <w:szCs w:val="20"/>
          </w:rPr>
          <w:t>https://doi.org/10.1155/2014/219534</w:t>
        </w:r>
      </w:hyperlink>
    </w:p>
    <w:p w14:paraId="54CF2D40" w14:textId="77777777" w:rsidR="00455A97" w:rsidRDefault="00455A97">
      <w:pPr>
        <w:widowControl/>
        <w:rPr>
          <w:rFonts w:cs="Arial"/>
          <w:color w:val="000000" w:themeColor="text1"/>
          <w:sz w:val="20"/>
          <w:szCs w:val="20"/>
        </w:rPr>
      </w:pPr>
      <w:bookmarkStart w:id="873" w:name="_CTVL001d586df2f121b404baf16710d9a8a132f"/>
      <w:bookmarkEnd w:id="872"/>
      <w:r>
        <w:rPr>
          <w:rFonts w:cs="Arial"/>
          <w:sz w:val="20"/>
          <w:szCs w:val="20"/>
        </w:rPr>
        <w:br w:type="page"/>
      </w:r>
    </w:p>
    <w:p w14:paraId="0FFB4351" w14:textId="063FB353"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Wang H, Feng H, Liang W, Luo Y, Malyarchuk V (2009) Effect of surface roughness on retention and removal of </w:t>
      </w:r>
      <w:bookmarkEnd w:id="873"/>
      <w:r w:rsidRPr="006032FF">
        <w:rPr>
          <w:rFonts w:cs="Arial"/>
          <w:i/>
          <w:sz w:val="20"/>
          <w:szCs w:val="20"/>
        </w:rPr>
        <w:t xml:space="preserve">Escherichia coli </w:t>
      </w:r>
      <w:r w:rsidRPr="006032FF">
        <w:rPr>
          <w:rFonts w:cs="Arial"/>
          <w:sz w:val="20"/>
          <w:szCs w:val="20"/>
        </w:rPr>
        <w:t xml:space="preserve">O157:H7 on surfaces of selected fruits. Journal of Food Science 74:E8-E15. </w:t>
      </w:r>
      <w:hyperlink r:id="rId412" w:history="1">
        <w:r w:rsidR="00010BAE" w:rsidRPr="006032FF">
          <w:rPr>
            <w:rStyle w:val="Hyperlink"/>
            <w:rFonts w:cs="Arial"/>
            <w:sz w:val="20"/>
            <w:szCs w:val="20"/>
          </w:rPr>
          <w:t>https://doi.org/10.1111/j.1750-3841.2008.00998.x</w:t>
        </w:r>
      </w:hyperlink>
    </w:p>
    <w:p w14:paraId="0F41FA9B" w14:textId="52DBC3D7" w:rsidR="00657FDB" w:rsidRPr="006032FF" w:rsidRDefault="00657FDB" w:rsidP="006032FF">
      <w:pPr>
        <w:pStyle w:val="CitaviBibliographyEntry"/>
        <w:spacing w:after="120"/>
        <w:ind w:left="0" w:firstLine="0"/>
        <w:rPr>
          <w:rFonts w:cs="Arial"/>
          <w:sz w:val="20"/>
          <w:szCs w:val="20"/>
        </w:rPr>
      </w:pPr>
      <w:bookmarkStart w:id="874" w:name="_CTVL0014721e8b5b45c41768ff897000b1c8f59"/>
      <w:r w:rsidRPr="006032FF">
        <w:rPr>
          <w:rFonts w:cs="Arial"/>
          <w:sz w:val="20"/>
          <w:szCs w:val="20"/>
        </w:rPr>
        <w:t xml:space="preserve">Ward M, Dhingra R, Remais JV, Chang HH, Johnston LM, Jaykus L-A, Leon J (2015) Associations between weather and microbial load on fresh produce prior to harvest. Journal of Food Protection 78:849–854. </w:t>
      </w:r>
      <w:hyperlink r:id="rId413" w:history="1">
        <w:r w:rsidR="00010BAE" w:rsidRPr="006032FF">
          <w:rPr>
            <w:rStyle w:val="Hyperlink"/>
            <w:rFonts w:cs="Arial"/>
            <w:sz w:val="20"/>
            <w:szCs w:val="20"/>
          </w:rPr>
          <w:t>https://doi.org/10.4315/0362-028X.JFP-14-381</w:t>
        </w:r>
      </w:hyperlink>
    </w:p>
    <w:p w14:paraId="46A51D41" w14:textId="534AED06" w:rsidR="00657FDB" w:rsidRPr="006032FF" w:rsidRDefault="00657FDB" w:rsidP="006032FF">
      <w:pPr>
        <w:pStyle w:val="CitaviBibliographyEntry"/>
        <w:spacing w:after="120"/>
        <w:ind w:left="0" w:firstLine="0"/>
        <w:rPr>
          <w:rFonts w:cs="Arial"/>
          <w:sz w:val="20"/>
          <w:szCs w:val="20"/>
        </w:rPr>
      </w:pPr>
      <w:bookmarkStart w:id="875" w:name="_CTVL001e908dd08ac00450a94425b0da3310a5c"/>
      <w:bookmarkEnd w:id="874"/>
      <w:r w:rsidRPr="006032FF">
        <w:rPr>
          <w:rFonts w:cs="Arial"/>
          <w:sz w:val="20"/>
          <w:szCs w:val="20"/>
        </w:rPr>
        <w:t xml:space="preserve">Warriner K, Spaniolas S, Dickinson M, Wright C, Waites WM (2003) Internalization of bioluminescent </w:t>
      </w:r>
      <w:bookmarkEnd w:id="875"/>
      <w:r w:rsidRPr="006032FF">
        <w:rPr>
          <w:rFonts w:cs="Arial"/>
          <w:i/>
          <w:sz w:val="20"/>
          <w:szCs w:val="20"/>
        </w:rPr>
        <w:t xml:space="preserve">Escherichia coli </w:t>
      </w:r>
      <w:r w:rsidRPr="006032FF">
        <w:rPr>
          <w:rFonts w:cs="Arial"/>
          <w:sz w:val="20"/>
          <w:szCs w:val="20"/>
        </w:rPr>
        <w:t xml:space="preserve">and </w:t>
      </w:r>
      <w:r w:rsidRPr="006032FF">
        <w:rPr>
          <w:rFonts w:cs="Arial"/>
          <w:i/>
          <w:sz w:val="20"/>
          <w:szCs w:val="20"/>
        </w:rPr>
        <w:t xml:space="preserve">Salmonella </w:t>
      </w:r>
      <w:r w:rsidRPr="006032FF">
        <w:rPr>
          <w:rFonts w:cs="Arial"/>
          <w:sz w:val="20"/>
          <w:szCs w:val="20"/>
        </w:rPr>
        <w:t xml:space="preserve">Montevideo in growing bean sprouts. Journal of Applied Microbiology 95:719–727. </w:t>
      </w:r>
      <w:hyperlink r:id="rId414" w:history="1">
        <w:r w:rsidR="00010BAE" w:rsidRPr="006032FF">
          <w:rPr>
            <w:rStyle w:val="Hyperlink"/>
            <w:rFonts w:cs="Arial"/>
            <w:sz w:val="20"/>
            <w:szCs w:val="20"/>
          </w:rPr>
          <w:t>https://doi.org/10.1046/j.1365-2672.2003.02037.x</w:t>
        </w:r>
      </w:hyperlink>
    </w:p>
    <w:p w14:paraId="7A6771EA" w14:textId="607A01C5" w:rsidR="00657FDB" w:rsidRPr="006032FF" w:rsidRDefault="00657FDB" w:rsidP="006032FF">
      <w:pPr>
        <w:pStyle w:val="CitaviBibliographyEntry"/>
        <w:spacing w:after="120"/>
        <w:ind w:left="0" w:firstLine="0"/>
        <w:rPr>
          <w:rFonts w:cs="Arial"/>
          <w:sz w:val="20"/>
          <w:szCs w:val="20"/>
        </w:rPr>
      </w:pPr>
      <w:bookmarkStart w:id="876" w:name="_CTVL001e8b60a533fa6475f9c3da0599e5454da"/>
      <w:r w:rsidRPr="006032FF">
        <w:rPr>
          <w:rFonts w:cs="Arial"/>
          <w:sz w:val="20"/>
          <w:szCs w:val="20"/>
        </w:rPr>
        <w:t xml:space="preserve">Webb CC, Erickson MC, Davey LE, Doyle MP (2015) Evaluation of single or double hurdle sanitizer applications in simulated field or packing shed operations for cantaloupes contaminated with </w:t>
      </w:r>
      <w:bookmarkEnd w:id="876"/>
      <w:r w:rsidR="00F87CC5">
        <w:rPr>
          <w:rFonts w:cs="Arial"/>
          <w:i/>
          <w:sz w:val="20"/>
          <w:szCs w:val="20"/>
        </w:rPr>
        <w:t>Listeria </w:t>
      </w:r>
      <w:r w:rsidRPr="006032FF">
        <w:rPr>
          <w:rFonts w:cs="Arial"/>
          <w:i/>
          <w:sz w:val="20"/>
          <w:szCs w:val="20"/>
        </w:rPr>
        <w:t>monocytogenes</w:t>
      </w:r>
      <w:r w:rsidRPr="006032FF">
        <w:rPr>
          <w:rFonts w:cs="Arial"/>
          <w:sz w:val="20"/>
          <w:szCs w:val="20"/>
        </w:rPr>
        <w:t xml:space="preserve">. Agriculture 5:231–244. </w:t>
      </w:r>
      <w:hyperlink r:id="rId415" w:history="1">
        <w:r w:rsidR="00010BAE" w:rsidRPr="006032FF">
          <w:rPr>
            <w:rStyle w:val="Hyperlink"/>
            <w:rFonts w:cs="Arial"/>
            <w:sz w:val="20"/>
            <w:szCs w:val="20"/>
          </w:rPr>
          <w:t>https://doi.org/10.3390/agriculture5020231</w:t>
        </w:r>
      </w:hyperlink>
    </w:p>
    <w:p w14:paraId="42E72A20" w14:textId="02442F71" w:rsidR="00657FDB" w:rsidRPr="006032FF" w:rsidRDefault="00657FDB" w:rsidP="006032FF">
      <w:pPr>
        <w:pStyle w:val="CitaviBibliographyEntry"/>
        <w:spacing w:after="120"/>
        <w:ind w:left="0" w:firstLine="0"/>
        <w:rPr>
          <w:rFonts w:cs="Arial"/>
          <w:sz w:val="20"/>
          <w:szCs w:val="20"/>
        </w:rPr>
      </w:pPr>
      <w:bookmarkStart w:id="877" w:name="_CTVL001e7bdf72a62124958a92ba1193b8dd3bd"/>
      <w:r w:rsidRPr="006032FF">
        <w:rPr>
          <w:rFonts w:cs="Arial"/>
          <w:sz w:val="20"/>
          <w:szCs w:val="20"/>
        </w:rPr>
        <w:t xml:space="preserve">Wei J, Jin Y, Sims T, Kniel KE (2010) Survival of murine norovirus and hepatitis A virus in different types of manure and biosolids. Foodborne Pathogens and Disease 7:901–906. </w:t>
      </w:r>
      <w:hyperlink r:id="rId416" w:history="1">
        <w:r w:rsidR="00010BAE" w:rsidRPr="006032FF">
          <w:rPr>
            <w:rStyle w:val="Hyperlink"/>
            <w:rFonts w:cs="Arial"/>
            <w:sz w:val="20"/>
            <w:szCs w:val="20"/>
          </w:rPr>
          <w:t>https://doi.org/10.1089/fpd.2009.0490</w:t>
        </w:r>
      </w:hyperlink>
    </w:p>
    <w:p w14:paraId="502165A9" w14:textId="70BF96F2" w:rsidR="00657FDB" w:rsidRPr="006032FF" w:rsidRDefault="00657FDB" w:rsidP="006032FF">
      <w:pPr>
        <w:pStyle w:val="CitaviBibliographyEntry"/>
        <w:spacing w:after="120"/>
        <w:ind w:left="0" w:firstLine="0"/>
        <w:rPr>
          <w:rFonts w:cs="Arial"/>
          <w:sz w:val="20"/>
          <w:szCs w:val="20"/>
        </w:rPr>
      </w:pPr>
      <w:bookmarkStart w:id="878" w:name="_CTVL0011833b84f71c54d52818a9a4a7abe23ef"/>
      <w:bookmarkEnd w:id="877"/>
      <w:r w:rsidRPr="006032FF">
        <w:rPr>
          <w:rFonts w:cs="Arial"/>
          <w:sz w:val="20"/>
          <w:szCs w:val="20"/>
        </w:rPr>
        <w:t xml:space="preserve">Weller D, Wiedmann M, Strawn LK (2015) Spatial and temporal factors associated with an increased prevalence of </w:t>
      </w:r>
      <w:bookmarkEnd w:id="878"/>
      <w:r w:rsidRPr="006032FF">
        <w:rPr>
          <w:rFonts w:cs="Arial"/>
          <w:i/>
          <w:sz w:val="20"/>
          <w:szCs w:val="20"/>
        </w:rPr>
        <w:t xml:space="preserve">Listeria monocytogenes </w:t>
      </w:r>
      <w:r w:rsidRPr="006032FF">
        <w:rPr>
          <w:rFonts w:cs="Arial"/>
          <w:sz w:val="20"/>
          <w:szCs w:val="20"/>
        </w:rPr>
        <w:t xml:space="preserve">in spinach fields in New York state. Applied and Environmental Microbiology 81:6059–6069. </w:t>
      </w:r>
      <w:hyperlink r:id="rId417" w:history="1">
        <w:r w:rsidR="00010BAE" w:rsidRPr="006032FF">
          <w:rPr>
            <w:rStyle w:val="Hyperlink"/>
            <w:rFonts w:cs="Arial"/>
            <w:sz w:val="20"/>
            <w:szCs w:val="20"/>
          </w:rPr>
          <w:t>https://doi.org/10.1128/AEM.01286-15</w:t>
        </w:r>
      </w:hyperlink>
    </w:p>
    <w:p w14:paraId="0F0DEDE6" w14:textId="18A261F2" w:rsidR="00657FDB" w:rsidRPr="006032FF" w:rsidRDefault="00657FDB" w:rsidP="006032FF">
      <w:pPr>
        <w:pStyle w:val="CitaviBibliographyEntry"/>
        <w:spacing w:after="120"/>
        <w:ind w:left="0" w:firstLine="0"/>
        <w:rPr>
          <w:rFonts w:cs="Arial"/>
          <w:sz w:val="20"/>
          <w:szCs w:val="20"/>
        </w:rPr>
      </w:pPr>
      <w:bookmarkStart w:id="879" w:name="_CTVL001280ea08ee7ff492b8775b9273068976b"/>
      <w:r w:rsidRPr="006032FF">
        <w:rPr>
          <w:rFonts w:cs="Arial"/>
          <w:sz w:val="20"/>
          <w:szCs w:val="20"/>
        </w:rPr>
        <w:t xml:space="preserve">Weller DL, Kovac J, Kent DJ, Roof S, Tokman JI, Mudrak E, Kowalcyk B, Oryang D, Aceituno A, Wiedmann M (2017) </w:t>
      </w:r>
      <w:bookmarkEnd w:id="879"/>
      <w:r w:rsidRPr="006032FF">
        <w:rPr>
          <w:rFonts w:cs="Arial"/>
          <w:i/>
          <w:sz w:val="20"/>
          <w:szCs w:val="20"/>
        </w:rPr>
        <w:t>Escherichia coli</w:t>
      </w:r>
      <w:r w:rsidRPr="006032FF">
        <w:rPr>
          <w:rFonts w:cs="Arial"/>
          <w:sz w:val="20"/>
          <w:szCs w:val="20"/>
        </w:rPr>
        <w:t xml:space="preserve"> transfer from simulated wildlife feces to lettuce during foliar irrigation: A field study in the Northeastern United States. Food Microbiology 68:24–33. </w:t>
      </w:r>
      <w:hyperlink r:id="rId418" w:history="1">
        <w:r w:rsidR="00010BAE" w:rsidRPr="006032FF">
          <w:rPr>
            <w:rStyle w:val="Hyperlink"/>
            <w:rFonts w:cs="Arial"/>
            <w:sz w:val="20"/>
            <w:szCs w:val="20"/>
          </w:rPr>
          <w:t>https://doi.org/10.1016/j.fm.2017.06.009</w:t>
        </w:r>
      </w:hyperlink>
    </w:p>
    <w:p w14:paraId="52878B18" w14:textId="7AD0AB70" w:rsidR="00657FDB" w:rsidRPr="006032FF" w:rsidRDefault="00657FDB" w:rsidP="006032FF">
      <w:pPr>
        <w:pStyle w:val="CitaviBibliographyEntry"/>
        <w:spacing w:after="120"/>
        <w:ind w:left="0" w:firstLine="0"/>
        <w:rPr>
          <w:rFonts w:cs="Arial"/>
          <w:sz w:val="20"/>
          <w:szCs w:val="20"/>
        </w:rPr>
      </w:pPr>
      <w:bookmarkStart w:id="880" w:name="_CTVL0015416eee79a06489a8aa741a0cbcb0f83"/>
      <w:r w:rsidRPr="006032FF">
        <w:rPr>
          <w:rFonts w:cs="Arial"/>
          <w:sz w:val="20"/>
          <w:szCs w:val="20"/>
        </w:rPr>
        <w:t xml:space="preserve">Wilk P, Carruthers G, Mansfield C, Hood V (2009) Irrigation and moisture monitoring in blueberries. Primefact 827. New South Wales Department of Primary Industries, Orange. </w:t>
      </w:r>
      <w:hyperlink r:id="rId419" w:history="1">
        <w:r w:rsidR="00010BAE" w:rsidRPr="006032FF">
          <w:rPr>
            <w:rStyle w:val="Hyperlink"/>
            <w:rFonts w:cs="Arial"/>
            <w:sz w:val="20"/>
            <w:szCs w:val="20"/>
          </w:rPr>
          <w:t>https://www.dpi.nsw.gov.au/__data/assets/pdf_file/0016/303325/Irrigation-and-moisture-monitoring-in-blueberries.pdf</w:t>
        </w:r>
      </w:hyperlink>
      <w:r w:rsidRPr="006032FF">
        <w:rPr>
          <w:rFonts w:cs="Arial"/>
          <w:sz w:val="20"/>
          <w:szCs w:val="20"/>
        </w:rPr>
        <w:t>. Accessed 22 October 2020</w:t>
      </w:r>
    </w:p>
    <w:p w14:paraId="0D1CC96D" w14:textId="14C4CCE6" w:rsidR="00657FDB" w:rsidRPr="006032FF" w:rsidRDefault="00657FDB" w:rsidP="006032FF">
      <w:pPr>
        <w:pStyle w:val="CitaviBibliographyEntry"/>
        <w:spacing w:after="120"/>
        <w:ind w:left="0" w:firstLine="0"/>
        <w:rPr>
          <w:rFonts w:cs="Arial"/>
          <w:sz w:val="20"/>
          <w:szCs w:val="20"/>
        </w:rPr>
      </w:pPr>
      <w:bookmarkStart w:id="881" w:name="_CTVL001048c701bf1bf45f2a5ee253865ea726c"/>
      <w:bookmarkEnd w:id="880"/>
      <w:r w:rsidRPr="006032FF">
        <w:rPr>
          <w:rFonts w:cs="Arial"/>
          <w:sz w:val="20"/>
          <w:szCs w:val="20"/>
        </w:rPr>
        <w:t xml:space="preserve">Williamson CE, Madronich S, Lal A, Zepp RG, Lucas RM, Overholt EP, Rose KC, Schladow SG, Lee-Taylor J (2017) Climate change-induced increases in precipitation are reducing the potential for solar ultraviolet radiation to inactivate pathogens in surface waters. Scientific Reports 7:13033. </w:t>
      </w:r>
      <w:hyperlink r:id="rId420" w:history="1">
        <w:r w:rsidR="00010BAE" w:rsidRPr="006032FF">
          <w:rPr>
            <w:rStyle w:val="Hyperlink"/>
            <w:rFonts w:cs="Arial"/>
            <w:sz w:val="20"/>
            <w:szCs w:val="20"/>
          </w:rPr>
          <w:t>https://doi.org/10.1038/s41598-017-13392-2</w:t>
        </w:r>
      </w:hyperlink>
    </w:p>
    <w:p w14:paraId="2DFF7F92" w14:textId="1739918C" w:rsidR="00657FDB" w:rsidRPr="006032FF" w:rsidRDefault="00657FDB" w:rsidP="006032FF">
      <w:pPr>
        <w:pStyle w:val="CitaviBibliographyEntry"/>
        <w:spacing w:after="120"/>
        <w:ind w:left="0" w:firstLine="0"/>
        <w:rPr>
          <w:rFonts w:cs="Arial"/>
          <w:sz w:val="20"/>
          <w:szCs w:val="20"/>
        </w:rPr>
      </w:pPr>
      <w:bookmarkStart w:id="882" w:name="_CTVL0017352b7cbbf1e4e1bac2830df7b239856"/>
      <w:bookmarkEnd w:id="881"/>
      <w:r w:rsidRPr="006032FF">
        <w:rPr>
          <w:rFonts w:cs="Arial"/>
          <w:sz w:val="20"/>
          <w:szCs w:val="20"/>
        </w:rPr>
        <w:t>Won G, Schlegel PJ, Schrock JM, LeJeune JT (2013a) Absence of direct association between coliforms and</w:t>
      </w:r>
      <w:bookmarkEnd w:id="882"/>
      <w:r w:rsidRPr="006032FF">
        <w:rPr>
          <w:rFonts w:cs="Arial"/>
          <w:i/>
          <w:sz w:val="20"/>
          <w:szCs w:val="20"/>
        </w:rPr>
        <w:t xml:space="preserve"> Escherichia coli </w:t>
      </w:r>
      <w:r w:rsidRPr="006032FF">
        <w:rPr>
          <w:rFonts w:cs="Arial"/>
          <w:sz w:val="20"/>
          <w:szCs w:val="20"/>
        </w:rPr>
        <w:t xml:space="preserve">in irrigation water and on produce. Journal of Food Protection 76:959–966. </w:t>
      </w:r>
      <w:hyperlink r:id="rId421" w:history="1">
        <w:r w:rsidR="00010BAE" w:rsidRPr="006032FF">
          <w:rPr>
            <w:rStyle w:val="Hyperlink"/>
            <w:rFonts w:cs="Arial"/>
            <w:sz w:val="20"/>
            <w:szCs w:val="20"/>
          </w:rPr>
          <w:t>https://doi.org/10.4315/0362-028X.JFP-12-512</w:t>
        </w:r>
      </w:hyperlink>
    </w:p>
    <w:p w14:paraId="59750601" w14:textId="255F88BE" w:rsidR="00657FDB" w:rsidRPr="006032FF" w:rsidRDefault="00657FDB" w:rsidP="006032FF">
      <w:pPr>
        <w:pStyle w:val="CitaviBibliographyEntry"/>
        <w:spacing w:after="120"/>
        <w:ind w:left="0" w:firstLine="0"/>
        <w:rPr>
          <w:rFonts w:cs="Arial"/>
          <w:sz w:val="20"/>
          <w:szCs w:val="20"/>
        </w:rPr>
      </w:pPr>
      <w:bookmarkStart w:id="883" w:name="_CTVL0010875272a7ab24449b14f7fa41b0514ce"/>
      <w:r w:rsidRPr="006032FF">
        <w:rPr>
          <w:rFonts w:cs="Arial"/>
          <w:sz w:val="20"/>
          <w:szCs w:val="20"/>
        </w:rPr>
        <w:t xml:space="preserve">Won G, Terence R., LeJeune JT (2013b) Spatial-temporal variations of microbial water quality in surface reservoirs and canals used for irrigation. Agricultural Water Management 116:73–78. </w:t>
      </w:r>
      <w:hyperlink r:id="rId422" w:history="1">
        <w:r w:rsidR="00010BAE" w:rsidRPr="006032FF">
          <w:rPr>
            <w:rStyle w:val="Hyperlink"/>
            <w:rFonts w:cs="Arial"/>
            <w:sz w:val="20"/>
            <w:szCs w:val="20"/>
          </w:rPr>
          <w:t>https://doi.org/10.1016/j.agwat.2012.10.007</w:t>
        </w:r>
      </w:hyperlink>
    </w:p>
    <w:p w14:paraId="342BE55B" w14:textId="2425627F" w:rsidR="00657FDB" w:rsidRPr="006032FF" w:rsidRDefault="00657FDB" w:rsidP="006032FF">
      <w:pPr>
        <w:pStyle w:val="CitaviBibliographyEntry"/>
        <w:spacing w:after="120"/>
        <w:ind w:left="0" w:firstLine="0"/>
        <w:rPr>
          <w:rFonts w:cs="Arial"/>
          <w:sz w:val="20"/>
          <w:szCs w:val="20"/>
        </w:rPr>
      </w:pPr>
      <w:bookmarkStart w:id="884" w:name="_CTVL001385cfccfba3442eb83c119194a9442fd"/>
      <w:bookmarkEnd w:id="883"/>
      <w:r w:rsidRPr="006032FF">
        <w:rPr>
          <w:rFonts w:cs="Arial"/>
          <w:sz w:val="20"/>
          <w:szCs w:val="20"/>
        </w:rPr>
        <w:t xml:space="preserve">Wong CWY, Wang S, Levesque RC, Goodridge L, Delaquis P (2019) Fate of 43 </w:t>
      </w:r>
      <w:bookmarkEnd w:id="884"/>
      <w:r w:rsidRPr="006032FF">
        <w:rPr>
          <w:rFonts w:cs="Arial"/>
          <w:i/>
          <w:sz w:val="20"/>
          <w:szCs w:val="20"/>
        </w:rPr>
        <w:t xml:space="preserve">Salmonella </w:t>
      </w:r>
      <w:r w:rsidRPr="006032FF">
        <w:rPr>
          <w:rFonts w:cs="Arial"/>
          <w:sz w:val="20"/>
          <w:szCs w:val="20"/>
        </w:rPr>
        <w:t xml:space="preserve">strains on lettuce and tomato seedlings. Journal of Food Protection 82:1045–1051. </w:t>
      </w:r>
      <w:hyperlink r:id="rId423" w:history="1">
        <w:r w:rsidR="00010BAE" w:rsidRPr="006032FF">
          <w:rPr>
            <w:rStyle w:val="Hyperlink"/>
            <w:rFonts w:cs="Arial"/>
            <w:sz w:val="20"/>
            <w:szCs w:val="20"/>
          </w:rPr>
          <w:t>https://doi.org/10.4315/0362-028X.JFP-18-435</w:t>
        </w:r>
      </w:hyperlink>
    </w:p>
    <w:p w14:paraId="45C9B3DB" w14:textId="793E7864" w:rsidR="00657FDB" w:rsidRPr="006032FF" w:rsidRDefault="00657FDB" w:rsidP="006032FF">
      <w:pPr>
        <w:pStyle w:val="CitaviBibliographyEntry"/>
        <w:spacing w:after="120"/>
        <w:ind w:left="0" w:firstLine="0"/>
        <w:rPr>
          <w:rFonts w:cs="Arial"/>
          <w:sz w:val="20"/>
          <w:szCs w:val="20"/>
        </w:rPr>
      </w:pPr>
      <w:bookmarkStart w:id="885" w:name="_CTVL0012c9330ba744e44d580646d1fa5cbc38c"/>
      <w:r w:rsidRPr="006032FF">
        <w:rPr>
          <w:rFonts w:cs="Arial"/>
          <w:sz w:val="20"/>
          <w:szCs w:val="20"/>
        </w:rPr>
        <w:t xml:space="preserve">Woodward J (2018) Leafy green horticulture survey. SA Health, Adelaide. </w:t>
      </w:r>
      <w:hyperlink r:id="rId424" w:history="1">
        <w:r w:rsidR="00010BAE" w:rsidRPr="006032FF">
          <w:rPr>
            <w:rStyle w:val="Hyperlink"/>
            <w:rFonts w:cs="Arial"/>
            <w:sz w:val="20"/>
            <w:szCs w:val="20"/>
          </w:rPr>
          <w:t>https://www.sahealth.sa.gov.au/wps/wcm/connect/public+content/sa+health+internet/resources/food+safety+survey+report+-+leafy+greens+horticulture+survey+2017-2018</w:t>
        </w:r>
      </w:hyperlink>
      <w:r w:rsidRPr="006032FF">
        <w:rPr>
          <w:rFonts w:cs="Arial"/>
          <w:sz w:val="20"/>
          <w:szCs w:val="20"/>
        </w:rPr>
        <w:t>. Accessed 4 September 2019</w:t>
      </w:r>
    </w:p>
    <w:p w14:paraId="232C3510" w14:textId="497A59A1" w:rsidR="00657FDB" w:rsidRPr="006032FF" w:rsidRDefault="00657FDB" w:rsidP="006032FF">
      <w:pPr>
        <w:pStyle w:val="CitaviBibliographyEntry"/>
        <w:spacing w:after="120"/>
        <w:ind w:left="0" w:firstLine="0"/>
        <w:rPr>
          <w:rFonts w:cs="Arial"/>
          <w:sz w:val="20"/>
          <w:szCs w:val="20"/>
        </w:rPr>
      </w:pPr>
      <w:bookmarkStart w:id="886" w:name="_CTVL0018b9ce25ab3cd49ddaa41e5ee1e89e6de"/>
      <w:bookmarkEnd w:id="885"/>
      <w:r w:rsidRPr="006032FF">
        <w:rPr>
          <w:rFonts w:cs="Arial"/>
          <w:sz w:val="20"/>
          <w:szCs w:val="20"/>
        </w:rPr>
        <w:t xml:space="preserve">Wright R, Meurant N, Vawdrey L, Hojmark-Anderson J, Lovatt J (1997) Rockmelon and honeydew information kit. Agrilink, your growing guide to better farming guide. </w:t>
      </w:r>
      <w:hyperlink r:id="rId425" w:history="1">
        <w:r w:rsidR="00010BAE" w:rsidRPr="006032FF">
          <w:rPr>
            <w:rStyle w:val="Hyperlink"/>
            <w:rFonts w:cs="Arial"/>
            <w:sz w:val="20"/>
            <w:szCs w:val="20"/>
          </w:rPr>
          <w:t>http://era.daf.qld.gov.au/id/eprint/1650/</w:t>
        </w:r>
      </w:hyperlink>
      <w:r w:rsidRPr="006032FF">
        <w:rPr>
          <w:rFonts w:cs="Arial"/>
          <w:sz w:val="20"/>
          <w:szCs w:val="20"/>
        </w:rPr>
        <w:t>. Accessed 7 December 2020</w:t>
      </w:r>
    </w:p>
    <w:p w14:paraId="3B15D044" w14:textId="56DF36CD" w:rsidR="00657FDB" w:rsidRPr="006032FF" w:rsidRDefault="00657FDB" w:rsidP="006032FF">
      <w:pPr>
        <w:pStyle w:val="CitaviBibliographyEntry"/>
        <w:spacing w:after="120"/>
        <w:ind w:left="0" w:firstLine="0"/>
        <w:rPr>
          <w:rFonts w:cs="Arial"/>
          <w:sz w:val="20"/>
          <w:szCs w:val="20"/>
        </w:rPr>
      </w:pPr>
      <w:bookmarkStart w:id="887" w:name="_CTVL0016367f655416647e39337ce908a223114"/>
      <w:bookmarkEnd w:id="886"/>
      <w:r w:rsidRPr="006032FF">
        <w:rPr>
          <w:rFonts w:cs="Arial"/>
          <w:sz w:val="20"/>
          <w:szCs w:val="20"/>
        </w:rPr>
        <w:t>Wu VC, Drummond F, Jones MS (2013) Evaluation of the level of white-tailed deer fecal colonization by E. coli O157:H7 and the ecological role of dung beetles with the pa</w:t>
      </w:r>
      <w:r w:rsidR="00455A97">
        <w:rPr>
          <w:rFonts w:cs="Arial"/>
          <w:sz w:val="20"/>
          <w:szCs w:val="20"/>
        </w:rPr>
        <w:t>thogen in produce farms. Center </w:t>
      </w:r>
      <w:r w:rsidRPr="006032FF">
        <w:rPr>
          <w:rFonts w:cs="Arial"/>
          <w:sz w:val="20"/>
          <w:szCs w:val="20"/>
        </w:rPr>
        <w:t xml:space="preserve">for Produce Safety, Woodland. </w:t>
      </w:r>
      <w:hyperlink r:id="rId426" w:history="1">
        <w:r w:rsidR="00010BAE" w:rsidRPr="006032FF">
          <w:rPr>
            <w:rStyle w:val="Hyperlink"/>
            <w:rFonts w:cs="Arial"/>
            <w:sz w:val="20"/>
            <w:szCs w:val="20"/>
          </w:rPr>
          <w:t>https://www.centerforproducesafety.org/researchproject/353/awards/Evaluation_of_the_level_of_whitetailed_deer_fecal_colonization_by_E_coli_O157H7_and_the_ecological_role_of_dung_beetles_with_the_pathogen_in_produce_farms.html</w:t>
        </w:r>
      </w:hyperlink>
      <w:r w:rsidRPr="006032FF">
        <w:rPr>
          <w:rFonts w:cs="Arial"/>
          <w:sz w:val="20"/>
          <w:szCs w:val="20"/>
        </w:rPr>
        <w:t>. Accessed 17 December 2020</w:t>
      </w:r>
    </w:p>
    <w:p w14:paraId="554EF3B1" w14:textId="77777777" w:rsidR="00455A97" w:rsidRDefault="00455A97">
      <w:pPr>
        <w:widowControl/>
        <w:rPr>
          <w:rFonts w:cs="Arial"/>
          <w:color w:val="000000" w:themeColor="text1"/>
          <w:sz w:val="20"/>
          <w:szCs w:val="20"/>
        </w:rPr>
      </w:pPr>
      <w:bookmarkStart w:id="888" w:name="_CTVL001c318560e4af3497189759173f34cd506"/>
      <w:bookmarkEnd w:id="887"/>
      <w:r>
        <w:rPr>
          <w:rFonts w:cs="Arial"/>
          <w:sz w:val="20"/>
          <w:szCs w:val="20"/>
        </w:rPr>
        <w:br w:type="page"/>
      </w:r>
    </w:p>
    <w:p w14:paraId="475120E6" w14:textId="2C83BF4F" w:rsidR="00657FDB" w:rsidRPr="006032FF" w:rsidRDefault="00657FDB" w:rsidP="006032FF">
      <w:pPr>
        <w:pStyle w:val="CitaviBibliographyEntry"/>
        <w:spacing w:after="120"/>
        <w:ind w:left="0" w:firstLine="0"/>
        <w:rPr>
          <w:rFonts w:cs="Arial"/>
          <w:sz w:val="20"/>
          <w:szCs w:val="20"/>
        </w:rPr>
      </w:pPr>
      <w:r w:rsidRPr="006032FF">
        <w:rPr>
          <w:rFonts w:cs="Arial"/>
          <w:sz w:val="20"/>
          <w:szCs w:val="20"/>
        </w:rPr>
        <w:t xml:space="preserve">Xiao Z, Bauchan G, Nichols-Russell L, Luo Y, Wang QI, Nou X (2015) Proliferation of </w:t>
      </w:r>
      <w:bookmarkEnd w:id="888"/>
      <w:r w:rsidR="00F87CC5">
        <w:rPr>
          <w:rFonts w:cs="Arial"/>
          <w:i/>
          <w:sz w:val="20"/>
          <w:szCs w:val="20"/>
        </w:rPr>
        <w:t>Escherichia coli </w:t>
      </w:r>
      <w:r w:rsidRPr="006032FF">
        <w:rPr>
          <w:rFonts w:cs="Arial"/>
          <w:sz w:val="20"/>
          <w:szCs w:val="20"/>
        </w:rPr>
        <w:t xml:space="preserve">O157:H7 in soil-substitute and hydroponic microgreen production systems. Journal of Food Protection 78:1785–1790. </w:t>
      </w:r>
      <w:hyperlink r:id="rId427" w:history="1">
        <w:r w:rsidR="00010BAE" w:rsidRPr="006032FF">
          <w:rPr>
            <w:rStyle w:val="Hyperlink"/>
            <w:rFonts w:cs="Arial"/>
            <w:sz w:val="20"/>
            <w:szCs w:val="20"/>
          </w:rPr>
          <w:t>https://doi.org/10.4315/0362-028X.JFP-15-063</w:t>
        </w:r>
      </w:hyperlink>
    </w:p>
    <w:p w14:paraId="6D7FA9E8" w14:textId="5454F05A" w:rsidR="00657FDB" w:rsidRPr="006032FF" w:rsidRDefault="00657FDB" w:rsidP="006032FF">
      <w:pPr>
        <w:pStyle w:val="CitaviBibliographyEntry"/>
        <w:spacing w:after="120"/>
        <w:ind w:left="0" w:firstLine="0"/>
        <w:rPr>
          <w:rFonts w:cs="Arial"/>
          <w:sz w:val="20"/>
          <w:szCs w:val="20"/>
        </w:rPr>
      </w:pPr>
      <w:bookmarkStart w:id="889" w:name="_CTVL0013e241dea4352484fb05c702e6a6baf09"/>
      <w:r w:rsidRPr="006032FF">
        <w:rPr>
          <w:rFonts w:cs="Arial"/>
          <w:sz w:val="20"/>
          <w:szCs w:val="20"/>
        </w:rPr>
        <w:t xml:space="preserve">Yanamala S, Miller MF, Loneragan GH, Gragg SE, Brashears MM (2011) Potential for microbial contamination of spinach through feedyard air/dust growing in close proximity to cattle feedyard operations. Journal of Food Safety 31:525–529. </w:t>
      </w:r>
      <w:hyperlink r:id="rId428" w:history="1">
        <w:r w:rsidR="00010BAE" w:rsidRPr="006032FF">
          <w:rPr>
            <w:rStyle w:val="Hyperlink"/>
            <w:rFonts w:cs="Arial"/>
            <w:sz w:val="20"/>
            <w:szCs w:val="20"/>
          </w:rPr>
          <w:t>https://doi.org/10.1111/j.1745-4565.2011.00330.x</w:t>
        </w:r>
      </w:hyperlink>
    </w:p>
    <w:p w14:paraId="0468ADAC" w14:textId="42DC5338" w:rsidR="00657FDB" w:rsidRPr="006032FF" w:rsidRDefault="00657FDB" w:rsidP="006032FF">
      <w:pPr>
        <w:pStyle w:val="CitaviBibliographyEntry"/>
        <w:spacing w:after="120"/>
        <w:ind w:left="0" w:firstLine="0"/>
        <w:rPr>
          <w:rFonts w:cs="Arial"/>
          <w:sz w:val="20"/>
          <w:szCs w:val="20"/>
        </w:rPr>
      </w:pPr>
      <w:bookmarkStart w:id="890" w:name="_CTVL0011b9e2bec330f428e92c20c5fcf7efea1"/>
      <w:bookmarkEnd w:id="889"/>
      <w:r w:rsidRPr="006032FF">
        <w:rPr>
          <w:rFonts w:cs="Arial"/>
          <w:sz w:val="20"/>
          <w:szCs w:val="20"/>
        </w:rPr>
        <w:t xml:space="preserve">Yang Y, Luo Y, Millner P, Turner E, Feng H (2012) Assessment of </w:t>
      </w:r>
      <w:bookmarkEnd w:id="890"/>
      <w:r w:rsidRPr="006032FF">
        <w:rPr>
          <w:rFonts w:cs="Arial"/>
          <w:i/>
          <w:sz w:val="20"/>
          <w:szCs w:val="20"/>
        </w:rPr>
        <w:t xml:space="preserve">Escherichia coli </w:t>
      </w:r>
      <w:r w:rsidRPr="006032FF">
        <w:rPr>
          <w:rFonts w:cs="Arial"/>
          <w:sz w:val="20"/>
          <w:szCs w:val="20"/>
        </w:rPr>
        <w:t xml:space="preserve">O157:H7 transference from soil to iceberg lettuce via a contaminated field coring harvesting knife. International Journal of Food Microbiology 153:345–350. </w:t>
      </w:r>
      <w:hyperlink r:id="rId429" w:history="1">
        <w:r w:rsidR="00010BAE" w:rsidRPr="006032FF">
          <w:rPr>
            <w:rStyle w:val="Hyperlink"/>
            <w:rFonts w:cs="Arial"/>
            <w:sz w:val="20"/>
            <w:szCs w:val="20"/>
          </w:rPr>
          <w:t>https://doi.org/10.1016/j.ijfoodmicro.2011.11.024</w:t>
        </w:r>
      </w:hyperlink>
    </w:p>
    <w:p w14:paraId="5B4CC32E" w14:textId="0257E733" w:rsidR="00657FDB" w:rsidRPr="006032FF" w:rsidRDefault="00657FDB" w:rsidP="006032FF">
      <w:pPr>
        <w:pStyle w:val="CitaviBibliographyEntry"/>
        <w:spacing w:after="120"/>
        <w:ind w:left="0" w:firstLine="0"/>
        <w:rPr>
          <w:rFonts w:cs="Arial"/>
          <w:sz w:val="20"/>
          <w:szCs w:val="20"/>
        </w:rPr>
      </w:pPr>
      <w:bookmarkStart w:id="891" w:name="_CTVL0011373ac731614447eb3fda6b7438935cc"/>
      <w:r w:rsidRPr="006032FF">
        <w:rPr>
          <w:rFonts w:cs="Arial"/>
          <w:sz w:val="20"/>
          <w:szCs w:val="20"/>
        </w:rPr>
        <w:t xml:space="preserve">Yoon Y, Kim K, Nam M, Shim W-B, Ryu J-G, Kim D-H, You O-J, Chung D-H (2010) Microbiological assessment in strawberry production and recommendations to establish a good agricultural practice system. Foodborne Pathogens and Disease 7:1511–1519. </w:t>
      </w:r>
      <w:hyperlink r:id="rId430" w:history="1">
        <w:r w:rsidR="00010BAE" w:rsidRPr="006032FF">
          <w:rPr>
            <w:rStyle w:val="Hyperlink"/>
            <w:rFonts w:cs="Arial"/>
            <w:sz w:val="20"/>
            <w:szCs w:val="20"/>
          </w:rPr>
          <w:t>https://doi.org/10.1089/fpd.2010.0611</w:t>
        </w:r>
      </w:hyperlink>
    </w:p>
    <w:p w14:paraId="00D57353" w14:textId="4A361BCD" w:rsidR="00657FDB" w:rsidRPr="006032FF" w:rsidRDefault="00657FDB" w:rsidP="006032FF">
      <w:pPr>
        <w:pStyle w:val="CitaviBibliographyEntry"/>
        <w:spacing w:after="120"/>
        <w:ind w:left="0" w:firstLine="0"/>
        <w:rPr>
          <w:rFonts w:cs="Arial"/>
          <w:sz w:val="20"/>
          <w:szCs w:val="20"/>
        </w:rPr>
      </w:pPr>
      <w:bookmarkStart w:id="892" w:name="_CTVL0018a13d806ac2b477d84a451f82c12da94"/>
      <w:bookmarkEnd w:id="891"/>
      <w:r w:rsidRPr="006032FF">
        <w:rPr>
          <w:rFonts w:cs="Arial"/>
          <w:sz w:val="20"/>
          <w:szCs w:val="20"/>
        </w:rPr>
        <w:t xml:space="preserve">Yu K, Newman MC, Archbold DD, Hamilton-Kemp TR (2001) Survival of </w:t>
      </w:r>
      <w:bookmarkEnd w:id="892"/>
      <w:r w:rsidRPr="006032FF">
        <w:rPr>
          <w:rFonts w:cs="Arial"/>
          <w:i/>
          <w:sz w:val="20"/>
          <w:szCs w:val="20"/>
        </w:rPr>
        <w:t xml:space="preserve">Escherichia coli </w:t>
      </w:r>
      <w:r w:rsidRPr="006032FF">
        <w:rPr>
          <w:rFonts w:cs="Arial"/>
          <w:sz w:val="20"/>
          <w:szCs w:val="20"/>
        </w:rPr>
        <w:t xml:space="preserve">O157:H7 on strawberry fruit and reduction of the pathogen population by chemical agents. Journal of Food Protection 64:1334–1340. </w:t>
      </w:r>
      <w:hyperlink r:id="rId431" w:history="1">
        <w:r w:rsidR="00010BAE" w:rsidRPr="006032FF">
          <w:rPr>
            <w:rStyle w:val="Hyperlink"/>
            <w:rFonts w:cs="Arial"/>
            <w:sz w:val="20"/>
            <w:szCs w:val="20"/>
          </w:rPr>
          <w:t>https://doi.org/10.4315/0362-028x-64.9.1334</w:t>
        </w:r>
      </w:hyperlink>
    </w:p>
    <w:p w14:paraId="72C60353" w14:textId="04313CBF" w:rsidR="00657FDB" w:rsidRPr="006032FF" w:rsidRDefault="00657FDB" w:rsidP="006032FF">
      <w:pPr>
        <w:pStyle w:val="CitaviBibliographyEntry"/>
        <w:spacing w:after="120"/>
        <w:ind w:left="0" w:firstLine="0"/>
        <w:rPr>
          <w:rFonts w:cs="Arial"/>
          <w:sz w:val="20"/>
          <w:szCs w:val="20"/>
        </w:rPr>
      </w:pPr>
      <w:bookmarkStart w:id="893" w:name="_CTVL001851ecf3a52b54706838e1bb11a166b2c"/>
      <w:r w:rsidRPr="006032FF">
        <w:rPr>
          <w:rFonts w:cs="Arial"/>
          <w:sz w:val="20"/>
          <w:szCs w:val="20"/>
        </w:rPr>
        <w:t>Zhang G, Ma LI, Beuchat LR, Erickson MC, Phelan VH, Doyle MP (2009a) Heat and drought stress during growth of lettuce (</w:t>
      </w:r>
      <w:bookmarkEnd w:id="893"/>
      <w:r w:rsidRPr="006032FF">
        <w:rPr>
          <w:rFonts w:cs="Arial"/>
          <w:i/>
          <w:sz w:val="20"/>
          <w:szCs w:val="20"/>
        </w:rPr>
        <w:t>Lactuca sativa L</w:t>
      </w:r>
      <w:r w:rsidRPr="006032FF">
        <w:rPr>
          <w:rFonts w:cs="Arial"/>
          <w:sz w:val="20"/>
          <w:szCs w:val="20"/>
        </w:rPr>
        <w:t xml:space="preserve">.) does not promote internalization of </w:t>
      </w:r>
      <w:r w:rsidRPr="006032FF">
        <w:rPr>
          <w:rFonts w:cs="Arial"/>
          <w:i/>
          <w:sz w:val="20"/>
          <w:szCs w:val="20"/>
        </w:rPr>
        <w:t xml:space="preserve">Escherichia coli </w:t>
      </w:r>
      <w:r w:rsidRPr="006032FF">
        <w:rPr>
          <w:rFonts w:cs="Arial"/>
          <w:sz w:val="20"/>
          <w:szCs w:val="20"/>
        </w:rPr>
        <w:t xml:space="preserve">O157:H7. Journal of Food Protection 72:2471–2475. </w:t>
      </w:r>
      <w:hyperlink r:id="rId432" w:history="1">
        <w:r w:rsidR="00010BAE" w:rsidRPr="006032FF">
          <w:rPr>
            <w:rStyle w:val="Hyperlink"/>
            <w:rFonts w:cs="Arial"/>
            <w:sz w:val="20"/>
            <w:szCs w:val="20"/>
          </w:rPr>
          <w:t>https://doi.org/10.4315/0362-028X-72.12.2471</w:t>
        </w:r>
      </w:hyperlink>
    </w:p>
    <w:p w14:paraId="54ACB46E" w14:textId="2DD994E6" w:rsidR="00657FDB" w:rsidRPr="006032FF" w:rsidRDefault="00657FDB" w:rsidP="006032FF">
      <w:pPr>
        <w:pStyle w:val="CitaviBibliographyEntry"/>
        <w:spacing w:after="120"/>
        <w:ind w:left="0" w:firstLine="0"/>
        <w:rPr>
          <w:rFonts w:cs="Arial"/>
          <w:sz w:val="20"/>
          <w:szCs w:val="20"/>
        </w:rPr>
      </w:pPr>
      <w:bookmarkStart w:id="894" w:name="_CTVL001161c2d511c2f4b3a84b64516a8001217"/>
      <w:r w:rsidRPr="006032FF">
        <w:rPr>
          <w:rFonts w:cs="Arial"/>
          <w:sz w:val="20"/>
          <w:szCs w:val="20"/>
        </w:rPr>
        <w:t xml:space="preserve">Zhang G, Ma L, Beuchat LR, Erickson MC, Phelan VH, Doyle MP (2009b) Lack of internalization of </w:t>
      </w:r>
      <w:bookmarkEnd w:id="894"/>
      <w:r w:rsidRPr="006032FF">
        <w:rPr>
          <w:rFonts w:cs="Arial"/>
          <w:i/>
          <w:sz w:val="20"/>
          <w:szCs w:val="20"/>
        </w:rPr>
        <w:t xml:space="preserve">Escherichia coli </w:t>
      </w:r>
      <w:r w:rsidRPr="006032FF">
        <w:rPr>
          <w:rFonts w:cs="Arial"/>
          <w:sz w:val="20"/>
          <w:szCs w:val="20"/>
        </w:rPr>
        <w:t>O157:H7 in lettuce (</w:t>
      </w:r>
      <w:r w:rsidRPr="006032FF">
        <w:rPr>
          <w:rFonts w:cs="Arial"/>
          <w:i/>
          <w:sz w:val="20"/>
          <w:szCs w:val="20"/>
        </w:rPr>
        <w:t>Lactuca sativa L</w:t>
      </w:r>
      <w:r w:rsidRPr="006032FF">
        <w:rPr>
          <w:rFonts w:cs="Arial"/>
          <w:sz w:val="20"/>
          <w:szCs w:val="20"/>
        </w:rPr>
        <w:t>.) after leaf surfac</w:t>
      </w:r>
      <w:r w:rsidR="00455A97">
        <w:rPr>
          <w:rFonts w:cs="Arial"/>
          <w:sz w:val="20"/>
          <w:szCs w:val="20"/>
        </w:rPr>
        <w:t>e and soil inoculation. Journal </w:t>
      </w:r>
      <w:r w:rsidRPr="006032FF">
        <w:rPr>
          <w:rFonts w:cs="Arial"/>
          <w:sz w:val="20"/>
          <w:szCs w:val="20"/>
        </w:rPr>
        <w:t xml:space="preserve">of Food Protection 72:2028–2037. </w:t>
      </w:r>
      <w:hyperlink r:id="rId433" w:history="1">
        <w:r w:rsidR="00010BAE" w:rsidRPr="006032FF">
          <w:rPr>
            <w:rStyle w:val="Hyperlink"/>
            <w:rFonts w:cs="Arial"/>
            <w:sz w:val="20"/>
            <w:szCs w:val="20"/>
          </w:rPr>
          <w:t>https://doi.org/10.4315/0362-028x-72.10.2028</w:t>
        </w:r>
      </w:hyperlink>
    </w:p>
    <w:p w14:paraId="5C3945E3" w14:textId="2A2DB62F" w:rsidR="00657FDB" w:rsidRPr="006032FF" w:rsidRDefault="00657FDB" w:rsidP="006032FF">
      <w:pPr>
        <w:pStyle w:val="CitaviBibliographyEntry"/>
        <w:spacing w:after="120"/>
        <w:ind w:left="0" w:firstLine="0"/>
        <w:rPr>
          <w:rFonts w:cs="Arial"/>
          <w:sz w:val="20"/>
          <w:szCs w:val="20"/>
        </w:rPr>
      </w:pPr>
      <w:bookmarkStart w:id="895" w:name="_CTVL001aa7f702c511e422991c27e9f14c0b9ad"/>
      <w:r w:rsidRPr="006032FF">
        <w:rPr>
          <w:rFonts w:cs="Arial"/>
          <w:sz w:val="20"/>
          <w:szCs w:val="20"/>
        </w:rPr>
        <w:t xml:space="preserve">Zhang Y, Sallach JB, Hodges L, Snow DD, Bartelt-Hunt SL, Eskridge KM, Li X (2016) Effects of soil texture and drought stress on the uptake of antibiotics and the internalization of </w:t>
      </w:r>
      <w:bookmarkEnd w:id="895"/>
      <w:r w:rsidRPr="006032FF">
        <w:rPr>
          <w:rFonts w:cs="Arial"/>
          <w:i/>
          <w:sz w:val="20"/>
          <w:szCs w:val="20"/>
        </w:rPr>
        <w:t xml:space="preserve">Salmonella </w:t>
      </w:r>
      <w:r w:rsidRPr="006032FF">
        <w:rPr>
          <w:rFonts w:cs="Arial"/>
          <w:sz w:val="20"/>
          <w:szCs w:val="20"/>
        </w:rPr>
        <w:t xml:space="preserve">in lettuce following wastewater irrigation. Environmental Pollution 208:523–531. </w:t>
      </w:r>
      <w:hyperlink r:id="rId434" w:history="1">
        <w:r w:rsidR="00010BAE" w:rsidRPr="006032FF">
          <w:rPr>
            <w:rStyle w:val="Hyperlink"/>
            <w:rFonts w:cs="Arial"/>
            <w:sz w:val="20"/>
            <w:szCs w:val="20"/>
          </w:rPr>
          <w:t>https://doi.org/10.1016/j.envpol.2015.10.025</w:t>
        </w:r>
      </w:hyperlink>
    </w:p>
    <w:p w14:paraId="3D639819" w14:textId="492B1E21" w:rsidR="00837C34" w:rsidRPr="006032FF" w:rsidRDefault="00657FDB" w:rsidP="006032FF">
      <w:pPr>
        <w:pStyle w:val="CitaviBibliographyEntry"/>
        <w:spacing w:after="120"/>
        <w:ind w:left="0" w:firstLine="0"/>
        <w:rPr>
          <w:rFonts w:cs="Arial"/>
          <w:sz w:val="20"/>
          <w:szCs w:val="20"/>
        </w:rPr>
      </w:pPr>
      <w:bookmarkStart w:id="896" w:name="_CTVL001b8bbebe176b540ffb774d5df7e7bdf58"/>
      <w:r w:rsidRPr="006032FF">
        <w:rPr>
          <w:rFonts w:cs="Arial"/>
          <w:sz w:val="20"/>
          <w:szCs w:val="20"/>
        </w:rPr>
        <w:t>Zhao Y, Aarnink AJA, Jong MCM de, Groot Koerkamp PWG (2014) Airborne microorganisms from livestock production systems and their relation to dust. Critical Reviews in Environmental Science and Technology 44:1071–1128</w:t>
      </w:r>
      <w:bookmarkEnd w:id="896"/>
    </w:p>
    <w:p w14:paraId="23B8866A" w14:textId="77777777" w:rsidR="009327FE" w:rsidRDefault="009327FE" w:rsidP="00837C34">
      <w:pPr>
        <w:widowControl/>
      </w:pPr>
    </w:p>
    <w:p w14:paraId="25EDA257" w14:textId="77777777" w:rsidR="009327FE" w:rsidRDefault="009327FE">
      <w:pPr>
        <w:widowControl/>
        <w:rPr>
          <w:b/>
          <w:bCs/>
          <w:sz w:val="36"/>
          <w:szCs w:val="28"/>
          <w:highlight w:val="lightGray"/>
          <w:lang w:bidi="ar-SA"/>
        </w:rPr>
      </w:pPr>
      <w:bookmarkStart w:id="897" w:name="_Toc56693478"/>
      <w:bookmarkStart w:id="898" w:name="_Toc58327840"/>
      <w:bookmarkStart w:id="899" w:name="_Toc58334020"/>
      <w:bookmarkStart w:id="900" w:name="_Toc64448825"/>
      <w:r>
        <w:rPr>
          <w:highlight w:val="lightGray"/>
        </w:rPr>
        <w:br w:type="page"/>
      </w:r>
    </w:p>
    <w:p w14:paraId="62BA2EE1" w14:textId="15C4473D" w:rsidR="00657FDB" w:rsidRDefault="00657FDB" w:rsidP="009327FE">
      <w:pPr>
        <w:pStyle w:val="Heading1"/>
        <w:ind w:left="0" w:firstLine="0"/>
      </w:pPr>
      <w:bookmarkStart w:id="901" w:name="_Toc87860086"/>
      <w:r w:rsidRPr="00657FDB">
        <w:t>Appendices</w:t>
      </w:r>
      <w:bookmarkEnd w:id="897"/>
      <w:bookmarkEnd w:id="898"/>
      <w:bookmarkEnd w:id="899"/>
      <w:bookmarkEnd w:id="900"/>
      <w:bookmarkEnd w:id="901"/>
    </w:p>
    <w:p w14:paraId="7B48EE33" w14:textId="38CBBD37" w:rsidR="00BA3533" w:rsidRPr="00C839B6" w:rsidRDefault="00C839B6" w:rsidP="00C839B6">
      <w:pPr>
        <w:pStyle w:val="Heading2"/>
      </w:pPr>
      <w:bookmarkStart w:id="902" w:name="_Toc87860087"/>
      <w:bookmarkStart w:id="903" w:name="_Toc29211332"/>
      <w:r w:rsidRPr="00C839B6">
        <w:t xml:space="preserve">Appendix 1 – </w:t>
      </w:r>
      <w:r w:rsidR="00285EF0" w:rsidRPr="00C839B6">
        <w:t>Literature search strategy</w:t>
      </w:r>
      <w:bookmarkEnd w:id="902"/>
    </w:p>
    <w:p w14:paraId="57AD2E0A" w14:textId="71BD03D5" w:rsidR="00285EF0" w:rsidRDefault="00285EF0" w:rsidP="00BA3533">
      <w:r>
        <w:t xml:space="preserve">Literature searches were performed using the EBSCO search engine. Search terms were combined in the following format </w:t>
      </w:r>
      <w:r w:rsidRPr="00716DF8">
        <w:t>(</w:t>
      </w:r>
      <w:r>
        <w:t>commodity specific term 1 OR commodity specific term 2…</w:t>
      </w:r>
      <w:r w:rsidRPr="00716DF8">
        <w:t>)</w:t>
      </w:r>
      <w:r>
        <w:t xml:space="preserve"> AND (pathogen specific term 1 OR pathogen specific term 2…) AND (prevalence/risk factor term 1 OR</w:t>
      </w:r>
      <w:r w:rsidRPr="00716DF8">
        <w:t xml:space="preserve"> </w:t>
      </w:r>
      <w:r>
        <w:t xml:space="preserve">prevalence/risk factor term 2…). For commodity and pathogen specific terms refer to Table A1-1, and for prevalence and risk factor specific terms refer to </w:t>
      </w:r>
    </w:p>
    <w:p w14:paraId="29CC2846" w14:textId="77777777" w:rsidR="00285EF0" w:rsidRDefault="00285EF0" w:rsidP="00285EF0">
      <w:r>
        <w:t>Table A1-2. Searches were performed separately for each commodity for prevalence and each individual risk factor.</w:t>
      </w:r>
    </w:p>
    <w:p w14:paraId="1831DBD3" w14:textId="77777777" w:rsidR="00285EF0" w:rsidRDefault="00285EF0" w:rsidP="00285EF0"/>
    <w:p w14:paraId="4BCAF1B0" w14:textId="77777777" w:rsidR="00285EF0" w:rsidRDefault="00285EF0" w:rsidP="00285EF0">
      <w:r>
        <w:t>Due to the weaker evidence base for berries and melons, additional searches were performed—refer to Table A1-3 for the additional search terms.</w:t>
      </w:r>
    </w:p>
    <w:p w14:paraId="43A6C414" w14:textId="77777777" w:rsidR="00285EF0" w:rsidRDefault="00285EF0" w:rsidP="00285EF0"/>
    <w:p w14:paraId="6FBD169E" w14:textId="77777777" w:rsidR="00285EF0" w:rsidRDefault="00285EF0" w:rsidP="00285EF0">
      <w:r>
        <w:t>Table A1-1. Commodity and pathogen specific search terms</w:t>
      </w:r>
    </w:p>
    <w:p w14:paraId="4419A60E" w14:textId="77777777" w:rsidR="00285EF0" w:rsidRDefault="00285EF0" w:rsidP="00285EF0"/>
    <w:tbl>
      <w:tblPr>
        <w:tblStyle w:val="TableGrid"/>
        <w:tblW w:w="0" w:type="auto"/>
        <w:tblLook w:val="04A0" w:firstRow="1" w:lastRow="0" w:firstColumn="1" w:lastColumn="0" w:noHBand="0" w:noVBand="1"/>
        <w:tblCaption w:val="Table A1-1. Commodity and pathogen specific search terms"/>
      </w:tblPr>
      <w:tblGrid>
        <w:gridCol w:w="3020"/>
        <w:gridCol w:w="3020"/>
        <w:gridCol w:w="3020"/>
      </w:tblGrid>
      <w:tr w:rsidR="00285EF0" w:rsidRPr="00506D4F" w14:paraId="56626C65" w14:textId="77777777" w:rsidTr="00285EF0">
        <w:tc>
          <w:tcPr>
            <w:tcW w:w="3020" w:type="dxa"/>
            <w:shd w:val="clear" w:color="auto" w:fill="B8CCE4" w:themeFill="accent1" w:themeFillTint="66"/>
          </w:tcPr>
          <w:p w14:paraId="27044E44" w14:textId="77777777" w:rsidR="00285EF0" w:rsidRPr="00506D4F" w:rsidRDefault="00285EF0" w:rsidP="00285EF0">
            <w:pPr>
              <w:rPr>
                <w:rFonts w:cs="Arial"/>
                <w:b/>
                <w:szCs w:val="20"/>
              </w:rPr>
            </w:pPr>
            <w:r w:rsidRPr="00506D4F">
              <w:rPr>
                <w:rFonts w:cs="Arial"/>
                <w:b/>
                <w:szCs w:val="20"/>
              </w:rPr>
              <w:t>Commodity</w:t>
            </w:r>
          </w:p>
        </w:tc>
        <w:tc>
          <w:tcPr>
            <w:tcW w:w="3020" w:type="dxa"/>
            <w:shd w:val="clear" w:color="auto" w:fill="B8CCE4" w:themeFill="accent1" w:themeFillTint="66"/>
          </w:tcPr>
          <w:p w14:paraId="6B3B3EBF" w14:textId="77777777" w:rsidR="00285EF0" w:rsidRPr="00506D4F" w:rsidRDefault="00285EF0" w:rsidP="00285EF0">
            <w:pPr>
              <w:rPr>
                <w:rFonts w:cs="Arial"/>
                <w:b/>
                <w:szCs w:val="20"/>
              </w:rPr>
            </w:pPr>
            <w:r w:rsidRPr="00506D4F">
              <w:rPr>
                <w:rFonts w:cs="Arial"/>
                <w:b/>
                <w:szCs w:val="20"/>
              </w:rPr>
              <w:t>Commodity specific terms</w:t>
            </w:r>
          </w:p>
        </w:tc>
        <w:tc>
          <w:tcPr>
            <w:tcW w:w="3020" w:type="dxa"/>
            <w:shd w:val="clear" w:color="auto" w:fill="B8CCE4" w:themeFill="accent1" w:themeFillTint="66"/>
          </w:tcPr>
          <w:p w14:paraId="5AE3207E" w14:textId="77777777" w:rsidR="00285EF0" w:rsidRPr="00506D4F" w:rsidRDefault="00285EF0" w:rsidP="00285EF0">
            <w:pPr>
              <w:rPr>
                <w:rFonts w:cs="Arial"/>
                <w:b/>
                <w:szCs w:val="20"/>
              </w:rPr>
            </w:pPr>
            <w:r w:rsidRPr="00506D4F">
              <w:rPr>
                <w:rFonts w:cs="Arial"/>
                <w:b/>
                <w:szCs w:val="20"/>
              </w:rPr>
              <w:t>Pathogen specific terms</w:t>
            </w:r>
          </w:p>
        </w:tc>
      </w:tr>
      <w:tr w:rsidR="00285EF0" w:rsidRPr="00506D4F" w14:paraId="52EDDCD1" w14:textId="77777777" w:rsidTr="00285EF0">
        <w:tc>
          <w:tcPr>
            <w:tcW w:w="3020" w:type="dxa"/>
          </w:tcPr>
          <w:p w14:paraId="18E54ABE" w14:textId="77777777" w:rsidR="00285EF0" w:rsidRPr="00506D4F" w:rsidRDefault="00285EF0" w:rsidP="00285EF0">
            <w:pPr>
              <w:rPr>
                <w:rFonts w:cs="Arial"/>
                <w:szCs w:val="20"/>
              </w:rPr>
            </w:pPr>
            <w:r w:rsidRPr="00506D4F">
              <w:rPr>
                <w:rFonts w:cs="Arial"/>
                <w:szCs w:val="20"/>
              </w:rPr>
              <w:t>Leafy vegetables</w:t>
            </w:r>
          </w:p>
        </w:tc>
        <w:tc>
          <w:tcPr>
            <w:tcW w:w="3020" w:type="dxa"/>
          </w:tcPr>
          <w:p w14:paraId="2F710BA7" w14:textId="77777777" w:rsidR="00285EF0" w:rsidRPr="00506D4F" w:rsidRDefault="00285EF0" w:rsidP="00285EF0">
            <w:pPr>
              <w:rPr>
                <w:rFonts w:cs="Arial"/>
                <w:color w:val="333333"/>
                <w:szCs w:val="20"/>
              </w:rPr>
            </w:pPr>
            <w:r w:rsidRPr="00506D4F">
              <w:rPr>
                <w:rFonts w:cs="Arial"/>
                <w:color w:val="333333"/>
                <w:szCs w:val="20"/>
              </w:rPr>
              <w:t>Lettuce</w:t>
            </w:r>
          </w:p>
          <w:p w14:paraId="1ED8DB17" w14:textId="77777777" w:rsidR="00285EF0" w:rsidRPr="00506D4F" w:rsidRDefault="00285EF0" w:rsidP="00285EF0">
            <w:pPr>
              <w:rPr>
                <w:rFonts w:cs="Arial"/>
                <w:color w:val="333333"/>
                <w:szCs w:val="20"/>
              </w:rPr>
            </w:pPr>
            <w:r w:rsidRPr="00506D4F">
              <w:rPr>
                <w:rFonts w:cs="Arial"/>
                <w:color w:val="333333"/>
                <w:szCs w:val="20"/>
              </w:rPr>
              <w:t>Spinach</w:t>
            </w:r>
          </w:p>
          <w:p w14:paraId="0059B788" w14:textId="77777777" w:rsidR="00285EF0" w:rsidRPr="00506D4F" w:rsidRDefault="00285EF0" w:rsidP="00285EF0">
            <w:pPr>
              <w:rPr>
                <w:rFonts w:cs="Arial"/>
                <w:color w:val="333333"/>
                <w:szCs w:val="20"/>
              </w:rPr>
            </w:pPr>
            <w:r w:rsidRPr="00506D4F">
              <w:rPr>
                <w:rFonts w:cs="Arial"/>
                <w:color w:val="333333"/>
                <w:szCs w:val="20"/>
              </w:rPr>
              <w:t>Baby spinach</w:t>
            </w:r>
          </w:p>
          <w:p w14:paraId="0CE29C66" w14:textId="77777777" w:rsidR="00285EF0" w:rsidRPr="00506D4F" w:rsidRDefault="00285EF0" w:rsidP="00285EF0">
            <w:pPr>
              <w:rPr>
                <w:rFonts w:cs="Arial"/>
                <w:szCs w:val="20"/>
              </w:rPr>
            </w:pPr>
            <w:r w:rsidRPr="00506D4F">
              <w:rPr>
                <w:rFonts w:cs="Arial"/>
                <w:color w:val="333333"/>
                <w:szCs w:val="20"/>
              </w:rPr>
              <w:t>Parsley</w:t>
            </w:r>
          </w:p>
        </w:tc>
        <w:tc>
          <w:tcPr>
            <w:tcW w:w="3020" w:type="dxa"/>
          </w:tcPr>
          <w:p w14:paraId="6C96AD2D" w14:textId="77777777" w:rsidR="00285EF0" w:rsidRPr="00506D4F" w:rsidRDefault="00285EF0" w:rsidP="00285EF0">
            <w:pPr>
              <w:rPr>
                <w:rFonts w:cs="Arial"/>
                <w:color w:val="333333"/>
                <w:szCs w:val="20"/>
              </w:rPr>
            </w:pPr>
            <w:r w:rsidRPr="00506D4F">
              <w:rPr>
                <w:rFonts w:cs="Arial"/>
                <w:color w:val="333333"/>
                <w:szCs w:val="20"/>
              </w:rPr>
              <w:t>Salmonella</w:t>
            </w:r>
          </w:p>
          <w:p w14:paraId="6B7E816F" w14:textId="77777777" w:rsidR="00285EF0" w:rsidRPr="00506D4F" w:rsidRDefault="00285EF0" w:rsidP="00285EF0">
            <w:pPr>
              <w:rPr>
                <w:rFonts w:cs="Arial"/>
                <w:color w:val="333333"/>
                <w:szCs w:val="20"/>
              </w:rPr>
            </w:pPr>
            <w:r w:rsidRPr="00506D4F">
              <w:rPr>
                <w:rFonts w:cs="Arial"/>
                <w:color w:val="333333"/>
                <w:szCs w:val="20"/>
              </w:rPr>
              <w:t>Salmonellae</w:t>
            </w:r>
          </w:p>
          <w:p w14:paraId="6F38782E" w14:textId="77777777" w:rsidR="00285EF0" w:rsidRPr="00506D4F" w:rsidRDefault="00285EF0" w:rsidP="00285EF0">
            <w:pPr>
              <w:rPr>
                <w:rFonts w:cs="Arial"/>
                <w:color w:val="333333"/>
                <w:szCs w:val="20"/>
              </w:rPr>
            </w:pPr>
            <w:r w:rsidRPr="00506D4F">
              <w:rPr>
                <w:rFonts w:cs="Arial"/>
                <w:color w:val="333333"/>
                <w:szCs w:val="20"/>
              </w:rPr>
              <w:t>Salmonellosis</w:t>
            </w:r>
          </w:p>
          <w:p w14:paraId="64677C76" w14:textId="77777777" w:rsidR="00285EF0" w:rsidRPr="00506D4F" w:rsidRDefault="00285EF0" w:rsidP="00285EF0">
            <w:pPr>
              <w:rPr>
                <w:rFonts w:cs="Arial"/>
                <w:color w:val="333333"/>
                <w:szCs w:val="20"/>
              </w:rPr>
            </w:pPr>
            <w:r w:rsidRPr="00506D4F">
              <w:rPr>
                <w:rFonts w:cs="Arial"/>
                <w:color w:val="333333"/>
                <w:szCs w:val="20"/>
              </w:rPr>
              <w:t>Escherichia coli</w:t>
            </w:r>
          </w:p>
          <w:p w14:paraId="711EAF87" w14:textId="77777777" w:rsidR="00285EF0" w:rsidRPr="00506D4F" w:rsidRDefault="00285EF0" w:rsidP="00285EF0">
            <w:pPr>
              <w:rPr>
                <w:rFonts w:cs="Arial"/>
                <w:color w:val="333333"/>
                <w:szCs w:val="20"/>
              </w:rPr>
            </w:pPr>
            <w:r w:rsidRPr="00506D4F">
              <w:rPr>
                <w:rFonts w:cs="Arial"/>
                <w:color w:val="333333"/>
                <w:szCs w:val="20"/>
              </w:rPr>
              <w:t>E. coli</w:t>
            </w:r>
          </w:p>
          <w:p w14:paraId="4140C721" w14:textId="77777777" w:rsidR="00285EF0" w:rsidRPr="00506D4F" w:rsidRDefault="00285EF0" w:rsidP="00285EF0">
            <w:pPr>
              <w:rPr>
                <w:rFonts w:cs="Arial"/>
                <w:color w:val="333333"/>
                <w:szCs w:val="20"/>
              </w:rPr>
            </w:pPr>
            <w:r w:rsidRPr="00506D4F">
              <w:rPr>
                <w:rFonts w:cs="Arial"/>
                <w:color w:val="333333"/>
                <w:szCs w:val="20"/>
              </w:rPr>
              <w:t>Listeria</w:t>
            </w:r>
          </w:p>
          <w:p w14:paraId="6D2404D8" w14:textId="77777777" w:rsidR="00285EF0" w:rsidRPr="00506D4F" w:rsidRDefault="00285EF0" w:rsidP="00285EF0">
            <w:pPr>
              <w:rPr>
                <w:rFonts w:cs="Arial"/>
                <w:color w:val="333333"/>
                <w:szCs w:val="20"/>
              </w:rPr>
            </w:pPr>
            <w:r w:rsidRPr="00506D4F">
              <w:rPr>
                <w:rFonts w:cs="Arial"/>
                <w:color w:val="333333"/>
                <w:szCs w:val="20"/>
              </w:rPr>
              <w:t>Monocytogenes</w:t>
            </w:r>
          </w:p>
          <w:p w14:paraId="19DAB3BA" w14:textId="77777777" w:rsidR="00285EF0" w:rsidRPr="00506D4F" w:rsidRDefault="00285EF0" w:rsidP="00285EF0">
            <w:pPr>
              <w:rPr>
                <w:rFonts w:cs="Arial"/>
                <w:color w:val="333333"/>
                <w:szCs w:val="20"/>
              </w:rPr>
            </w:pPr>
            <w:r w:rsidRPr="00506D4F">
              <w:rPr>
                <w:rFonts w:cs="Arial"/>
                <w:color w:val="333333"/>
                <w:szCs w:val="20"/>
              </w:rPr>
              <w:t>Listeriosis</w:t>
            </w:r>
          </w:p>
          <w:p w14:paraId="762DB7B7" w14:textId="77777777" w:rsidR="00285EF0" w:rsidRPr="00506D4F" w:rsidRDefault="00285EF0" w:rsidP="00285EF0">
            <w:pPr>
              <w:rPr>
                <w:rFonts w:cs="Arial"/>
                <w:szCs w:val="20"/>
              </w:rPr>
            </w:pPr>
            <w:r w:rsidRPr="00506D4F">
              <w:rPr>
                <w:rFonts w:cs="Arial"/>
                <w:color w:val="333333"/>
                <w:szCs w:val="20"/>
              </w:rPr>
              <w:t>Listeriae</w:t>
            </w:r>
          </w:p>
        </w:tc>
      </w:tr>
      <w:tr w:rsidR="00285EF0" w:rsidRPr="00506D4F" w14:paraId="1E63C918" w14:textId="77777777" w:rsidTr="00285EF0">
        <w:tc>
          <w:tcPr>
            <w:tcW w:w="3020" w:type="dxa"/>
          </w:tcPr>
          <w:p w14:paraId="0A3D2927" w14:textId="77777777" w:rsidR="00285EF0" w:rsidRPr="00506D4F" w:rsidRDefault="00285EF0" w:rsidP="00285EF0">
            <w:pPr>
              <w:rPr>
                <w:rFonts w:cs="Arial"/>
                <w:szCs w:val="20"/>
              </w:rPr>
            </w:pPr>
            <w:r w:rsidRPr="00506D4F">
              <w:rPr>
                <w:rFonts w:cs="Arial"/>
                <w:szCs w:val="20"/>
              </w:rPr>
              <w:t>Berries</w:t>
            </w:r>
          </w:p>
        </w:tc>
        <w:tc>
          <w:tcPr>
            <w:tcW w:w="3020" w:type="dxa"/>
          </w:tcPr>
          <w:p w14:paraId="67606DDF" w14:textId="77777777" w:rsidR="00285EF0" w:rsidRPr="00506D4F" w:rsidRDefault="00285EF0" w:rsidP="00285EF0">
            <w:pPr>
              <w:rPr>
                <w:rFonts w:cs="Arial"/>
                <w:color w:val="333333"/>
                <w:szCs w:val="20"/>
              </w:rPr>
            </w:pPr>
            <w:r w:rsidRPr="00506D4F">
              <w:rPr>
                <w:rFonts w:cs="Arial"/>
                <w:color w:val="333333"/>
                <w:szCs w:val="20"/>
              </w:rPr>
              <w:t>Blue berr*</w:t>
            </w:r>
          </w:p>
          <w:p w14:paraId="7963E065" w14:textId="77777777" w:rsidR="00285EF0" w:rsidRPr="00506D4F" w:rsidRDefault="00285EF0" w:rsidP="00285EF0">
            <w:pPr>
              <w:rPr>
                <w:rFonts w:cs="Arial"/>
                <w:color w:val="333333"/>
                <w:szCs w:val="20"/>
              </w:rPr>
            </w:pPr>
            <w:r w:rsidRPr="00506D4F">
              <w:rPr>
                <w:rFonts w:cs="Arial"/>
                <w:color w:val="333333"/>
                <w:szCs w:val="20"/>
              </w:rPr>
              <w:t>Blueberr*</w:t>
            </w:r>
          </w:p>
          <w:p w14:paraId="07A48179" w14:textId="77777777" w:rsidR="00285EF0" w:rsidRPr="00506D4F" w:rsidRDefault="00285EF0" w:rsidP="00285EF0">
            <w:pPr>
              <w:rPr>
                <w:rFonts w:cs="Arial"/>
                <w:color w:val="333333"/>
                <w:szCs w:val="20"/>
              </w:rPr>
            </w:pPr>
            <w:r w:rsidRPr="00506D4F">
              <w:rPr>
                <w:rFonts w:cs="Arial"/>
                <w:color w:val="333333"/>
                <w:szCs w:val="20"/>
              </w:rPr>
              <w:t>Raspberr*</w:t>
            </w:r>
          </w:p>
          <w:p w14:paraId="4D07BF52" w14:textId="77777777" w:rsidR="00285EF0" w:rsidRPr="00506D4F" w:rsidRDefault="00285EF0" w:rsidP="00285EF0">
            <w:pPr>
              <w:rPr>
                <w:rFonts w:cs="Arial"/>
                <w:szCs w:val="20"/>
              </w:rPr>
            </w:pPr>
            <w:r w:rsidRPr="00506D4F">
              <w:rPr>
                <w:rFonts w:cs="Arial"/>
                <w:color w:val="333333"/>
                <w:szCs w:val="20"/>
              </w:rPr>
              <w:t>Strawberr*</w:t>
            </w:r>
          </w:p>
        </w:tc>
        <w:tc>
          <w:tcPr>
            <w:tcW w:w="3020" w:type="dxa"/>
          </w:tcPr>
          <w:p w14:paraId="3D4387C1" w14:textId="77777777" w:rsidR="00285EF0" w:rsidRPr="00506D4F" w:rsidRDefault="00285EF0" w:rsidP="00285EF0">
            <w:pPr>
              <w:rPr>
                <w:rFonts w:cs="Arial"/>
                <w:color w:val="333333"/>
                <w:szCs w:val="20"/>
              </w:rPr>
            </w:pPr>
            <w:r w:rsidRPr="00506D4F">
              <w:rPr>
                <w:rFonts w:cs="Arial"/>
                <w:color w:val="333333"/>
                <w:szCs w:val="20"/>
              </w:rPr>
              <w:t>Escherichia coli</w:t>
            </w:r>
          </w:p>
          <w:p w14:paraId="62BBBE38" w14:textId="77777777" w:rsidR="00285EF0" w:rsidRPr="00506D4F" w:rsidRDefault="00285EF0" w:rsidP="00285EF0">
            <w:pPr>
              <w:rPr>
                <w:rFonts w:cs="Arial"/>
                <w:color w:val="333333"/>
                <w:szCs w:val="20"/>
              </w:rPr>
            </w:pPr>
            <w:r w:rsidRPr="00506D4F">
              <w:rPr>
                <w:rFonts w:cs="Arial"/>
                <w:color w:val="333333"/>
                <w:szCs w:val="20"/>
              </w:rPr>
              <w:t>E. coli</w:t>
            </w:r>
          </w:p>
          <w:p w14:paraId="577D52A5" w14:textId="77777777" w:rsidR="00285EF0" w:rsidRPr="00506D4F" w:rsidRDefault="00285EF0" w:rsidP="00285EF0">
            <w:pPr>
              <w:rPr>
                <w:rFonts w:cs="Arial"/>
                <w:color w:val="333333"/>
                <w:szCs w:val="20"/>
              </w:rPr>
            </w:pPr>
            <w:r w:rsidRPr="00506D4F">
              <w:rPr>
                <w:rFonts w:cs="Arial"/>
                <w:color w:val="333333"/>
                <w:szCs w:val="20"/>
              </w:rPr>
              <w:t>Hepatitis A</w:t>
            </w:r>
          </w:p>
          <w:p w14:paraId="7DD857C8" w14:textId="77777777" w:rsidR="00285EF0" w:rsidRPr="00506D4F" w:rsidRDefault="00285EF0" w:rsidP="00285EF0">
            <w:pPr>
              <w:rPr>
                <w:rFonts w:cs="Arial"/>
                <w:color w:val="333333"/>
                <w:szCs w:val="20"/>
              </w:rPr>
            </w:pPr>
            <w:r w:rsidRPr="00506D4F">
              <w:rPr>
                <w:rFonts w:cs="Arial"/>
                <w:color w:val="333333"/>
                <w:szCs w:val="20"/>
              </w:rPr>
              <w:t>Hep A</w:t>
            </w:r>
          </w:p>
          <w:p w14:paraId="6FAC9DAC" w14:textId="77777777" w:rsidR="00285EF0" w:rsidRPr="00506D4F" w:rsidRDefault="00285EF0" w:rsidP="00285EF0">
            <w:pPr>
              <w:rPr>
                <w:rFonts w:cs="Arial"/>
                <w:color w:val="333333"/>
                <w:szCs w:val="20"/>
              </w:rPr>
            </w:pPr>
            <w:r w:rsidRPr="00506D4F">
              <w:rPr>
                <w:rFonts w:cs="Arial"/>
                <w:color w:val="333333"/>
                <w:szCs w:val="20"/>
              </w:rPr>
              <w:t>HepA</w:t>
            </w:r>
          </w:p>
          <w:p w14:paraId="4C29BFCD" w14:textId="77777777" w:rsidR="00285EF0" w:rsidRPr="00506D4F" w:rsidRDefault="00285EF0" w:rsidP="00285EF0">
            <w:pPr>
              <w:rPr>
                <w:rFonts w:cs="Arial"/>
                <w:color w:val="333333"/>
                <w:szCs w:val="20"/>
              </w:rPr>
            </w:pPr>
            <w:r w:rsidRPr="00506D4F">
              <w:rPr>
                <w:rFonts w:cs="Arial"/>
                <w:color w:val="333333"/>
                <w:szCs w:val="20"/>
              </w:rPr>
              <w:t>HAV</w:t>
            </w:r>
          </w:p>
          <w:p w14:paraId="78B00019" w14:textId="77777777" w:rsidR="00285EF0" w:rsidRPr="00506D4F" w:rsidRDefault="00285EF0" w:rsidP="00285EF0">
            <w:pPr>
              <w:rPr>
                <w:rFonts w:cs="Arial"/>
                <w:color w:val="333333"/>
                <w:szCs w:val="20"/>
              </w:rPr>
            </w:pPr>
            <w:r w:rsidRPr="00506D4F">
              <w:rPr>
                <w:rFonts w:cs="Arial"/>
                <w:color w:val="333333"/>
                <w:szCs w:val="20"/>
              </w:rPr>
              <w:t>Norovirus</w:t>
            </w:r>
          </w:p>
          <w:p w14:paraId="1300BD1D" w14:textId="77777777" w:rsidR="00285EF0" w:rsidRPr="00506D4F" w:rsidRDefault="00285EF0" w:rsidP="00285EF0">
            <w:pPr>
              <w:rPr>
                <w:rFonts w:cs="Arial"/>
                <w:szCs w:val="20"/>
              </w:rPr>
            </w:pPr>
            <w:r w:rsidRPr="00506D4F">
              <w:rPr>
                <w:rFonts w:cs="Arial"/>
                <w:color w:val="333333"/>
                <w:szCs w:val="20"/>
              </w:rPr>
              <w:t>NoV</w:t>
            </w:r>
          </w:p>
        </w:tc>
      </w:tr>
      <w:tr w:rsidR="00285EF0" w:rsidRPr="00506D4F" w14:paraId="48B92E6B" w14:textId="77777777" w:rsidTr="00285EF0">
        <w:tc>
          <w:tcPr>
            <w:tcW w:w="3020" w:type="dxa"/>
          </w:tcPr>
          <w:p w14:paraId="75266319" w14:textId="77777777" w:rsidR="00285EF0" w:rsidRPr="00506D4F" w:rsidRDefault="00285EF0" w:rsidP="00285EF0">
            <w:pPr>
              <w:rPr>
                <w:rFonts w:cs="Arial"/>
                <w:szCs w:val="20"/>
              </w:rPr>
            </w:pPr>
            <w:r w:rsidRPr="00506D4F">
              <w:rPr>
                <w:rFonts w:cs="Arial"/>
                <w:szCs w:val="20"/>
              </w:rPr>
              <w:t>Melons</w:t>
            </w:r>
          </w:p>
        </w:tc>
        <w:tc>
          <w:tcPr>
            <w:tcW w:w="3020" w:type="dxa"/>
          </w:tcPr>
          <w:p w14:paraId="5CB4BDED" w14:textId="77777777" w:rsidR="00285EF0" w:rsidRPr="00506D4F" w:rsidRDefault="00285EF0" w:rsidP="00285EF0">
            <w:pPr>
              <w:rPr>
                <w:rFonts w:cs="Arial"/>
                <w:color w:val="333333"/>
                <w:szCs w:val="20"/>
              </w:rPr>
            </w:pPr>
            <w:r w:rsidRPr="00506D4F">
              <w:rPr>
                <w:rFonts w:cs="Arial"/>
                <w:color w:val="333333"/>
                <w:szCs w:val="20"/>
              </w:rPr>
              <w:t>Rockmelon</w:t>
            </w:r>
          </w:p>
          <w:p w14:paraId="1CE71314" w14:textId="77777777" w:rsidR="00285EF0" w:rsidRPr="00506D4F" w:rsidRDefault="00285EF0" w:rsidP="00285EF0">
            <w:pPr>
              <w:rPr>
                <w:rFonts w:cs="Arial"/>
                <w:color w:val="333333"/>
                <w:szCs w:val="20"/>
              </w:rPr>
            </w:pPr>
            <w:r w:rsidRPr="00506D4F">
              <w:rPr>
                <w:rFonts w:cs="Arial"/>
                <w:color w:val="333333"/>
                <w:szCs w:val="20"/>
              </w:rPr>
              <w:t>Rock melon</w:t>
            </w:r>
          </w:p>
          <w:p w14:paraId="67D3A1E8" w14:textId="77777777" w:rsidR="00285EF0" w:rsidRPr="00506D4F" w:rsidRDefault="00285EF0" w:rsidP="00285EF0">
            <w:pPr>
              <w:rPr>
                <w:rFonts w:cs="Arial"/>
                <w:color w:val="333333"/>
                <w:szCs w:val="20"/>
              </w:rPr>
            </w:pPr>
            <w:r w:rsidRPr="00506D4F">
              <w:rPr>
                <w:rFonts w:cs="Arial"/>
                <w:color w:val="333333"/>
                <w:szCs w:val="20"/>
              </w:rPr>
              <w:t>Cantaloupe</w:t>
            </w:r>
          </w:p>
          <w:p w14:paraId="3CF73199" w14:textId="77777777" w:rsidR="00285EF0" w:rsidRPr="00506D4F" w:rsidRDefault="00285EF0" w:rsidP="00285EF0">
            <w:pPr>
              <w:rPr>
                <w:rFonts w:cs="Arial"/>
                <w:color w:val="333333"/>
                <w:szCs w:val="20"/>
              </w:rPr>
            </w:pPr>
            <w:r w:rsidRPr="00506D4F">
              <w:rPr>
                <w:rFonts w:cs="Arial"/>
                <w:color w:val="333333"/>
                <w:szCs w:val="20"/>
              </w:rPr>
              <w:t>Canteloupe</w:t>
            </w:r>
          </w:p>
          <w:p w14:paraId="72369F22" w14:textId="77777777" w:rsidR="00285EF0" w:rsidRPr="00506D4F" w:rsidRDefault="00285EF0" w:rsidP="00285EF0">
            <w:pPr>
              <w:rPr>
                <w:rFonts w:cs="Arial"/>
                <w:color w:val="333333"/>
                <w:szCs w:val="20"/>
              </w:rPr>
            </w:pPr>
            <w:r w:rsidRPr="00506D4F">
              <w:rPr>
                <w:rFonts w:cs="Arial"/>
                <w:color w:val="333333"/>
                <w:szCs w:val="20"/>
              </w:rPr>
              <w:t>Cantalope</w:t>
            </w:r>
          </w:p>
          <w:p w14:paraId="3483D26A" w14:textId="77777777" w:rsidR="00285EF0" w:rsidRPr="00506D4F" w:rsidRDefault="00285EF0" w:rsidP="00285EF0">
            <w:pPr>
              <w:rPr>
                <w:rFonts w:cs="Arial"/>
                <w:color w:val="333333"/>
                <w:szCs w:val="20"/>
              </w:rPr>
            </w:pPr>
            <w:r w:rsidRPr="00506D4F">
              <w:rPr>
                <w:rFonts w:cs="Arial"/>
                <w:color w:val="333333"/>
                <w:szCs w:val="20"/>
              </w:rPr>
              <w:t>Muskmelon</w:t>
            </w:r>
          </w:p>
          <w:p w14:paraId="402BF81C" w14:textId="77777777" w:rsidR="00285EF0" w:rsidRPr="00506D4F" w:rsidRDefault="00285EF0" w:rsidP="00285EF0">
            <w:pPr>
              <w:rPr>
                <w:rFonts w:cs="Arial"/>
                <w:color w:val="333333"/>
                <w:szCs w:val="20"/>
              </w:rPr>
            </w:pPr>
            <w:r w:rsidRPr="00506D4F">
              <w:rPr>
                <w:rFonts w:cs="Arial"/>
                <w:color w:val="333333"/>
                <w:szCs w:val="20"/>
              </w:rPr>
              <w:t>Persian melon</w:t>
            </w:r>
          </w:p>
          <w:p w14:paraId="71DA2E93" w14:textId="77777777" w:rsidR="00285EF0" w:rsidRPr="00506D4F" w:rsidRDefault="00285EF0" w:rsidP="00285EF0">
            <w:pPr>
              <w:rPr>
                <w:rFonts w:cs="Arial"/>
                <w:color w:val="333333"/>
                <w:szCs w:val="20"/>
              </w:rPr>
            </w:pPr>
            <w:r w:rsidRPr="00506D4F">
              <w:rPr>
                <w:rFonts w:cs="Arial"/>
                <w:color w:val="333333"/>
                <w:szCs w:val="20"/>
              </w:rPr>
              <w:t>Spanspek</w:t>
            </w:r>
          </w:p>
          <w:p w14:paraId="5A39A687" w14:textId="77777777" w:rsidR="00285EF0" w:rsidRPr="00506D4F" w:rsidRDefault="00285EF0" w:rsidP="00285EF0">
            <w:pPr>
              <w:rPr>
                <w:rFonts w:cs="Arial"/>
                <w:color w:val="333333"/>
                <w:szCs w:val="20"/>
              </w:rPr>
            </w:pPr>
            <w:r w:rsidRPr="00506D4F">
              <w:rPr>
                <w:rFonts w:cs="Arial"/>
                <w:color w:val="333333"/>
                <w:szCs w:val="20"/>
              </w:rPr>
              <w:t>Sweet melon</w:t>
            </w:r>
          </w:p>
          <w:p w14:paraId="70B65CE3" w14:textId="77777777" w:rsidR="00285EF0" w:rsidRPr="00506D4F" w:rsidRDefault="00285EF0" w:rsidP="00285EF0">
            <w:pPr>
              <w:rPr>
                <w:rFonts w:cs="Arial"/>
                <w:color w:val="333333"/>
                <w:szCs w:val="20"/>
              </w:rPr>
            </w:pPr>
            <w:r w:rsidRPr="00506D4F">
              <w:rPr>
                <w:rFonts w:cs="Arial"/>
                <w:color w:val="333333"/>
                <w:szCs w:val="20"/>
              </w:rPr>
              <w:t>Sweet rough-skinned melon</w:t>
            </w:r>
          </w:p>
          <w:p w14:paraId="1F16541F" w14:textId="77777777" w:rsidR="00285EF0" w:rsidRPr="00506D4F" w:rsidRDefault="00285EF0" w:rsidP="00285EF0">
            <w:pPr>
              <w:rPr>
                <w:rFonts w:cs="Arial"/>
                <w:color w:val="333333"/>
                <w:szCs w:val="20"/>
              </w:rPr>
            </w:pPr>
            <w:r w:rsidRPr="00506D4F">
              <w:rPr>
                <w:rFonts w:cs="Arial"/>
                <w:color w:val="333333"/>
                <w:szCs w:val="20"/>
              </w:rPr>
              <w:t>Watermelon</w:t>
            </w:r>
          </w:p>
          <w:p w14:paraId="36A5F338" w14:textId="77777777" w:rsidR="00285EF0" w:rsidRPr="00506D4F" w:rsidRDefault="00285EF0" w:rsidP="00285EF0">
            <w:pPr>
              <w:rPr>
                <w:rFonts w:cs="Arial"/>
                <w:szCs w:val="20"/>
              </w:rPr>
            </w:pPr>
            <w:r w:rsidRPr="00506D4F">
              <w:rPr>
                <w:rFonts w:cs="Arial"/>
                <w:color w:val="333333"/>
                <w:szCs w:val="20"/>
              </w:rPr>
              <w:t>Melon</w:t>
            </w:r>
          </w:p>
        </w:tc>
        <w:tc>
          <w:tcPr>
            <w:tcW w:w="3020" w:type="dxa"/>
          </w:tcPr>
          <w:p w14:paraId="17706989" w14:textId="77777777" w:rsidR="00285EF0" w:rsidRPr="00506D4F" w:rsidRDefault="00285EF0" w:rsidP="00285EF0">
            <w:pPr>
              <w:rPr>
                <w:rFonts w:cs="Arial"/>
                <w:color w:val="333333"/>
                <w:szCs w:val="20"/>
              </w:rPr>
            </w:pPr>
            <w:r w:rsidRPr="00506D4F">
              <w:rPr>
                <w:rFonts w:cs="Arial"/>
                <w:color w:val="333333"/>
                <w:szCs w:val="20"/>
              </w:rPr>
              <w:t>Salmonella</w:t>
            </w:r>
          </w:p>
          <w:p w14:paraId="4E8D7D77" w14:textId="77777777" w:rsidR="00285EF0" w:rsidRPr="00506D4F" w:rsidRDefault="00285EF0" w:rsidP="00285EF0">
            <w:pPr>
              <w:rPr>
                <w:rFonts w:cs="Arial"/>
                <w:color w:val="333333"/>
                <w:szCs w:val="20"/>
              </w:rPr>
            </w:pPr>
            <w:r w:rsidRPr="00506D4F">
              <w:rPr>
                <w:rFonts w:cs="Arial"/>
                <w:color w:val="333333"/>
                <w:szCs w:val="20"/>
              </w:rPr>
              <w:t>Salmonellae</w:t>
            </w:r>
          </w:p>
          <w:p w14:paraId="25133020" w14:textId="77777777" w:rsidR="00285EF0" w:rsidRPr="00506D4F" w:rsidRDefault="00285EF0" w:rsidP="00285EF0">
            <w:pPr>
              <w:rPr>
                <w:rFonts w:cs="Arial"/>
                <w:color w:val="333333"/>
                <w:szCs w:val="20"/>
              </w:rPr>
            </w:pPr>
            <w:r w:rsidRPr="00506D4F">
              <w:rPr>
                <w:rFonts w:cs="Arial"/>
                <w:color w:val="333333"/>
                <w:szCs w:val="20"/>
              </w:rPr>
              <w:t>Salmonellosis</w:t>
            </w:r>
          </w:p>
          <w:p w14:paraId="6C29F2B2" w14:textId="77777777" w:rsidR="00285EF0" w:rsidRPr="00506D4F" w:rsidRDefault="00285EF0" w:rsidP="00285EF0">
            <w:pPr>
              <w:rPr>
                <w:rFonts w:cs="Arial"/>
                <w:color w:val="333333"/>
                <w:szCs w:val="20"/>
              </w:rPr>
            </w:pPr>
            <w:r w:rsidRPr="00506D4F">
              <w:rPr>
                <w:rFonts w:cs="Arial"/>
                <w:color w:val="333333"/>
                <w:szCs w:val="20"/>
              </w:rPr>
              <w:t>Listeria</w:t>
            </w:r>
          </w:p>
          <w:p w14:paraId="205083E9" w14:textId="77777777" w:rsidR="00285EF0" w:rsidRPr="00506D4F" w:rsidRDefault="00285EF0" w:rsidP="00285EF0">
            <w:pPr>
              <w:rPr>
                <w:rFonts w:cs="Arial"/>
                <w:color w:val="333333"/>
                <w:szCs w:val="20"/>
              </w:rPr>
            </w:pPr>
            <w:r w:rsidRPr="00506D4F">
              <w:rPr>
                <w:rFonts w:cs="Arial"/>
                <w:color w:val="333333"/>
                <w:szCs w:val="20"/>
              </w:rPr>
              <w:t>Monocytogenes</w:t>
            </w:r>
          </w:p>
          <w:p w14:paraId="4BE15530" w14:textId="77777777" w:rsidR="00285EF0" w:rsidRPr="00506D4F" w:rsidRDefault="00285EF0" w:rsidP="00285EF0">
            <w:pPr>
              <w:rPr>
                <w:rFonts w:cs="Arial"/>
                <w:color w:val="333333"/>
                <w:szCs w:val="20"/>
              </w:rPr>
            </w:pPr>
            <w:r w:rsidRPr="00506D4F">
              <w:rPr>
                <w:rFonts w:cs="Arial"/>
                <w:color w:val="333333"/>
                <w:szCs w:val="20"/>
              </w:rPr>
              <w:t>Listeriosis</w:t>
            </w:r>
          </w:p>
          <w:p w14:paraId="1E8E0096" w14:textId="77777777" w:rsidR="00285EF0" w:rsidRPr="00506D4F" w:rsidRDefault="00285EF0" w:rsidP="00285EF0">
            <w:pPr>
              <w:rPr>
                <w:rFonts w:cs="Arial"/>
                <w:szCs w:val="20"/>
              </w:rPr>
            </w:pPr>
            <w:r w:rsidRPr="00506D4F">
              <w:rPr>
                <w:rFonts w:cs="Arial"/>
                <w:color w:val="333333"/>
                <w:szCs w:val="20"/>
              </w:rPr>
              <w:t>Listeriae</w:t>
            </w:r>
          </w:p>
        </w:tc>
      </w:tr>
    </w:tbl>
    <w:p w14:paraId="033693FE" w14:textId="77777777" w:rsidR="00285EF0" w:rsidRDefault="00285EF0" w:rsidP="00285EF0">
      <w:pPr>
        <w:sectPr w:rsidR="00285EF0" w:rsidSect="00285EF0">
          <w:headerReference w:type="even" r:id="rId435"/>
          <w:headerReference w:type="default" r:id="rId436"/>
          <w:footerReference w:type="even" r:id="rId437"/>
          <w:headerReference w:type="first" r:id="rId438"/>
          <w:footerReference w:type="first" r:id="rId439"/>
          <w:pgSz w:w="11906" w:h="16838"/>
          <w:pgMar w:top="1418" w:right="1418" w:bottom="1418" w:left="1418" w:header="709" w:footer="709" w:gutter="0"/>
          <w:cols w:space="708"/>
          <w:docGrid w:linePitch="360"/>
        </w:sectPr>
      </w:pPr>
    </w:p>
    <w:p w14:paraId="5FD837EF" w14:textId="77777777" w:rsidR="00285EF0" w:rsidRDefault="00285EF0" w:rsidP="00285EF0">
      <w:r>
        <w:t>Table A1-2. Prevalence and risk factor specific search terms</w:t>
      </w:r>
    </w:p>
    <w:p w14:paraId="04E6C2AB" w14:textId="77777777" w:rsidR="00285EF0" w:rsidRDefault="00285EF0" w:rsidP="00285EF0"/>
    <w:tbl>
      <w:tblPr>
        <w:tblStyle w:val="TableGrid"/>
        <w:tblW w:w="14175" w:type="dxa"/>
        <w:tblInd w:w="-5" w:type="dxa"/>
        <w:tblLook w:val="04A0" w:firstRow="1" w:lastRow="0" w:firstColumn="1" w:lastColumn="0" w:noHBand="0" w:noVBand="1"/>
        <w:tblCaption w:val="Table A1-2. Prevalence and risk factor specific search terms"/>
      </w:tblPr>
      <w:tblGrid>
        <w:gridCol w:w="1635"/>
        <w:gridCol w:w="1366"/>
        <w:gridCol w:w="1806"/>
        <w:gridCol w:w="1858"/>
        <w:gridCol w:w="1611"/>
        <w:gridCol w:w="1756"/>
        <w:gridCol w:w="1627"/>
        <w:gridCol w:w="1108"/>
        <w:gridCol w:w="1408"/>
      </w:tblGrid>
      <w:tr w:rsidR="00285EF0" w:rsidRPr="00506D4F" w14:paraId="663618FB" w14:textId="77777777" w:rsidTr="00285EF0">
        <w:tc>
          <w:tcPr>
            <w:tcW w:w="1507" w:type="dxa"/>
            <w:shd w:val="clear" w:color="auto" w:fill="B8CCE4" w:themeFill="accent1" w:themeFillTint="66"/>
          </w:tcPr>
          <w:p w14:paraId="23C6C163" w14:textId="77777777" w:rsidR="00285EF0" w:rsidRPr="00506D4F" w:rsidRDefault="00285EF0" w:rsidP="00285EF0">
            <w:pPr>
              <w:rPr>
                <w:rFonts w:cs="Arial"/>
                <w:b/>
                <w:szCs w:val="20"/>
              </w:rPr>
            </w:pPr>
            <w:r w:rsidRPr="00506D4F">
              <w:rPr>
                <w:rFonts w:cs="Arial"/>
                <w:b/>
                <w:szCs w:val="20"/>
              </w:rPr>
              <w:t>Prevalence</w:t>
            </w:r>
          </w:p>
        </w:tc>
        <w:tc>
          <w:tcPr>
            <w:tcW w:w="1326" w:type="dxa"/>
            <w:shd w:val="clear" w:color="auto" w:fill="B8CCE4" w:themeFill="accent1" w:themeFillTint="66"/>
          </w:tcPr>
          <w:p w14:paraId="1AF5AD56" w14:textId="77777777" w:rsidR="00285EF0" w:rsidRPr="00506D4F" w:rsidRDefault="00285EF0" w:rsidP="00285EF0">
            <w:pPr>
              <w:rPr>
                <w:rFonts w:cs="Arial"/>
                <w:b/>
                <w:szCs w:val="20"/>
              </w:rPr>
            </w:pPr>
            <w:r w:rsidRPr="00506D4F">
              <w:rPr>
                <w:rFonts w:cs="Arial"/>
                <w:b/>
                <w:szCs w:val="20"/>
              </w:rPr>
              <w:t>Animals, wildlife and livestock</w:t>
            </w:r>
          </w:p>
        </w:tc>
        <w:tc>
          <w:tcPr>
            <w:tcW w:w="1662" w:type="dxa"/>
            <w:shd w:val="clear" w:color="auto" w:fill="B8CCE4" w:themeFill="accent1" w:themeFillTint="66"/>
          </w:tcPr>
          <w:p w14:paraId="5E0782D3" w14:textId="77777777" w:rsidR="00285EF0" w:rsidRPr="00506D4F" w:rsidRDefault="00285EF0" w:rsidP="00285EF0">
            <w:pPr>
              <w:rPr>
                <w:rFonts w:cs="Arial"/>
                <w:b/>
                <w:szCs w:val="20"/>
              </w:rPr>
            </w:pPr>
            <w:r w:rsidRPr="00506D4F">
              <w:rPr>
                <w:rFonts w:cs="Arial"/>
                <w:b/>
                <w:szCs w:val="20"/>
              </w:rPr>
              <w:t>Characteristics of the production site</w:t>
            </w:r>
          </w:p>
        </w:tc>
        <w:tc>
          <w:tcPr>
            <w:tcW w:w="2103" w:type="dxa"/>
            <w:shd w:val="clear" w:color="auto" w:fill="B8CCE4" w:themeFill="accent1" w:themeFillTint="66"/>
          </w:tcPr>
          <w:p w14:paraId="6132B689" w14:textId="77777777" w:rsidR="00285EF0" w:rsidRPr="00506D4F" w:rsidRDefault="00285EF0" w:rsidP="00285EF0">
            <w:pPr>
              <w:rPr>
                <w:rFonts w:cs="Arial"/>
                <w:b/>
                <w:szCs w:val="20"/>
              </w:rPr>
            </w:pPr>
            <w:r w:rsidRPr="00506D4F">
              <w:rPr>
                <w:rFonts w:cs="Arial"/>
                <w:b/>
                <w:szCs w:val="20"/>
              </w:rPr>
              <w:t>Extreme weather events</w:t>
            </w:r>
          </w:p>
        </w:tc>
        <w:tc>
          <w:tcPr>
            <w:tcW w:w="1530" w:type="dxa"/>
            <w:shd w:val="clear" w:color="auto" w:fill="B8CCE4" w:themeFill="accent1" w:themeFillTint="66"/>
          </w:tcPr>
          <w:p w14:paraId="71919675" w14:textId="77777777" w:rsidR="00285EF0" w:rsidRPr="00506D4F" w:rsidRDefault="00285EF0" w:rsidP="00285EF0">
            <w:pPr>
              <w:rPr>
                <w:rFonts w:cs="Arial"/>
                <w:b/>
                <w:szCs w:val="20"/>
              </w:rPr>
            </w:pPr>
            <w:r w:rsidRPr="00506D4F">
              <w:rPr>
                <w:rFonts w:cs="Arial"/>
                <w:b/>
                <w:szCs w:val="20"/>
              </w:rPr>
              <w:t>Seed and seedlings</w:t>
            </w:r>
          </w:p>
        </w:tc>
        <w:tc>
          <w:tcPr>
            <w:tcW w:w="1795" w:type="dxa"/>
            <w:shd w:val="clear" w:color="auto" w:fill="B8CCE4" w:themeFill="accent1" w:themeFillTint="66"/>
          </w:tcPr>
          <w:p w14:paraId="79460DE5" w14:textId="77777777" w:rsidR="00285EF0" w:rsidRPr="00506D4F" w:rsidRDefault="00285EF0" w:rsidP="00285EF0">
            <w:pPr>
              <w:rPr>
                <w:rFonts w:cs="Arial"/>
                <w:b/>
                <w:szCs w:val="20"/>
              </w:rPr>
            </w:pPr>
            <w:r w:rsidRPr="00506D4F">
              <w:rPr>
                <w:rFonts w:cs="Arial"/>
                <w:b/>
                <w:szCs w:val="20"/>
              </w:rPr>
              <w:t>Soil, soil amendments, and fertilisers</w:t>
            </w:r>
          </w:p>
        </w:tc>
        <w:tc>
          <w:tcPr>
            <w:tcW w:w="1701" w:type="dxa"/>
            <w:shd w:val="clear" w:color="auto" w:fill="B8CCE4" w:themeFill="accent1" w:themeFillTint="66"/>
          </w:tcPr>
          <w:p w14:paraId="0F901317" w14:textId="77777777" w:rsidR="00285EF0" w:rsidRPr="00506D4F" w:rsidRDefault="00285EF0" w:rsidP="00285EF0">
            <w:pPr>
              <w:rPr>
                <w:rFonts w:cs="Arial"/>
                <w:b/>
                <w:szCs w:val="20"/>
              </w:rPr>
            </w:pPr>
            <w:r w:rsidRPr="00506D4F">
              <w:rPr>
                <w:rFonts w:cs="Arial"/>
                <w:b/>
                <w:szCs w:val="20"/>
              </w:rPr>
              <w:t>Water</w:t>
            </w:r>
            <w:r w:rsidRPr="00506D4F">
              <w:rPr>
                <w:rFonts w:cs="Arial"/>
                <w:b/>
                <w:szCs w:val="20"/>
                <w:vertAlign w:val="superscript"/>
              </w:rPr>
              <w:t>†</w:t>
            </w:r>
          </w:p>
        </w:tc>
        <w:tc>
          <w:tcPr>
            <w:tcW w:w="1134" w:type="dxa"/>
            <w:shd w:val="clear" w:color="auto" w:fill="B8CCE4" w:themeFill="accent1" w:themeFillTint="66"/>
          </w:tcPr>
          <w:p w14:paraId="25390770" w14:textId="77777777" w:rsidR="00285EF0" w:rsidRPr="00506D4F" w:rsidRDefault="00285EF0" w:rsidP="00285EF0">
            <w:pPr>
              <w:rPr>
                <w:rFonts w:cs="Arial"/>
                <w:b/>
                <w:szCs w:val="20"/>
              </w:rPr>
            </w:pPr>
            <w:r w:rsidRPr="00506D4F">
              <w:rPr>
                <w:rFonts w:cs="Arial"/>
                <w:b/>
                <w:szCs w:val="20"/>
              </w:rPr>
              <w:t>Harvest and field packing</w:t>
            </w:r>
          </w:p>
        </w:tc>
        <w:tc>
          <w:tcPr>
            <w:tcW w:w="1417" w:type="dxa"/>
            <w:shd w:val="clear" w:color="auto" w:fill="B8CCE4" w:themeFill="accent1" w:themeFillTint="66"/>
          </w:tcPr>
          <w:p w14:paraId="17DF225D" w14:textId="77777777" w:rsidR="00285EF0" w:rsidRPr="00506D4F" w:rsidRDefault="00285EF0" w:rsidP="00285EF0">
            <w:pPr>
              <w:rPr>
                <w:rFonts w:cs="Arial"/>
                <w:b/>
                <w:szCs w:val="20"/>
              </w:rPr>
            </w:pPr>
            <w:r w:rsidRPr="00506D4F">
              <w:rPr>
                <w:rFonts w:cs="Arial"/>
                <w:b/>
                <w:szCs w:val="20"/>
              </w:rPr>
              <w:t>Packhouse and post-harvest processing</w:t>
            </w:r>
          </w:p>
        </w:tc>
      </w:tr>
      <w:tr w:rsidR="00285EF0" w:rsidRPr="00506D4F" w14:paraId="5F35B3B0" w14:textId="77777777" w:rsidTr="00285EF0">
        <w:tc>
          <w:tcPr>
            <w:tcW w:w="1507" w:type="dxa"/>
          </w:tcPr>
          <w:p w14:paraId="44695529" w14:textId="77777777" w:rsidR="00285EF0" w:rsidRPr="00506D4F" w:rsidRDefault="00285EF0" w:rsidP="00285EF0">
            <w:pPr>
              <w:rPr>
                <w:rFonts w:cs="Arial"/>
                <w:color w:val="333333"/>
                <w:szCs w:val="20"/>
              </w:rPr>
            </w:pPr>
            <w:r w:rsidRPr="00506D4F">
              <w:rPr>
                <w:rFonts w:cs="Arial"/>
                <w:color w:val="333333"/>
                <w:szCs w:val="20"/>
              </w:rPr>
              <w:t>Prevalence</w:t>
            </w:r>
          </w:p>
          <w:p w14:paraId="17F4E907" w14:textId="77777777" w:rsidR="00285EF0" w:rsidRPr="00506D4F" w:rsidRDefault="00285EF0" w:rsidP="00285EF0">
            <w:pPr>
              <w:rPr>
                <w:rFonts w:cs="Arial"/>
                <w:color w:val="333333"/>
                <w:szCs w:val="20"/>
              </w:rPr>
            </w:pPr>
            <w:r w:rsidRPr="00506D4F">
              <w:rPr>
                <w:rFonts w:cs="Arial"/>
                <w:color w:val="333333"/>
                <w:szCs w:val="20"/>
              </w:rPr>
              <w:t>Survey</w:t>
            </w:r>
          </w:p>
          <w:p w14:paraId="299C70EF" w14:textId="77777777" w:rsidR="00285EF0" w:rsidRPr="00506D4F" w:rsidRDefault="00285EF0" w:rsidP="00285EF0">
            <w:pPr>
              <w:rPr>
                <w:rFonts w:cs="Arial"/>
                <w:color w:val="333333"/>
                <w:szCs w:val="20"/>
              </w:rPr>
            </w:pPr>
            <w:r w:rsidRPr="00506D4F">
              <w:rPr>
                <w:rFonts w:cs="Arial"/>
                <w:color w:val="333333"/>
                <w:szCs w:val="20"/>
              </w:rPr>
              <w:t>Contamination</w:t>
            </w:r>
          </w:p>
          <w:p w14:paraId="71A54DEC" w14:textId="77777777" w:rsidR="00285EF0" w:rsidRPr="00506D4F" w:rsidRDefault="00285EF0" w:rsidP="00285EF0">
            <w:pPr>
              <w:rPr>
                <w:rFonts w:cs="Arial"/>
                <w:szCs w:val="20"/>
              </w:rPr>
            </w:pPr>
            <w:r w:rsidRPr="00506D4F">
              <w:rPr>
                <w:rFonts w:cs="Arial"/>
                <w:color w:val="333333"/>
                <w:szCs w:val="20"/>
              </w:rPr>
              <w:t>Occurrence</w:t>
            </w:r>
          </w:p>
        </w:tc>
        <w:tc>
          <w:tcPr>
            <w:tcW w:w="1326" w:type="dxa"/>
          </w:tcPr>
          <w:p w14:paraId="6DAB536A" w14:textId="77777777" w:rsidR="00285EF0" w:rsidRPr="00506D4F" w:rsidRDefault="00285EF0" w:rsidP="00285EF0">
            <w:pPr>
              <w:rPr>
                <w:rFonts w:cs="Arial"/>
                <w:color w:val="333333"/>
                <w:szCs w:val="20"/>
              </w:rPr>
            </w:pPr>
            <w:r w:rsidRPr="00506D4F">
              <w:rPr>
                <w:rFonts w:cs="Arial"/>
                <w:color w:val="333333"/>
                <w:szCs w:val="20"/>
              </w:rPr>
              <w:t>Wildlife</w:t>
            </w:r>
          </w:p>
          <w:p w14:paraId="60ABECF0" w14:textId="77777777" w:rsidR="00285EF0" w:rsidRPr="00506D4F" w:rsidRDefault="00285EF0" w:rsidP="00285EF0">
            <w:pPr>
              <w:rPr>
                <w:rFonts w:cs="Arial"/>
                <w:color w:val="333333"/>
                <w:szCs w:val="20"/>
              </w:rPr>
            </w:pPr>
            <w:r w:rsidRPr="00506D4F">
              <w:rPr>
                <w:rFonts w:cs="Arial"/>
                <w:color w:val="333333"/>
                <w:szCs w:val="20"/>
              </w:rPr>
              <w:t>Animal</w:t>
            </w:r>
          </w:p>
          <w:p w14:paraId="3EAD8E87" w14:textId="77777777" w:rsidR="00285EF0" w:rsidRPr="00506D4F" w:rsidRDefault="00285EF0" w:rsidP="00285EF0">
            <w:pPr>
              <w:rPr>
                <w:rFonts w:cs="Arial"/>
                <w:color w:val="333333"/>
                <w:szCs w:val="20"/>
              </w:rPr>
            </w:pPr>
            <w:r w:rsidRPr="00506D4F">
              <w:rPr>
                <w:rFonts w:cs="Arial"/>
                <w:color w:val="333333"/>
                <w:szCs w:val="20"/>
              </w:rPr>
              <w:t>Livestock</w:t>
            </w:r>
          </w:p>
          <w:p w14:paraId="234194A1" w14:textId="77777777" w:rsidR="00285EF0" w:rsidRPr="00506D4F" w:rsidRDefault="00285EF0" w:rsidP="00285EF0">
            <w:pPr>
              <w:rPr>
                <w:rFonts w:cs="Arial"/>
                <w:color w:val="333333"/>
                <w:szCs w:val="20"/>
              </w:rPr>
            </w:pPr>
            <w:r w:rsidRPr="00506D4F">
              <w:rPr>
                <w:rFonts w:cs="Arial"/>
                <w:color w:val="333333"/>
                <w:szCs w:val="20"/>
              </w:rPr>
              <w:t>Cattle</w:t>
            </w:r>
          </w:p>
          <w:p w14:paraId="25EFB82F" w14:textId="77777777" w:rsidR="00285EF0" w:rsidRPr="00506D4F" w:rsidRDefault="00285EF0" w:rsidP="00285EF0">
            <w:pPr>
              <w:rPr>
                <w:rFonts w:cs="Arial"/>
                <w:color w:val="333333"/>
                <w:szCs w:val="20"/>
              </w:rPr>
            </w:pPr>
            <w:r w:rsidRPr="00506D4F">
              <w:rPr>
                <w:rFonts w:cs="Arial"/>
                <w:color w:val="333333"/>
                <w:szCs w:val="20"/>
              </w:rPr>
              <w:t>Bird</w:t>
            </w:r>
          </w:p>
          <w:p w14:paraId="7879B8CA" w14:textId="77777777" w:rsidR="00285EF0" w:rsidRPr="00506D4F" w:rsidRDefault="00285EF0" w:rsidP="00285EF0">
            <w:pPr>
              <w:rPr>
                <w:rFonts w:cs="Arial"/>
                <w:color w:val="333333"/>
                <w:szCs w:val="20"/>
              </w:rPr>
            </w:pPr>
            <w:r w:rsidRPr="00506D4F">
              <w:rPr>
                <w:rFonts w:cs="Arial"/>
                <w:color w:val="333333"/>
                <w:szCs w:val="20"/>
              </w:rPr>
              <w:t>Feral pigs</w:t>
            </w:r>
          </w:p>
          <w:p w14:paraId="70B315CA" w14:textId="77777777" w:rsidR="00285EF0" w:rsidRPr="00506D4F" w:rsidRDefault="00285EF0" w:rsidP="00285EF0">
            <w:pPr>
              <w:rPr>
                <w:rFonts w:cs="Arial"/>
                <w:color w:val="333333"/>
                <w:szCs w:val="20"/>
              </w:rPr>
            </w:pPr>
            <w:r w:rsidRPr="00506D4F">
              <w:rPr>
                <w:rFonts w:cs="Arial"/>
                <w:color w:val="333333"/>
                <w:szCs w:val="20"/>
              </w:rPr>
              <w:t>Deer</w:t>
            </w:r>
          </w:p>
          <w:p w14:paraId="2157E2B1" w14:textId="77777777" w:rsidR="00285EF0" w:rsidRPr="00506D4F" w:rsidRDefault="00285EF0" w:rsidP="00285EF0">
            <w:pPr>
              <w:rPr>
                <w:rFonts w:cs="Arial"/>
                <w:color w:val="333333"/>
                <w:szCs w:val="20"/>
              </w:rPr>
            </w:pPr>
            <w:r w:rsidRPr="00506D4F">
              <w:rPr>
                <w:rFonts w:cs="Arial"/>
                <w:color w:val="333333"/>
                <w:szCs w:val="20"/>
              </w:rPr>
              <w:t>Rodent</w:t>
            </w:r>
          </w:p>
          <w:p w14:paraId="43A060F7" w14:textId="77777777" w:rsidR="00285EF0" w:rsidRPr="00506D4F" w:rsidRDefault="00285EF0" w:rsidP="00285EF0">
            <w:pPr>
              <w:rPr>
                <w:rFonts w:cs="Arial"/>
                <w:color w:val="333333"/>
                <w:szCs w:val="20"/>
              </w:rPr>
            </w:pPr>
            <w:r w:rsidRPr="00506D4F">
              <w:rPr>
                <w:rFonts w:cs="Arial"/>
                <w:color w:val="333333"/>
                <w:szCs w:val="20"/>
              </w:rPr>
              <w:t>Reptiles</w:t>
            </w:r>
          </w:p>
          <w:p w14:paraId="7AB4B433" w14:textId="77777777" w:rsidR="00285EF0" w:rsidRPr="00506D4F" w:rsidRDefault="00285EF0" w:rsidP="00285EF0">
            <w:pPr>
              <w:rPr>
                <w:rFonts w:cs="Arial"/>
                <w:color w:val="333333"/>
                <w:szCs w:val="20"/>
              </w:rPr>
            </w:pPr>
            <w:r w:rsidRPr="00506D4F">
              <w:rPr>
                <w:rFonts w:cs="Arial"/>
                <w:color w:val="333333"/>
                <w:szCs w:val="20"/>
              </w:rPr>
              <w:t>Amphibians</w:t>
            </w:r>
          </w:p>
          <w:p w14:paraId="01720BE1" w14:textId="77777777" w:rsidR="00285EF0" w:rsidRPr="00506D4F" w:rsidRDefault="00285EF0" w:rsidP="00285EF0">
            <w:pPr>
              <w:rPr>
                <w:rFonts w:cs="Arial"/>
                <w:color w:val="333333"/>
                <w:szCs w:val="20"/>
              </w:rPr>
            </w:pPr>
            <w:r w:rsidRPr="00506D4F">
              <w:rPr>
                <w:rFonts w:cs="Arial"/>
                <w:color w:val="333333"/>
                <w:szCs w:val="20"/>
              </w:rPr>
              <w:t>Poultry</w:t>
            </w:r>
          </w:p>
          <w:p w14:paraId="0F3E7A41" w14:textId="77777777" w:rsidR="00285EF0" w:rsidRPr="00506D4F" w:rsidRDefault="00285EF0" w:rsidP="00285EF0">
            <w:pPr>
              <w:rPr>
                <w:rFonts w:cs="Arial"/>
                <w:szCs w:val="20"/>
              </w:rPr>
            </w:pPr>
            <w:r w:rsidRPr="00506D4F">
              <w:rPr>
                <w:rFonts w:cs="Arial"/>
                <w:color w:val="333333"/>
                <w:szCs w:val="20"/>
              </w:rPr>
              <w:t>Feces</w:t>
            </w:r>
          </w:p>
        </w:tc>
        <w:tc>
          <w:tcPr>
            <w:tcW w:w="1662" w:type="dxa"/>
          </w:tcPr>
          <w:p w14:paraId="6AE4B5FA" w14:textId="77777777" w:rsidR="00285EF0" w:rsidRPr="00506D4F" w:rsidRDefault="00285EF0" w:rsidP="00285EF0">
            <w:pPr>
              <w:rPr>
                <w:rFonts w:cs="Arial"/>
                <w:color w:val="333333"/>
                <w:szCs w:val="20"/>
              </w:rPr>
            </w:pPr>
            <w:r w:rsidRPr="00506D4F">
              <w:rPr>
                <w:rFonts w:cs="Arial"/>
                <w:color w:val="333333"/>
                <w:szCs w:val="20"/>
              </w:rPr>
              <w:t>Topograph</w:t>
            </w:r>
          </w:p>
          <w:p w14:paraId="63261D29" w14:textId="77777777" w:rsidR="00285EF0" w:rsidRPr="00506D4F" w:rsidRDefault="00285EF0" w:rsidP="00285EF0">
            <w:pPr>
              <w:rPr>
                <w:rFonts w:cs="Arial"/>
                <w:color w:val="333333"/>
                <w:szCs w:val="20"/>
              </w:rPr>
            </w:pPr>
            <w:r w:rsidRPr="00506D4F">
              <w:rPr>
                <w:rFonts w:cs="Arial"/>
                <w:color w:val="333333"/>
                <w:szCs w:val="20"/>
              </w:rPr>
              <w:t>Climat*</w:t>
            </w:r>
          </w:p>
          <w:p w14:paraId="48398E54" w14:textId="77777777" w:rsidR="00285EF0" w:rsidRPr="00506D4F" w:rsidRDefault="00285EF0" w:rsidP="00285EF0">
            <w:pPr>
              <w:rPr>
                <w:rFonts w:cs="Arial"/>
                <w:color w:val="333333"/>
                <w:szCs w:val="20"/>
              </w:rPr>
            </w:pPr>
            <w:r w:rsidRPr="00506D4F">
              <w:rPr>
                <w:rFonts w:cs="Arial"/>
                <w:color w:val="333333"/>
                <w:szCs w:val="20"/>
              </w:rPr>
              <w:t>Hydrolog*</w:t>
            </w:r>
          </w:p>
          <w:p w14:paraId="6315FD96" w14:textId="77777777" w:rsidR="00285EF0" w:rsidRPr="00506D4F" w:rsidRDefault="00285EF0" w:rsidP="00285EF0">
            <w:pPr>
              <w:rPr>
                <w:rFonts w:cs="Arial"/>
                <w:color w:val="333333"/>
                <w:szCs w:val="20"/>
              </w:rPr>
            </w:pPr>
            <w:r w:rsidRPr="00506D4F">
              <w:rPr>
                <w:rFonts w:cs="Arial"/>
                <w:color w:val="333333"/>
                <w:szCs w:val="20"/>
              </w:rPr>
              <w:t>Weather</w:t>
            </w:r>
          </w:p>
          <w:p w14:paraId="5DAE51DC" w14:textId="77777777" w:rsidR="00285EF0" w:rsidRPr="00506D4F" w:rsidRDefault="00285EF0" w:rsidP="00285EF0">
            <w:pPr>
              <w:rPr>
                <w:rFonts w:cs="Arial"/>
                <w:color w:val="333333"/>
                <w:szCs w:val="20"/>
              </w:rPr>
            </w:pPr>
            <w:r w:rsidRPr="00506D4F">
              <w:rPr>
                <w:rFonts w:cs="Arial"/>
                <w:color w:val="333333"/>
                <w:szCs w:val="20"/>
              </w:rPr>
              <w:t>Climate change</w:t>
            </w:r>
          </w:p>
          <w:p w14:paraId="0387541F" w14:textId="77777777" w:rsidR="00285EF0" w:rsidRPr="00506D4F" w:rsidRDefault="00285EF0" w:rsidP="00285EF0">
            <w:pPr>
              <w:rPr>
                <w:rFonts w:cs="Arial"/>
                <w:color w:val="333333"/>
                <w:szCs w:val="20"/>
              </w:rPr>
            </w:pPr>
            <w:r w:rsidRPr="00506D4F">
              <w:rPr>
                <w:rFonts w:cs="Arial"/>
                <w:color w:val="333333"/>
                <w:szCs w:val="20"/>
              </w:rPr>
              <w:t>Climate-change</w:t>
            </w:r>
          </w:p>
          <w:p w14:paraId="79B2CBA7" w14:textId="77777777" w:rsidR="00285EF0" w:rsidRPr="00506D4F" w:rsidRDefault="00285EF0" w:rsidP="00285EF0">
            <w:pPr>
              <w:rPr>
                <w:rFonts w:cs="Arial"/>
                <w:color w:val="333333"/>
                <w:szCs w:val="20"/>
              </w:rPr>
            </w:pPr>
            <w:r w:rsidRPr="00506D4F">
              <w:rPr>
                <w:rFonts w:cs="Arial"/>
                <w:color w:val="333333"/>
                <w:szCs w:val="20"/>
              </w:rPr>
              <w:t>Winter</w:t>
            </w:r>
          </w:p>
          <w:p w14:paraId="5B3BADD1" w14:textId="77777777" w:rsidR="00285EF0" w:rsidRPr="00506D4F" w:rsidRDefault="00285EF0" w:rsidP="00285EF0">
            <w:pPr>
              <w:rPr>
                <w:rFonts w:cs="Arial"/>
                <w:color w:val="333333"/>
                <w:szCs w:val="20"/>
              </w:rPr>
            </w:pPr>
            <w:r w:rsidRPr="00506D4F">
              <w:rPr>
                <w:rFonts w:cs="Arial"/>
                <w:color w:val="333333"/>
                <w:szCs w:val="20"/>
              </w:rPr>
              <w:t>Summer</w:t>
            </w:r>
          </w:p>
          <w:p w14:paraId="1B881759" w14:textId="77777777" w:rsidR="00285EF0" w:rsidRPr="00506D4F" w:rsidRDefault="00285EF0" w:rsidP="00285EF0">
            <w:pPr>
              <w:rPr>
                <w:rFonts w:cs="Arial"/>
                <w:color w:val="333333"/>
                <w:szCs w:val="20"/>
              </w:rPr>
            </w:pPr>
            <w:r w:rsidRPr="00506D4F">
              <w:rPr>
                <w:rFonts w:cs="Arial"/>
                <w:color w:val="333333"/>
                <w:szCs w:val="20"/>
              </w:rPr>
              <w:t>Autumn</w:t>
            </w:r>
          </w:p>
          <w:p w14:paraId="4EF484CD" w14:textId="77777777" w:rsidR="00285EF0" w:rsidRPr="00506D4F" w:rsidRDefault="00285EF0" w:rsidP="00285EF0">
            <w:pPr>
              <w:rPr>
                <w:rFonts w:cs="Arial"/>
                <w:szCs w:val="20"/>
              </w:rPr>
            </w:pPr>
            <w:r w:rsidRPr="00506D4F">
              <w:rPr>
                <w:rFonts w:cs="Arial"/>
                <w:color w:val="333333"/>
                <w:szCs w:val="20"/>
              </w:rPr>
              <w:t>Spring</w:t>
            </w:r>
          </w:p>
        </w:tc>
        <w:tc>
          <w:tcPr>
            <w:tcW w:w="2103" w:type="dxa"/>
          </w:tcPr>
          <w:p w14:paraId="159793A7" w14:textId="77777777" w:rsidR="00285EF0" w:rsidRPr="00506D4F" w:rsidRDefault="00285EF0" w:rsidP="00285EF0">
            <w:pPr>
              <w:rPr>
                <w:rFonts w:cs="Arial"/>
                <w:color w:val="333333"/>
                <w:szCs w:val="20"/>
              </w:rPr>
            </w:pPr>
            <w:r w:rsidRPr="00506D4F">
              <w:rPr>
                <w:rFonts w:cs="Arial"/>
                <w:color w:val="333333"/>
                <w:szCs w:val="20"/>
              </w:rPr>
              <w:t>Flood*</w:t>
            </w:r>
          </w:p>
          <w:p w14:paraId="730825B6" w14:textId="77777777" w:rsidR="00285EF0" w:rsidRPr="00506D4F" w:rsidRDefault="00285EF0" w:rsidP="00285EF0">
            <w:pPr>
              <w:rPr>
                <w:rFonts w:cs="Arial"/>
                <w:color w:val="333333"/>
                <w:szCs w:val="20"/>
              </w:rPr>
            </w:pPr>
            <w:r w:rsidRPr="00506D4F">
              <w:rPr>
                <w:rFonts w:cs="Arial"/>
                <w:color w:val="333333"/>
                <w:szCs w:val="20"/>
              </w:rPr>
              <w:t>Flood water</w:t>
            </w:r>
          </w:p>
          <w:p w14:paraId="1A9BB23A" w14:textId="77777777" w:rsidR="00285EF0" w:rsidRPr="00506D4F" w:rsidRDefault="00285EF0" w:rsidP="00285EF0">
            <w:pPr>
              <w:rPr>
                <w:rFonts w:cs="Arial"/>
                <w:color w:val="333333"/>
                <w:szCs w:val="20"/>
              </w:rPr>
            </w:pPr>
            <w:r w:rsidRPr="00506D4F">
              <w:rPr>
                <w:rFonts w:cs="Arial"/>
                <w:color w:val="333333"/>
                <w:szCs w:val="20"/>
              </w:rPr>
              <w:t>Dust</w:t>
            </w:r>
          </w:p>
          <w:p w14:paraId="62111F54" w14:textId="77777777" w:rsidR="00285EF0" w:rsidRPr="00506D4F" w:rsidRDefault="00285EF0" w:rsidP="00285EF0">
            <w:pPr>
              <w:rPr>
                <w:rFonts w:cs="Arial"/>
                <w:color w:val="333333"/>
                <w:szCs w:val="20"/>
              </w:rPr>
            </w:pPr>
            <w:r w:rsidRPr="00506D4F">
              <w:rPr>
                <w:rFonts w:cs="Arial"/>
                <w:color w:val="333333"/>
                <w:szCs w:val="20"/>
              </w:rPr>
              <w:t>Storm*</w:t>
            </w:r>
          </w:p>
          <w:p w14:paraId="45EBC590" w14:textId="77777777" w:rsidR="00285EF0" w:rsidRPr="00506D4F" w:rsidRDefault="00285EF0" w:rsidP="00285EF0">
            <w:pPr>
              <w:rPr>
                <w:rFonts w:cs="Arial"/>
                <w:color w:val="333333"/>
                <w:szCs w:val="20"/>
              </w:rPr>
            </w:pPr>
            <w:r w:rsidRPr="00506D4F">
              <w:rPr>
                <w:rFonts w:cs="Arial"/>
                <w:color w:val="333333"/>
                <w:szCs w:val="20"/>
              </w:rPr>
              <w:t>Hail*</w:t>
            </w:r>
          </w:p>
          <w:p w14:paraId="0106FC4F" w14:textId="77777777" w:rsidR="00285EF0" w:rsidRPr="00506D4F" w:rsidRDefault="00285EF0" w:rsidP="00285EF0">
            <w:pPr>
              <w:rPr>
                <w:rFonts w:cs="Arial"/>
                <w:color w:val="333333"/>
                <w:szCs w:val="20"/>
              </w:rPr>
            </w:pPr>
            <w:r w:rsidRPr="00506D4F">
              <w:rPr>
                <w:rFonts w:cs="Arial"/>
                <w:color w:val="333333"/>
                <w:szCs w:val="20"/>
              </w:rPr>
              <w:t>Rain*</w:t>
            </w:r>
          </w:p>
          <w:p w14:paraId="040A11C2" w14:textId="77777777" w:rsidR="00285EF0" w:rsidRPr="00506D4F" w:rsidRDefault="00285EF0" w:rsidP="00285EF0">
            <w:pPr>
              <w:rPr>
                <w:rFonts w:cs="Arial"/>
                <w:color w:val="333333"/>
                <w:szCs w:val="20"/>
              </w:rPr>
            </w:pPr>
            <w:r w:rsidRPr="00506D4F">
              <w:rPr>
                <w:rFonts w:cs="Arial"/>
                <w:color w:val="333333"/>
                <w:szCs w:val="20"/>
              </w:rPr>
              <w:t>Extreme weather</w:t>
            </w:r>
          </w:p>
          <w:p w14:paraId="1157F5A7" w14:textId="77777777" w:rsidR="00285EF0" w:rsidRPr="00506D4F" w:rsidRDefault="00285EF0" w:rsidP="00285EF0">
            <w:pPr>
              <w:rPr>
                <w:rFonts w:cs="Arial"/>
                <w:color w:val="333333"/>
                <w:szCs w:val="20"/>
              </w:rPr>
            </w:pPr>
            <w:r w:rsidRPr="00506D4F">
              <w:rPr>
                <w:rFonts w:cs="Arial"/>
                <w:color w:val="333333"/>
                <w:szCs w:val="20"/>
              </w:rPr>
              <w:t>Cyclone</w:t>
            </w:r>
          </w:p>
          <w:p w14:paraId="7677D327" w14:textId="77777777" w:rsidR="00285EF0" w:rsidRPr="00506D4F" w:rsidRDefault="00285EF0" w:rsidP="00285EF0">
            <w:pPr>
              <w:rPr>
                <w:rFonts w:cs="Arial"/>
                <w:color w:val="333333"/>
                <w:szCs w:val="20"/>
              </w:rPr>
            </w:pPr>
            <w:r w:rsidRPr="00506D4F">
              <w:rPr>
                <w:rFonts w:cs="Arial"/>
                <w:color w:val="333333"/>
                <w:szCs w:val="20"/>
              </w:rPr>
              <w:t>Extreme heat</w:t>
            </w:r>
          </w:p>
          <w:p w14:paraId="6DEC64AD" w14:textId="77777777" w:rsidR="00285EF0" w:rsidRPr="00506D4F" w:rsidRDefault="00285EF0" w:rsidP="00285EF0">
            <w:pPr>
              <w:rPr>
                <w:rFonts w:cs="Arial"/>
                <w:color w:val="333333"/>
                <w:szCs w:val="20"/>
              </w:rPr>
            </w:pPr>
            <w:r w:rsidRPr="00506D4F">
              <w:rPr>
                <w:rFonts w:cs="Arial"/>
                <w:color w:val="333333"/>
                <w:szCs w:val="20"/>
              </w:rPr>
              <w:t>Extreme cold</w:t>
            </w:r>
          </w:p>
          <w:p w14:paraId="20DF2747" w14:textId="77777777" w:rsidR="00285EF0" w:rsidRPr="00506D4F" w:rsidRDefault="00285EF0" w:rsidP="00285EF0">
            <w:pPr>
              <w:rPr>
                <w:rFonts w:cs="Arial"/>
                <w:color w:val="333333"/>
                <w:szCs w:val="20"/>
              </w:rPr>
            </w:pPr>
            <w:r w:rsidRPr="00506D4F">
              <w:rPr>
                <w:rFonts w:cs="Arial"/>
                <w:color w:val="333333"/>
                <w:szCs w:val="20"/>
              </w:rPr>
              <w:t>Wind</w:t>
            </w:r>
          </w:p>
          <w:p w14:paraId="2BF28DF6" w14:textId="77777777" w:rsidR="00285EF0" w:rsidRPr="00506D4F" w:rsidRDefault="00285EF0" w:rsidP="00285EF0">
            <w:pPr>
              <w:rPr>
                <w:rFonts w:cs="Arial"/>
                <w:color w:val="333333"/>
                <w:szCs w:val="20"/>
              </w:rPr>
            </w:pPr>
            <w:r w:rsidRPr="00506D4F">
              <w:rPr>
                <w:rFonts w:cs="Arial"/>
                <w:color w:val="333333"/>
                <w:szCs w:val="20"/>
              </w:rPr>
              <w:t>Extreme temperature</w:t>
            </w:r>
          </w:p>
          <w:p w14:paraId="133CCE91" w14:textId="77777777" w:rsidR="00285EF0" w:rsidRPr="00506D4F" w:rsidRDefault="00285EF0" w:rsidP="00285EF0">
            <w:pPr>
              <w:rPr>
                <w:rFonts w:cs="Arial"/>
                <w:color w:val="333333"/>
                <w:szCs w:val="20"/>
              </w:rPr>
            </w:pPr>
            <w:r w:rsidRPr="00506D4F">
              <w:rPr>
                <w:rFonts w:cs="Arial"/>
                <w:color w:val="333333"/>
                <w:szCs w:val="20"/>
              </w:rPr>
              <w:t>Frost</w:t>
            </w:r>
          </w:p>
          <w:p w14:paraId="1ECD4CFF" w14:textId="77777777" w:rsidR="00285EF0" w:rsidRPr="00506D4F" w:rsidRDefault="00285EF0" w:rsidP="00285EF0">
            <w:pPr>
              <w:rPr>
                <w:rFonts w:cs="Arial"/>
                <w:szCs w:val="20"/>
              </w:rPr>
            </w:pPr>
            <w:r w:rsidRPr="00506D4F">
              <w:rPr>
                <w:rFonts w:cs="Arial"/>
                <w:color w:val="333333"/>
                <w:szCs w:val="20"/>
              </w:rPr>
              <w:t>Drought</w:t>
            </w:r>
          </w:p>
        </w:tc>
        <w:tc>
          <w:tcPr>
            <w:tcW w:w="1530" w:type="dxa"/>
          </w:tcPr>
          <w:p w14:paraId="450F8E94" w14:textId="77777777" w:rsidR="00285EF0" w:rsidRPr="00506D4F" w:rsidRDefault="00285EF0" w:rsidP="00285EF0">
            <w:pPr>
              <w:rPr>
                <w:rFonts w:cs="Arial"/>
                <w:color w:val="333333"/>
                <w:szCs w:val="20"/>
              </w:rPr>
            </w:pPr>
            <w:r w:rsidRPr="00506D4F">
              <w:rPr>
                <w:rFonts w:cs="Arial"/>
                <w:color w:val="333333"/>
                <w:szCs w:val="20"/>
              </w:rPr>
              <w:t>Seed*</w:t>
            </w:r>
          </w:p>
          <w:p w14:paraId="00DDA999" w14:textId="77777777" w:rsidR="00285EF0" w:rsidRPr="00506D4F" w:rsidRDefault="00285EF0" w:rsidP="00285EF0">
            <w:pPr>
              <w:rPr>
                <w:rFonts w:cs="Arial"/>
                <w:color w:val="333333"/>
                <w:szCs w:val="20"/>
              </w:rPr>
            </w:pPr>
            <w:r w:rsidRPr="00506D4F">
              <w:rPr>
                <w:rFonts w:cs="Arial"/>
                <w:color w:val="333333"/>
                <w:szCs w:val="20"/>
              </w:rPr>
              <w:t>Crop</w:t>
            </w:r>
          </w:p>
          <w:p w14:paraId="52C0004A" w14:textId="77777777" w:rsidR="00285EF0" w:rsidRPr="00506D4F" w:rsidRDefault="00285EF0" w:rsidP="00285EF0">
            <w:pPr>
              <w:rPr>
                <w:rFonts w:cs="Arial"/>
                <w:color w:val="333333"/>
                <w:szCs w:val="20"/>
              </w:rPr>
            </w:pPr>
            <w:r w:rsidRPr="00506D4F">
              <w:rPr>
                <w:rFonts w:cs="Arial"/>
                <w:color w:val="333333"/>
                <w:szCs w:val="20"/>
              </w:rPr>
              <w:t>Crop selection</w:t>
            </w:r>
          </w:p>
          <w:p w14:paraId="2AD7E915" w14:textId="77777777" w:rsidR="00285EF0" w:rsidRPr="00506D4F" w:rsidRDefault="00285EF0" w:rsidP="00285EF0">
            <w:pPr>
              <w:rPr>
                <w:rFonts w:cs="Arial"/>
                <w:color w:val="333333"/>
                <w:szCs w:val="20"/>
              </w:rPr>
            </w:pPr>
            <w:r w:rsidRPr="00506D4F">
              <w:rPr>
                <w:rFonts w:cs="Arial"/>
                <w:color w:val="333333"/>
                <w:szCs w:val="20"/>
              </w:rPr>
              <w:t>Crop rotationVariet*</w:t>
            </w:r>
          </w:p>
          <w:p w14:paraId="38159389" w14:textId="77777777" w:rsidR="00285EF0" w:rsidRPr="00506D4F" w:rsidRDefault="00285EF0" w:rsidP="00285EF0">
            <w:pPr>
              <w:rPr>
                <w:rFonts w:cs="Arial"/>
                <w:color w:val="333333"/>
                <w:szCs w:val="20"/>
              </w:rPr>
            </w:pPr>
            <w:r w:rsidRPr="00506D4F">
              <w:rPr>
                <w:rFonts w:cs="Arial"/>
                <w:color w:val="333333"/>
                <w:szCs w:val="20"/>
              </w:rPr>
              <w:t>Varietal</w:t>
            </w:r>
          </w:p>
          <w:p w14:paraId="2EC9BE7F" w14:textId="77777777" w:rsidR="00285EF0" w:rsidRPr="00506D4F" w:rsidRDefault="00285EF0" w:rsidP="00285EF0">
            <w:pPr>
              <w:rPr>
                <w:rFonts w:cs="Arial"/>
                <w:color w:val="333333"/>
                <w:szCs w:val="20"/>
              </w:rPr>
            </w:pPr>
            <w:r w:rsidRPr="00506D4F">
              <w:rPr>
                <w:rFonts w:cs="Arial"/>
                <w:color w:val="333333"/>
                <w:szCs w:val="20"/>
              </w:rPr>
              <w:t>Non-traditional</w:t>
            </w:r>
          </w:p>
          <w:p w14:paraId="0C9DCBCE" w14:textId="77777777" w:rsidR="00285EF0" w:rsidRPr="00506D4F" w:rsidRDefault="00285EF0" w:rsidP="00285EF0">
            <w:pPr>
              <w:rPr>
                <w:rFonts w:cs="Arial"/>
                <w:szCs w:val="20"/>
              </w:rPr>
            </w:pPr>
            <w:r w:rsidRPr="00506D4F">
              <w:rPr>
                <w:rFonts w:cs="Arial"/>
                <w:color w:val="333333"/>
                <w:szCs w:val="20"/>
              </w:rPr>
              <w:t>Traditional</w:t>
            </w:r>
          </w:p>
        </w:tc>
        <w:tc>
          <w:tcPr>
            <w:tcW w:w="1795" w:type="dxa"/>
          </w:tcPr>
          <w:p w14:paraId="1CA0641F" w14:textId="77777777" w:rsidR="00285EF0" w:rsidRPr="00506D4F" w:rsidRDefault="00285EF0" w:rsidP="00285EF0">
            <w:pPr>
              <w:rPr>
                <w:rFonts w:cs="Arial"/>
                <w:color w:val="333333"/>
                <w:szCs w:val="20"/>
              </w:rPr>
            </w:pPr>
            <w:r w:rsidRPr="00506D4F">
              <w:rPr>
                <w:rFonts w:cs="Arial"/>
                <w:color w:val="333333"/>
                <w:szCs w:val="20"/>
              </w:rPr>
              <w:t>Soil</w:t>
            </w:r>
          </w:p>
          <w:p w14:paraId="502DBB46" w14:textId="77777777" w:rsidR="00285EF0" w:rsidRPr="00506D4F" w:rsidRDefault="00285EF0" w:rsidP="00285EF0">
            <w:pPr>
              <w:rPr>
                <w:rFonts w:cs="Arial"/>
                <w:color w:val="333333"/>
                <w:szCs w:val="20"/>
              </w:rPr>
            </w:pPr>
            <w:r w:rsidRPr="00506D4F">
              <w:rPr>
                <w:rFonts w:cs="Arial"/>
                <w:color w:val="333333"/>
                <w:szCs w:val="20"/>
              </w:rPr>
              <w:t>Soil amendment</w:t>
            </w:r>
          </w:p>
          <w:p w14:paraId="0576473F" w14:textId="77777777" w:rsidR="00285EF0" w:rsidRPr="00506D4F" w:rsidRDefault="00285EF0" w:rsidP="00285EF0">
            <w:pPr>
              <w:rPr>
                <w:rFonts w:cs="Arial"/>
                <w:color w:val="333333"/>
                <w:szCs w:val="20"/>
              </w:rPr>
            </w:pPr>
            <w:r w:rsidRPr="00506D4F">
              <w:rPr>
                <w:rFonts w:cs="Arial"/>
                <w:color w:val="333333"/>
                <w:szCs w:val="20"/>
              </w:rPr>
              <w:t>Amendment</w:t>
            </w:r>
          </w:p>
          <w:p w14:paraId="2597F50F" w14:textId="77777777" w:rsidR="00285EF0" w:rsidRPr="00506D4F" w:rsidRDefault="00285EF0" w:rsidP="00285EF0">
            <w:pPr>
              <w:rPr>
                <w:rFonts w:cs="Arial"/>
                <w:color w:val="333333"/>
                <w:szCs w:val="20"/>
              </w:rPr>
            </w:pPr>
            <w:r w:rsidRPr="00506D4F">
              <w:rPr>
                <w:rFonts w:cs="Arial"/>
                <w:color w:val="333333"/>
                <w:szCs w:val="20"/>
              </w:rPr>
              <w:t>Fertilizer</w:t>
            </w:r>
          </w:p>
          <w:p w14:paraId="51A10AA1" w14:textId="77777777" w:rsidR="00285EF0" w:rsidRPr="00506D4F" w:rsidRDefault="00285EF0" w:rsidP="00285EF0">
            <w:pPr>
              <w:rPr>
                <w:rFonts w:cs="Arial"/>
                <w:color w:val="333333"/>
                <w:szCs w:val="20"/>
              </w:rPr>
            </w:pPr>
            <w:r w:rsidRPr="00506D4F">
              <w:rPr>
                <w:rFonts w:cs="Arial"/>
                <w:color w:val="333333"/>
                <w:szCs w:val="20"/>
              </w:rPr>
              <w:t>Organic waste</w:t>
            </w:r>
          </w:p>
          <w:p w14:paraId="2A219596" w14:textId="77777777" w:rsidR="00285EF0" w:rsidRPr="00506D4F" w:rsidRDefault="00285EF0" w:rsidP="00285EF0">
            <w:pPr>
              <w:rPr>
                <w:rFonts w:cs="Arial"/>
                <w:color w:val="333333"/>
                <w:szCs w:val="20"/>
              </w:rPr>
            </w:pPr>
            <w:r w:rsidRPr="00506D4F">
              <w:rPr>
                <w:rFonts w:cs="Arial"/>
                <w:color w:val="333333"/>
                <w:szCs w:val="20"/>
              </w:rPr>
              <w:t>Manure</w:t>
            </w:r>
          </w:p>
          <w:p w14:paraId="65745FD3" w14:textId="77777777" w:rsidR="00285EF0" w:rsidRPr="00506D4F" w:rsidRDefault="00285EF0" w:rsidP="00285EF0">
            <w:pPr>
              <w:rPr>
                <w:rFonts w:cs="Arial"/>
                <w:color w:val="333333"/>
                <w:szCs w:val="20"/>
              </w:rPr>
            </w:pPr>
            <w:r w:rsidRPr="00506D4F">
              <w:rPr>
                <w:rFonts w:cs="Arial"/>
                <w:color w:val="333333"/>
                <w:szCs w:val="20"/>
              </w:rPr>
              <w:t>Manure-amended</w:t>
            </w:r>
          </w:p>
          <w:p w14:paraId="3C8D14AB" w14:textId="77777777" w:rsidR="00285EF0" w:rsidRPr="00506D4F" w:rsidRDefault="00285EF0" w:rsidP="00285EF0">
            <w:pPr>
              <w:rPr>
                <w:rFonts w:cs="Arial"/>
                <w:color w:val="333333"/>
                <w:szCs w:val="20"/>
              </w:rPr>
            </w:pPr>
            <w:r w:rsidRPr="00506D4F">
              <w:rPr>
                <w:rFonts w:cs="Arial"/>
                <w:color w:val="333333"/>
                <w:szCs w:val="20"/>
              </w:rPr>
              <w:t>Compost</w:t>
            </w:r>
          </w:p>
          <w:p w14:paraId="0B5EB6FF" w14:textId="77777777" w:rsidR="00285EF0" w:rsidRPr="00506D4F" w:rsidRDefault="00285EF0" w:rsidP="00285EF0">
            <w:pPr>
              <w:rPr>
                <w:rFonts w:cs="Arial"/>
                <w:color w:val="333333"/>
                <w:szCs w:val="20"/>
              </w:rPr>
            </w:pPr>
            <w:r w:rsidRPr="00506D4F">
              <w:rPr>
                <w:rFonts w:cs="Arial"/>
                <w:color w:val="333333"/>
                <w:szCs w:val="20"/>
              </w:rPr>
              <w:t>Human biosolid</w:t>
            </w:r>
          </w:p>
          <w:p w14:paraId="4B9F0411" w14:textId="77777777" w:rsidR="00285EF0" w:rsidRPr="00506D4F" w:rsidRDefault="00285EF0" w:rsidP="00285EF0">
            <w:pPr>
              <w:rPr>
                <w:rFonts w:cs="Arial"/>
                <w:color w:val="333333"/>
                <w:szCs w:val="20"/>
              </w:rPr>
            </w:pPr>
            <w:r w:rsidRPr="00506D4F">
              <w:rPr>
                <w:rFonts w:cs="Arial"/>
                <w:color w:val="333333"/>
                <w:szCs w:val="20"/>
              </w:rPr>
              <w:t>Plant biowaste</w:t>
            </w:r>
          </w:p>
          <w:p w14:paraId="2E6BD931" w14:textId="77777777" w:rsidR="00285EF0" w:rsidRPr="00506D4F" w:rsidRDefault="00285EF0" w:rsidP="00285EF0">
            <w:pPr>
              <w:rPr>
                <w:rFonts w:cs="Arial"/>
                <w:szCs w:val="20"/>
              </w:rPr>
            </w:pPr>
            <w:r w:rsidRPr="00506D4F">
              <w:rPr>
                <w:rFonts w:cs="Arial"/>
                <w:color w:val="333333"/>
                <w:szCs w:val="20"/>
              </w:rPr>
              <w:t>Bioremediation</w:t>
            </w:r>
          </w:p>
        </w:tc>
        <w:tc>
          <w:tcPr>
            <w:tcW w:w="1701" w:type="dxa"/>
          </w:tcPr>
          <w:p w14:paraId="7A77FE8B" w14:textId="77777777" w:rsidR="00285EF0" w:rsidRPr="00506D4F" w:rsidRDefault="00285EF0" w:rsidP="00285EF0">
            <w:pPr>
              <w:rPr>
                <w:rFonts w:cs="Arial"/>
                <w:color w:val="333333"/>
                <w:szCs w:val="20"/>
              </w:rPr>
            </w:pPr>
            <w:r w:rsidRPr="00506D4F">
              <w:rPr>
                <w:rFonts w:cs="Arial"/>
                <w:color w:val="333333"/>
                <w:szCs w:val="20"/>
              </w:rPr>
              <w:t>Wastewater</w:t>
            </w:r>
          </w:p>
          <w:p w14:paraId="686D2137" w14:textId="77777777" w:rsidR="00285EF0" w:rsidRPr="00506D4F" w:rsidRDefault="00285EF0" w:rsidP="00285EF0">
            <w:pPr>
              <w:rPr>
                <w:rFonts w:cs="Arial"/>
                <w:color w:val="333333"/>
                <w:szCs w:val="20"/>
              </w:rPr>
            </w:pPr>
            <w:r w:rsidRPr="00506D4F">
              <w:rPr>
                <w:rFonts w:cs="Arial"/>
                <w:color w:val="333333"/>
                <w:szCs w:val="20"/>
              </w:rPr>
              <w:t>Irrigat*</w:t>
            </w:r>
          </w:p>
          <w:p w14:paraId="3DA02B99" w14:textId="77777777" w:rsidR="00285EF0" w:rsidRPr="00506D4F" w:rsidRDefault="00285EF0" w:rsidP="00285EF0">
            <w:pPr>
              <w:rPr>
                <w:rFonts w:cs="Arial"/>
                <w:color w:val="333333"/>
                <w:szCs w:val="20"/>
              </w:rPr>
            </w:pPr>
            <w:r w:rsidRPr="00506D4F">
              <w:rPr>
                <w:rFonts w:cs="Arial"/>
                <w:color w:val="333333"/>
                <w:szCs w:val="20"/>
              </w:rPr>
              <w:t>Irrigation water</w:t>
            </w:r>
          </w:p>
          <w:p w14:paraId="44B566A5" w14:textId="77777777" w:rsidR="00285EF0" w:rsidRPr="00506D4F" w:rsidRDefault="00285EF0" w:rsidP="00285EF0">
            <w:pPr>
              <w:rPr>
                <w:rFonts w:cs="Arial"/>
                <w:color w:val="333333"/>
                <w:szCs w:val="20"/>
              </w:rPr>
            </w:pPr>
            <w:r w:rsidRPr="00506D4F">
              <w:rPr>
                <w:rFonts w:cs="Arial"/>
                <w:color w:val="333333"/>
                <w:szCs w:val="20"/>
              </w:rPr>
              <w:t>Water irrigation</w:t>
            </w:r>
          </w:p>
          <w:p w14:paraId="7E2FAE84" w14:textId="77777777" w:rsidR="00285EF0" w:rsidRPr="00506D4F" w:rsidRDefault="00285EF0" w:rsidP="00285EF0">
            <w:pPr>
              <w:rPr>
                <w:rFonts w:cs="Arial"/>
                <w:color w:val="333333"/>
                <w:szCs w:val="20"/>
              </w:rPr>
            </w:pPr>
            <w:r w:rsidRPr="00506D4F">
              <w:rPr>
                <w:rFonts w:cs="Arial"/>
                <w:color w:val="333333"/>
                <w:szCs w:val="20"/>
              </w:rPr>
              <w:t>Water source</w:t>
            </w:r>
          </w:p>
          <w:p w14:paraId="0646F159" w14:textId="77777777" w:rsidR="00285EF0" w:rsidRPr="00506D4F" w:rsidRDefault="00285EF0" w:rsidP="00285EF0">
            <w:pPr>
              <w:rPr>
                <w:rFonts w:cs="Arial"/>
                <w:color w:val="333333"/>
                <w:szCs w:val="20"/>
              </w:rPr>
            </w:pPr>
            <w:r w:rsidRPr="00506D4F">
              <w:rPr>
                <w:rFonts w:cs="Arial"/>
                <w:color w:val="333333"/>
                <w:szCs w:val="20"/>
              </w:rPr>
              <w:t>Water treatment</w:t>
            </w:r>
          </w:p>
          <w:p w14:paraId="6AA58C51" w14:textId="77777777" w:rsidR="00285EF0" w:rsidRPr="00506D4F" w:rsidRDefault="00285EF0" w:rsidP="00285EF0">
            <w:pPr>
              <w:rPr>
                <w:rFonts w:cs="Arial"/>
                <w:color w:val="333333"/>
                <w:szCs w:val="20"/>
              </w:rPr>
            </w:pPr>
            <w:r w:rsidRPr="00506D4F">
              <w:rPr>
                <w:rFonts w:cs="Arial"/>
                <w:color w:val="333333"/>
                <w:szCs w:val="20"/>
              </w:rPr>
              <w:t>Well</w:t>
            </w:r>
          </w:p>
          <w:p w14:paraId="6C04E6F9" w14:textId="77777777" w:rsidR="00285EF0" w:rsidRPr="00506D4F" w:rsidRDefault="00285EF0" w:rsidP="00285EF0">
            <w:pPr>
              <w:rPr>
                <w:rFonts w:cs="Arial"/>
                <w:color w:val="333333"/>
                <w:szCs w:val="20"/>
              </w:rPr>
            </w:pPr>
            <w:r w:rsidRPr="00506D4F">
              <w:rPr>
                <w:rFonts w:cs="Arial"/>
                <w:color w:val="333333"/>
                <w:szCs w:val="20"/>
              </w:rPr>
              <w:t>Channel</w:t>
            </w:r>
          </w:p>
          <w:p w14:paraId="131DDFB6" w14:textId="77777777" w:rsidR="00285EF0" w:rsidRPr="00506D4F" w:rsidRDefault="00285EF0" w:rsidP="00285EF0">
            <w:pPr>
              <w:rPr>
                <w:rFonts w:cs="Arial"/>
                <w:color w:val="333333"/>
                <w:szCs w:val="20"/>
              </w:rPr>
            </w:pPr>
            <w:r w:rsidRPr="00506D4F">
              <w:rPr>
                <w:rFonts w:cs="Arial"/>
                <w:color w:val="333333"/>
                <w:szCs w:val="20"/>
              </w:rPr>
              <w:t>Canal</w:t>
            </w:r>
          </w:p>
          <w:p w14:paraId="7C1C0954" w14:textId="77777777" w:rsidR="00285EF0" w:rsidRPr="00506D4F" w:rsidRDefault="00285EF0" w:rsidP="00285EF0">
            <w:pPr>
              <w:rPr>
                <w:rFonts w:cs="Arial"/>
                <w:color w:val="333333"/>
                <w:szCs w:val="20"/>
              </w:rPr>
            </w:pPr>
            <w:r w:rsidRPr="00506D4F">
              <w:rPr>
                <w:rFonts w:cs="Arial"/>
                <w:color w:val="333333"/>
                <w:szCs w:val="20"/>
              </w:rPr>
              <w:t>Rainwater</w:t>
            </w:r>
          </w:p>
          <w:p w14:paraId="5A9ECEE7" w14:textId="77777777" w:rsidR="00285EF0" w:rsidRPr="00506D4F" w:rsidRDefault="00285EF0" w:rsidP="00285EF0">
            <w:pPr>
              <w:rPr>
                <w:rFonts w:cs="Arial"/>
                <w:color w:val="333333"/>
                <w:szCs w:val="20"/>
              </w:rPr>
            </w:pPr>
            <w:r w:rsidRPr="00506D4F">
              <w:rPr>
                <w:rFonts w:cs="Arial"/>
                <w:color w:val="333333"/>
                <w:szCs w:val="20"/>
              </w:rPr>
              <w:t>Reclaimed water</w:t>
            </w:r>
          </w:p>
          <w:p w14:paraId="197469A2" w14:textId="77777777" w:rsidR="00285EF0" w:rsidRPr="00506D4F" w:rsidRDefault="00285EF0" w:rsidP="00285EF0">
            <w:pPr>
              <w:rPr>
                <w:rFonts w:cs="Arial"/>
                <w:szCs w:val="20"/>
              </w:rPr>
            </w:pPr>
            <w:r w:rsidRPr="00506D4F">
              <w:rPr>
                <w:rFonts w:cs="Arial"/>
                <w:color w:val="333333"/>
                <w:szCs w:val="20"/>
              </w:rPr>
              <w:t>Groundwater</w:t>
            </w:r>
          </w:p>
        </w:tc>
        <w:tc>
          <w:tcPr>
            <w:tcW w:w="1134" w:type="dxa"/>
          </w:tcPr>
          <w:p w14:paraId="22052D0B" w14:textId="77777777" w:rsidR="00285EF0" w:rsidRPr="00506D4F" w:rsidRDefault="00285EF0" w:rsidP="00285EF0">
            <w:pPr>
              <w:rPr>
                <w:rFonts w:cs="Arial"/>
                <w:color w:val="333333"/>
                <w:szCs w:val="20"/>
              </w:rPr>
            </w:pPr>
            <w:r w:rsidRPr="00506D4F">
              <w:rPr>
                <w:rFonts w:cs="Arial"/>
                <w:color w:val="333333"/>
                <w:szCs w:val="20"/>
              </w:rPr>
              <w:t>Harvest*</w:t>
            </w:r>
          </w:p>
          <w:p w14:paraId="3B9DB385" w14:textId="77777777" w:rsidR="00285EF0" w:rsidRPr="00506D4F" w:rsidRDefault="00285EF0" w:rsidP="00285EF0">
            <w:pPr>
              <w:rPr>
                <w:rFonts w:cs="Arial"/>
                <w:color w:val="333333"/>
                <w:szCs w:val="20"/>
              </w:rPr>
            </w:pPr>
            <w:r w:rsidRPr="00506D4F">
              <w:rPr>
                <w:rFonts w:cs="Arial"/>
                <w:color w:val="333333"/>
                <w:szCs w:val="20"/>
              </w:rPr>
              <w:t>Field</w:t>
            </w:r>
          </w:p>
          <w:p w14:paraId="2BFCDBD2" w14:textId="77777777" w:rsidR="00285EF0" w:rsidRPr="00506D4F" w:rsidRDefault="00285EF0" w:rsidP="00285EF0">
            <w:pPr>
              <w:rPr>
                <w:rFonts w:cs="Arial"/>
                <w:szCs w:val="20"/>
              </w:rPr>
            </w:pPr>
            <w:r w:rsidRPr="00506D4F">
              <w:rPr>
                <w:rFonts w:cs="Arial"/>
                <w:color w:val="333333"/>
                <w:szCs w:val="20"/>
              </w:rPr>
              <w:t>Pick</w:t>
            </w:r>
          </w:p>
        </w:tc>
        <w:tc>
          <w:tcPr>
            <w:tcW w:w="1417" w:type="dxa"/>
          </w:tcPr>
          <w:p w14:paraId="1E89CD59" w14:textId="77777777" w:rsidR="00285EF0" w:rsidRPr="00506D4F" w:rsidRDefault="00285EF0" w:rsidP="00285EF0">
            <w:pPr>
              <w:rPr>
                <w:rFonts w:cs="Arial"/>
                <w:color w:val="333333"/>
                <w:szCs w:val="20"/>
              </w:rPr>
            </w:pPr>
            <w:r w:rsidRPr="00506D4F">
              <w:rPr>
                <w:rFonts w:cs="Arial"/>
                <w:color w:val="333333"/>
                <w:szCs w:val="20"/>
              </w:rPr>
              <w:t>Post-harvest</w:t>
            </w:r>
          </w:p>
          <w:p w14:paraId="2797A2CE" w14:textId="77777777" w:rsidR="00285EF0" w:rsidRPr="00506D4F" w:rsidRDefault="00285EF0" w:rsidP="00285EF0">
            <w:pPr>
              <w:rPr>
                <w:rFonts w:cs="Arial"/>
                <w:color w:val="333333"/>
                <w:szCs w:val="20"/>
              </w:rPr>
            </w:pPr>
            <w:r w:rsidRPr="00506D4F">
              <w:rPr>
                <w:rFonts w:cs="Arial"/>
                <w:color w:val="333333"/>
                <w:szCs w:val="20"/>
              </w:rPr>
              <w:t>Process*</w:t>
            </w:r>
          </w:p>
          <w:p w14:paraId="7F4D79A5" w14:textId="77777777" w:rsidR="00285EF0" w:rsidRPr="00506D4F" w:rsidRDefault="00285EF0" w:rsidP="00285EF0">
            <w:pPr>
              <w:rPr>
                <w:rFonts w:cs="Arial"/>
                <w:color w:val="333333"/>
                <w:szCs w:val="20"/>
              </w:rPr>
            </w:pPr>
            <w:r w:rsidRPr="00506D4F">
              <w:rPr>
                <w:rFonts w:cs="Arial"/>
                <w:color w:val="333333"/>
                <w:szCs w:val="20"/>
              </w:rPr>
              <w:t>Clean*</w:t>
            </w:r>
          </w:p>
          <w:p w14:paraId="5A40B3B7" w14:textId="77777777" w:rsidR="00285EF0" w:rsidRPr="00506D4F" w:rsidRDefault="00285EF0" w:rsidP="00285EF0">
            <w:pPr>
              <w:rPr>
                <w:rFonts w:cs="Arial"/>
                <w:color w:val="333333"/>
                <w:szCs w:val="20"/>
              </w:rPr>
            </w:pPr>
            <w:r w:rsidRPr="00506D4F">
              <w:rPr>
                <w:rFonts w:cs="Arial"/>
                <w:color w:val="333333"/>
                <w:szCs w:val="20"/>
              </w:rPr>
              <w:t>Trim*</w:t>
            </w:r>
          </w:p>
          <w:p w14:paraId="7F3B4839" w14:textId="77777777" w:rsidR="00285EF0" w:rsidRPr="00506D4F" w:rsidRDefault="00285EF0" w:rsidP="00285EF0">
            <w:pPr>
              <w:rPr>
                <w:rFonts w:cs="Arial"/>
                <w:color w:val="333333"/>
                <w:szCs w:val="20"/>
              </w:rPr>
            </w:pPr>
            <w:r w:rsidRPr="00506D4F">
              <w:rPr>
                <w:rFonts w:cs="Arial"/>
                <w:color w:val="333333"/>
                <w:szCs w:val="20"/>
              </w:rPr>
              <w:t>Coring</w:t>
            </w:r>
          </w:p>
          <w:p w14:paraId="204E9D42" w14:textId="77777777" w:rsidR="00285EF0" w:rsidRPr="00506D4F" w:rsidRDefault="00285EF0" w:rsidP="00285EF0">
            <w:pPr>
              <w:rPr>
                <w:rFonts w:cs="Arial"/>
                <w:color w:val="333333"/>
                <w:szCs w:val="20"/>
              </w:rPr>
            </w:pPr>
            <w:r w:rsidRPr="00506D4F">
              <w:rPr>
                <w:rFonts w:cs="Arial"/>
                <w:color w:val="333333"/>
                <w:szCs w:val="20"/>
              </w:rPr>
              <w:t>Wash*</w:t>
            </w:r>
          </w:p>
          <w:p w14:paraId="02F3ABD8" w14:textId="77777777" w:rsidR="00285EF0" w:rsidRPr="00506D4F" w:rsidRDefault="00285EF0" w:rsidP="00285EF0">
            <w:pPr>
              <w:rPr>
                <w:rFonts w:cs="Arial"/>
                <w:color w:val="333333"/>
                <w:szCs w:val="20"/>
              </w:rPr>
            </w:pPr>
            <w:r w:rsidRPr="00506D4F">
              <w:rPr>
                <w:rFonts w:cs="Arial"/>
                <w:color w:val="333333"/>
                <w:szCs w:val="20"/>
              </w:rPr>
              <w:t>Sanitiz*</w:t>
            </w:r>
          </w:p>
          <w:p w14:paraId="59144027" w14:textId="77777777" w:rsidR="00285EF0" w:rsidRPr="00506D4F" w:rsidRDefault="00285EF0" w:rsidP="00285EF0">
            <w:pPr>
              <w:rPr>
                <w:rFonts w:cs="Arial"/>
                <w:color w:val="333333"/>
                <w:szCs w:val="20"/>
              </w:rPr>
            </w:pPr>
            <w:r w:rsidRPr="00506D4F">
              <w:rPr>
                <w:rFonts w:cs="Arial"/>
                <w:color w:val="333333"/>
                <w:szCs w:val="20"/>
              </w:rPr>
              <w:t>Dry*</w:t>
            </w:r>
          </w:p>
          <w:p w14:paraId="78EE0B55" w14:textId="77777777" w:rsidR="00285EF0" w:rsidRPr="00506D4F" w:rsidRDefault="00285EF0" w:rsidP="00285EF0">
            <w:pPr>
              <w:rPr>
                <w:rFonts w:cs="Arial"/>
                <w:szCs w:val="20"/>
              </w:rPr>
            </w:pPr>
            <w:r w:rsidRPr="00506D4F">
              <w:rPr>
                <w:rFonts w:cs="Arial"/>
                <w:color w:val="333333"/>
                <w:szCs w:val="20"/>
              </w:rPr>
              <w:t>Pack*</w:t>
            </w:r>
          </w:p>
        </w:tc>
      </w:tr>
    </w:tbl>
    <w:p w14:paraId="2A3B51DD" w14:textId="77777777" w:rsidR="00285EF0" w:rsidRPr="00506D4F" w:rsidRDefault="00285EF0" w:rsidP="00285EF0">
      <w:pPr>
        <w:rPr>
          <w:rFonts w:cs="Arial"/>
          <w:sz w:val="20"/>
          <w:szCs w:val="20"/>
        </w:rPr>
      </w:pPr>
      <w:r w:rsidRPr="00506D4F">
        <w:rPr>
          <w:rFonts w:cs="Arial"/>
          <w:sz w:val="20"/>
          <w:szCs w:val="20"/>
          <w:vertAlign w:val="superscript"/>
        </w:rPr>
        <w:t xml:space="preserve">† </w:t>
      </w:r>
      <w:r w:rsidRPr="00506D4F">
        <w:rPr>
          <w:rFonts w:cs="Arial"/>
          <w:sz w:val="20"/>
          <w:szCs w:val="20"/>
        </w:rPr>
        <w:t>additional water search: (pesticid* OR fungicid*) AND (water OR water quality OR water source)</w:t>
      </w:r>
    </w:p>
    <w:p w14:paraId="40C0467B" w14:textId="77777777" w:rsidR="00285EF0" w:rsidRDefault="00285EF0" w:rsidP="00285EF0"/>
    <w:p w14:paraId="2B5CA331" w14:textId="77777777" w:rsidR="00285EF0" w:rsidRDefault="00285EF0" w:rsidP="00285EF0"/>
    <w:p w14:paraId="1BED65B8" w14:textId="77777777" w:rsidR="00285EF0" w:rsidRDefault="00285EF0" w:rsidP="00285EF0">
      <w:pPr>
        <w:sectPr w:rsidR="00285EF0" w:rsidSect="00285EF0">
          <w:pgSz w:w="16838" w:h="11906" w:orient="landscape"/>
          <w:pgMar w:top="1418" w:right="1418" w:bottom="1418" w:left="1418" w:header="709" w:footer="709" w:gutter="0"/>
          <w:cols w:space="708"/>
          <w:docGrid w:linePitch="360"/>
        </w:sectPr>
      </w:pPr>
    </w:p>
    <w:p w14:paraId="7D64124A" w14:textId="77777777" w:rsidR="00285EF0" w:rsidRDefault="00285EF0" w:rsidP="00285EF0">
      <w:r>
        <w:t>Table A1-3. Additional search terms for specific commodities</w:t>
      </w:r>
    </w:p>
    <w:p w14:paraId="031EA7E8" w14:textId="77777777" w:rsidR="00285EF0" w:rsidRDefault="00285EF0" w:rsidP="00285EF0"/>
    <w:tbl>
      <w:tblPr>
        <w:tblStyle w:val="TableGrid"/>
        <w:tblW w:w="0" w:type="auto"/>
        <w:tblLook w:val="04A0" w:firstRow="1" w:lastRow="0" w:firstColumn="1" w:lastColumn="0" w:noHBand="0" w:noVBand="1"/>
        <w:tblCaption w:val="Table A1-3. Additional search terms for specific commodities"/>
      </w:tblPr>
      <w:tblGrid>
        <w:gridCol w:w="4530"/>
        <w:gridCol w:w="4530"/>
      </w:tblGrid>
      <w:tr w:rsidR="00285EF0" w:rsidRPr="00506D4F" w14:paraId="296EFE45" w14:textId="77777777" w:rsidTr="00285EF0">
        <w:tc>
          <w:tcPr>
            <w:tcW w:w="4530" w:type="dxa"/>
            <w:shd w:val="clear" w:color="auto" w:fill="B8CCE4" w:themeFill="accent1" w:themeFillTint="66"/>
          </w:tcPr>
          <w:p w14:paraId="4A1C2F0C" w14:textId="77777777" w:rsidR="00285EF0" w:rsidRPr="00506D4F" w:rsidRDefault="00285EF0" w:rsidP="00285EF0">
            <w:pPr>
              <w:rPr>
                <w:rFonts w:cs="Arial"/>
                <w:b/>
                <w:szCs w:val="20"/>
              </w:rPr>
            </w:pPr>
            <w:r w:rsidRPr="00506D4F">
              <w:rPr>
                <w:rFonts w:cs="Arial"/>
                <w:b/>
                <w:szCs w:val="20"/>
              </w:rPr>
              <w:t>Commodity(ies)</w:t>
            </w:r>
          </w:p>
        </w:tc>
        <w:tc>
          <w:tcPr>
            <w:tcW w:w="4530" w:type="dxa"/>
            <w:shd w:val="clear" w:color="auto" w:fill="B8CCE4" w:themeFill="accent1" w:themeFillTint="66"/>
          </w:tcPr>
          <w:p w14:paraId="3645A8F1" w14:textId="77777777" w:rsidR="00285EF0" w:rsidRPr="00506D4F" w:rsidRDefault="00285EF0" w:rsidP="00285EF0">
            <w:pPr>
              <w:rPr>
                <w:rFonts w:cs="Arial"/>
                <w:b/>
                <w:szCs w:val="20"/>
              </w:rPr>
            </w:pPr>
            <w:r w:rsidRPr="00506D4F">
              <w:rPr>
                <w:rFonts w:cs="Arial"/>
                <w:b/>
                <w:szCs w:val="20"/>
              </w:rPr>
              <w:t>Additional risk factor terms</w:t>
            </w:r>
          </w:p>
        </w:tc>
      </w:tr>
      <w:tr w:rsidR="00285EF0" w:rsidRPr="00506D4F" w14:paraId="0FE7F6B3" w14:textId="77777777" w:rsidTr="00285EF0">
        <w:tc>
          <w:tcPr>
            <w:tcW w:w="4530" w:type="dxa"/>
          </w:tcPr>
          <w:p w14:paraId="221D52F1" w14:textId="77777777" w:rsidR="00285EF0" w:rsidRPr="00506D4F" w:rsidRDefault="00285EF0" w:rsidP="00285EF0">
            <w:pPr>
              <w:rPr>
                <w:rFonts w:cs="Arial"/>
                <w:szCs w:val="20"/>
              </w:rPr>
            </w:pPr>
            <w:r w:rsidRPr="00506D4F">
              <w:rPr>
                <w:rFonts w:cs="Arial"/>
                <w:szCs w:val="20"/>
              </w:rPr>
              <w:t>Berries</w:t>
            </w:r>
          </w:p>
        </w:tc>
        <w:tc>
          <w:tcPr>
            <w:tcW w:w="4530" w:type="dxa"/>
          </w:tcPr>
          <w:p w14:paraId="5A03B207" w14:textId="77777777" w:rsidR="00285EF0" w:rsidRPr="00506D4F" w:rsidRDefault="00285EF0" w:rsidP="00285EF0">
            <w:pPr>
              <w:rPr>
                <w:rFonts w:cs="Arial"/>
                <w:color w:val="333333"/>
                <w:szCs w:val="20"/>
              </w:rPr>
            </w:pPr>
            <w:r w:rsidRPr="00506D4F">
              <w:rPr>
                <w:rFonts w:cs="Arial"/>
                <w:color w:val="333333"/>
                <w:szCs w:val="20"/>
              </w:rPr>
              <w:t>Hydroponi*</w:t>
            </w:r>
          </w:p>
          <w:p w14:paraId="5AD1A583" w14:textId="77777777" w:rsidR="00285EF0" w:rsidRPr="00506D4F" w:rsidRDefault="00285EF0" w:rsidP="00285EF0">
            <w:pPr>
              <w:rPr>
                <w:rFonts w:cs="Arial"/>
                <w:color w:val="333333"/>
                <w:szCs w:val="20"/>
              </w:rPr>
            </w:pPr>
            <w:r w:rsidRPr="00506D4F">
              <w:rPr>
                <w:rFonts w:cs="Arial"/>
                <w:color w:val="333333"/>
                <w:szCs w:val="20"/>
              </w:rPr>
              <w:t>Substrate</w:t>
            </w:r>
          </w:p>
          <w:p w14:paraId="37C76CCE" w14:textId="77777777" w:rsidR="00285EF0" w:rsidRPr="00506D4F" w:rsidRDefault="00285EF0" w:rsidP="00285EF0">
            <w:pPr>
              <w:rPr>
                <w:rFonts w:cs="Arial"/>
                <w:color w:val="333333"/>
                <w:szCs w:val="20"/>
              </w:rPr>
            </w:pPr>
            <w:r w:rsidRPr="00506D4F">
              <w:rPr>
                <w:rFonts w:cs="Arial"/>
                <w:color w:val="333333"/>
                <w:szCs w:val="20"/>
              </w:rPr>
              <w:t>Peat</w:t>
            </w:r>
          </w:p>
          <w:p w14:paraId="78A5E8FC" w14:textId="77777777" w:rsidR="00285EF0" w:rsidRPr="00506D4F" w:rsidRDefault="00285EF0" w:rsidP="00285EF0">
            <w:pPr>
              <w:rPr>
                <w:rFonts w:cs="Arial"/>
                <w:szCs w:val="20"/>
              </w:rPr>
            </w:pPr>
            <w:r w:rsidRPr="00506D4F">
              <w:rPr>
                <w:rFonts w:cs="Arial"/>
                <w:color w:val="333333"/>
                <w:szCs w:val="20"/>
              </w:rPr>
              <w:t>Tunnel*</w:t>
            </w:r>
          </w:p>
        </w:tc>
      </w:tr>
      <w:tr w:rsidR="00285EF0" w:rsidRPr="00506D4F" w14:paraId="5FD8E0F3" w14:textId="77777777" w:rsidTr="00285EF0">
        <w:tc>
          <w:tcPr>
            <w:tcW w:w="4530" w:type="dxa"/>
          </w:tcPr>
          <w:p w14:paraId="50EFDAE9" w14:textId="77777777" w:rsidR="00285EF0" w:rsidRPr="00506D4F" w:rsidRDefault="00285EF0" w:rsidP="00285EF0">
            <w:pPr>
              <w:rPr>
                <w:rFonts w:cs="Arial"/>
                <w:szCs w:val="20"/>
              </w:rPr>
            </w:pPr>
            <w:r w:rsidRPr="00506D4F">
              <w:rPr>
                <w:rFonts w:cs="Arial"/>
                <w:szCs w:val="20"/>
              </w:rPr>
              <w:t>Berries and melons</w:t>
            </w:r>
          </w:p>
        </w:tc>
        <w:tc>
          <w:tcPr>
            <w:tcW w:w="4530" w:type="dxa"/>
          </w:tcPr>
          <w:p w14:paraId="1CAE0B17" w14:textId="77777777" w:rsidR="00285EF0" w:rsidRPr="00506D4F" w:rsidRDefault="00285EF0" w:rsidP="00285EF0">
            <w:pPr>
              <w:rPr>
                <w:rFonts w:cs="Arial"/>
                <w:color w:val="333333"/>
                <w:szCs w:val="20"/>
              </w:rPr>
            </w:pPr>
            <w:r w:rsidRPr="00506D4F">
              <w:rPr>
                <w:rFonts w:cs="Arial"/>
                <w:color w:val="333333"/>
                <w:szCs w:val="20"/>
              </w:rPr>
              <w:t>Surviv*</w:t>
            </w:r>
          </w:p>
          <w:p w14:paraId="5BEC4127" w14:textId="77777777" w:rsidR="00285EF0" w:rsidRPr="00506D4F" w:rsidRDefault="00285EF0" w:rsidP="00285EF0">
            <w:pPr>
              <w:rPr>
                <w:rFonts w:cs="Arial"/>
                <w:color w:val="333333"/>
                <w:szCs w:val="20"/>
              </w:rPr>
            </w:pPr>
            <w:r w:rsidRPr="00506D4F">
              <w:rPr>
                <w:rFonts w:cs="Arial"/>
                <w:color w:val="333333"/>
                <w:szCs w:val="20"/>
              </w:rPr>
              <w:t>Persistence</w:t>
            </w:r>
          </w:p>
          <w:p w14:paraId="118C602B" w14:textId="77777777" w:rsidR="00285EF0" w:rsidRPr="00506D4F" w:rsidRDefault="00285EF0" w:rsidP="00285EF0">
            <w:pPr>
              <w:rPr>
                <w:rFonts w:cs="Arial"/>
                <w:color w:val="333333"/>
                <w:szCs w:val="20"/>
              </w:rPr>
            </w:pPr>
            <w:r w:rsidRPr="00506D4F">
              <w:rPr>
                <w:rFonts w:cs="Arial"/>
                <w:color w:val="333333"/>
                <w:szCs w:val="20"/>
              </w:rPr>
              <w:t>Incidence</w:t>
            </w:r>
          </w:p>
          <w:p w14:paraId="515213C8" w14:textId="77777777" w:rsidR="00285EF0" w:rsidRPr="00506D4F" w:rsidRDefault="00285EF0" w:rsidP="00285EF0">
            <w:pPr>
              <w:rPr>
                <w:rFonts w:cs="Arial"/>
                <w:color w:val="333333"/>
                <w:szCs w:val="20"/>
              </w:rPr>
            </w:pPr>
            <w:r w:rsidRPr="00506D4F">
              <w:rPr>
                <w:rFonts w:cs="Arial"/>
                <w:color w:val="333333"/>
                <w:szCs w:val="20"/>
              </w:rPr>
              <w:t>Handling</w:t>
            </w:r>
          </w:p>
          <w:p w14:paraId="54CDC868" w14:textId="77777777" w:rsidR="00285EF0" w:rsidRPr="00506D4F" w:rsidRDefault="00285EF0" w:rsidP="00285EF0">
            <w:pPr>
              <w:rPr>
                <w:rFonts w:cs="Arial"/>
                <w:color w:val="333333"/>
                <w:szCs w:val="20"/>
              </w:rPr>
            </w:pPr>
            <w:r w:rsidRPr="00506D4F">
              <w:rPr>
                <w:rFonts w:cs="Arial"/>
                <w:color w:val="333333"/>
                <w:szCs w:val="20"/>
              </w:rPr>
              <w:t>Attachment</w:t>
            </w:r>
          </w:p>
          <w:p w14:paraId="758E1512" w14:textId="77777777" w:rsidR="00285EF0" w:rsidRPr="00506D4F" w:rsidRDefault="00285EF0" w:rsidP="00285EF0">
            <w:pPr>
              <w:rPr>
                <w:rFonts w:cs="Arial"/>
                <w:color w:val="333333"/>
                <w:szCs w:val="20"/>
              </w:rPr>
            </w:pPr>
            <w:r w:rsidRPr="00506D4F">
              <w:rPr>
                <w:rFonts w:cs="Arial"/>
                <w:color w:val="333333"/>
                <w:szCs w:val="20"/>
              </w:rPr>
              <w:t>Coloniz*</w:t>
            </w:r>
          </w:p>
          <w:p w14:paraId="66CB44D4" w14:textId="77777777" w:rsidR="00285EF0" w:rsidRPr="00506D4F" w:rsidRDefault="00285EF0" w:rsidP="00285EF0">
            <w:pPr>
              <w:rPr>
                <w:rFonts w:cs="Arial"/>
                <w:color w:val="333333"/>
                <w:szCs w:val="20"/>
              </w:rPr>
            </w:pPr>
            <w:r w:rsidRPr="00506D4F">
              <w:rPr>
                <w:rFonts w:cs="Arial"/>
                <w:color w:val="333333"/>
                <w:szCs w:val="20"/>
              </w:rPr>
              <w:t>Exposure</w:t>
            </w:r>
          </w:p>
          <w:p w14:paraId="1F1C6B6F" w14:textId="77777777" w:rsidR="00285EF0" w:rsidRPr="00506D4F" w:rsidRDefault="00285EF0" w:rsidP="00285EF0">
            <w:pPr>
              <w:rPr>
                <w:rFonts w:cs="Arial"/>
                <w:color w:val="333333"/>
                <w:szCs w:val="20"/>
              </w:rPr>
            </w:pPr>
            <w:r w:rsidRPr="00506D4F">
              <w:rPr>
                <w:rFonts w:cs="Arial"/>
                <w:color w:val="333333"/>
                <w:szCs w:val="20"/>
              </w:rPr>
              <w:t>Grow*</w:t>
            </w:r>
          </w:p>
          <w:p w14:paraId="205242D0" w14:textId="77777777" w:rsidR="00285EF0" w:rsidRPr="00506D4F" w:rsidRDefault="00285EF0" w:rsidP="00285EF0">
            <w:pPr>
              <w:rPr>
                <w:rFonts w:cs="Arial"/>
                <w:color w:val="333333"/>
                <w:szCs w:val="20"/>
              </w:rPr>
            </w:pPr>
            <w:r w:rsidRPr="00506D4F">
              <w:rPr>
                <w:rFonts w:cs="Arial"/>
                <w:color w:val="333333"/>
                <w:szCs w:val="20"/>
              </w:rPr>
              <w:t>Predict*</w:t>
            </w:r>
          </w:p>
          <w:p w14:paraId="0ED9F5F7" w14:textId="77777777" w:rsidR="00285EF0" w:rsidRPr="00506D4F" w:rsidRDefault="00285EF0" w:rsidP="00285EF0">
            <w:pPr>
              <w:rPr>
                <w:rFonts w:cs="Arial"/>
                <w:color w:val="333333"/>
                <w:szCs w:val="20"/>
              </w:rPr>
            </w:pPr>
            <w:r w:rsidRPr="00506D4F">
              <w:rPr>
                <w:rFonts w:cs="Arial"/>
                <w:color w:val="333333"/>
                <w:szCs w:val="20"/>
              </w:rPr>
              <w:t>Transfer</w:t>
            </w:r>
          </w:p>
          <w:p w14:paraId="5ABDB462" w14:textId="77777777" w:rsidR="00285EF0" w:rsidRPr="00506D4F" w:rsidRDefault="00285EF0" w:rsidP="00285EF0">
            <w:pPr>
              <w:rPr>
                <w:rFonts w:cs="Arial"/>
                <w:color w:val="333333"/>
                <w:szCs w:val="20"/>
              </w:rPr>
            </w:pPr>
            <w:r w:rsidRPr="00506D4F">
              <w:rPr>
                <w:rFonts w:cs="Arial"/>
                <w:color w:val="333333"/>
                <w:szCs w:val="20"/>
              </w:rPr>
              <w:t>Transmission</w:t>
            </w:r>
          </w:p>
          <w:p w14:paraId="3ABE0186" w14:textId="77777777" w:rsidR="00285EF0" w:rsidRPr="00506D4F" w:rsidRDefault="00285EF0" w:rsidP="00285EF0">
            <w:pPr>
              <w:rPr>
                <w:rFonts w:cs="Arial"/>
                <w:color w:val="333333"/>
                <w:szCs w:val="20"/>
              </w:rPr>
            </w:pPr>
            <w:r w:rsidRPr="00506D4F">
              <w:rPr>
                <w:rFonts w:cs="Arial"/>
                <w:color w:val="333333"/>
                <w:szCs w:val="20"/>
              </w:rPr>
              <w:t>Biofilm</w:t>
            </w:r>
          </w:p>
          <w:p w14:paraId="264D3711" w14:textId="77777777" w:rsidR="00285EF0" w:rsidRPr="00506D4F" w:rsidRDefault="00285EF0" w:rsidP="00285EF0">
            <w:pPr>
              <w:rPr>
                <w:rFonts w:cs="Arial"/>
                <w:color w:val="333333"/>
                <w:szCs w:val="20"/>
              </w:rPr>
            </w:pPr>
            <w:r w:rsidRPr="00506D4F">
              <w:rPr>
                <w:rFonts w:cs="Arial"/>
                <w:color w:val="333333"/>
                <w:szCs w:val="20"/>
              </w:rPr>
              <w:t>Risk</w:t>
            </w:r>
          </w:p>
          <w:p w14:paraId="7B46424A" w14:textId="77777777" w:rsidR="00285EF0" w:rsidRPr="00506D4F" w:rsidRDefault="00285EF0" w:rsidP="00285EF0">
            <w:pPr>
              <w:rPr>
                <w:rFonts w:cs="Arial"/>
                <w:color w:val="333333"/>
                <w:szCs w:val="20"/>
              </w:rPr>
            </w:pPr>
            <w:r w:rsidRPr="00506D4F">
              <w:rPr>
                <w:rFonts w:cs="Arial"/>
                <w:color w:val="333333"/>
                <w:szCs w:val="20"/>
              </w:rPr>
              <w:t>Hazard</w:t>
            </w:r>
          </w:p>
          <w:p w14:paraId="516A1D26" w14:textId="77777777" w:rsidR="00285EF0" w:rsidRPr="00506D4F" w:rsidRDefault="00285EF0" w:rsidP="00285EF0">
            <w:pPr>
              <w:rPr>
                <w:rFonts w:cs="Arial"/>
                <w:color w:val="333333"/>
                <w:szCs w:val="20"/>
              </w:rPr>
            </w:pPr>
            <w:r w:rsidRPr="00506D4F">
              <w:rPr>
                <w:rFonts w:cs="Arial"/>
                <w:color w:val="333333"/>
                <w:szCs w:val="20"/>
              </w:rPr>
              <w:t>Damage</w:t>
            </w:r>
          </w:p>
          <w:p w14:paraId="6EED15D7" w14:textId="77777777" w:rsidR="00285EF0" w:rsidRPr="00506D4F" w:rsidRDefault="00285EF0" w:rsidP="00285EF0">
            <w:pPr>
              <w:rPr>
                <w:rFonts w:cs="Arial"/>
                <w:color w:val="333333"/>
                <w:szCs w:val="20"/>
              </w:rPr>
            </w:pPr>
            <w:r w:rsidRPr="00506D4F">
              <w:rPr>
                <w:rFonts w:cs="Arial"/>
                <w:color w:val="333333"/>
                <w:szCs w:val="20"/>
              </w:rPr>
              <w:t>Internaliz*</w:t>
            </w:r>
          </w:p>
          <w:p w14:paraId="186BCD8C" w14:textId="77777777" w:rsidR="00285EF0" w:rsidRPr="00506D4F" w:rsidRDefault="00285EF0" w:rsidP="00285EF0">
            <w:pPr>
              <w:rPr>
                <w:rFonts w:cs="Arial"/>
                <w:color w:val="333333"/>
                <w:szCs w:val="20"/>
              </w:rPr>
            </w:pPr>
            <w:r w:rsidRPr="00506D4F">
              <w:rPr>
                <w:rFonts w:cs="Arial"/>
                <w:color w:val="333333"/>
                <w:szCs w:val="20"/>
              </w:rPr>
              <w:t>Contaminat*</w:t>
            </w:r>
          </w:p>
          <w:p w14:paraId="7AB931D2" w14:textId="77777777" w:rsidR="00285EF0" w:rsidRPr="00506D4F" w:rsidRDefault="00285EF0" w:rsidP="00285EF0">
            <w:pPr>
              <w:rPr>
                <w:rFonts w:cs="Arial"/>
                <w:color w:val="333333"/>
                <w:szCs w:val="20"/>
              </w:rPr>
            </w:pPr>
            <w:r w:rsidRPr="00506D4F">
              <w:rPr>
                <w:rFonts w:cs="Arial"/>
                <w:color w:val="333333"/>
                <w:szCs w:val="20"/>
              </w:rPr>
              <w:t>Control</w:t>
            </w:r>
          </w:p>
          <w:p w14:paraId="2DB94DCF" w14:textId="77777777" w:rsidR="00285EF0" w:rsidRPr="00506D4F" w:rsidRDefault="00285EF0" w:rsidP="00285EF0">
            <w:pPr>
              <w:rPr>
                <w:rFonts w:cs="Arial"/>
                <w:color w:val="333333"/>
                <w:szCs w:val="20"/>
              </w:rPr>
            </w:pPr>
            <w:r w:rsidRPr="00506D4F">
              <w:rPr>
                <w:rFonts w:cs="Arial"/>
                <w:color w:val="333333"/>
                <w:szCs w:val="20"/>
              </w:rPr>
              <w:t>Intervention</w:t>
            </w:r>
          </w:p>
          <w:p w14:paraId="38EAD63E" w14:textId="77777777" w:rsidR="00285EF0" w:rsidRPr="00506D4F" w:rsidRDefault="00285EF0" w:rsidP="00285EF0">
            <w:pPr>
              <w:rPr>
                <w:rFonts w:cs="Arial"/>
                <w:color w:val="333333"/>
                <w:szCs w:val="20"/>
              </w:rPr>
            </w:pPr>
            <w:r w:rsidRPr="00506D4F">
              <w:rPr>
                <w:rFonts w:cs="Arial"/>
                <w:color w:val="333333"/>
                <w:szCs w:val="20"/>
              </w:rPr>
              <w:t>Mitigation</w:t>
            </w:r>
          </w:p>
          <w:p w14:paraId="2429CC69" w14:textId="77777777" w:rsidR="00285EF0" w:rsidRPr="00506D4F" w:rsidRDefault="00285EF0" w:rsidP="00285EF0">
            <w:pPr>
              <w:rPr>
                <w:rFonts w:cs="Arial"/>
                <w:color w:val="333333"/>
                <w:szCs w:val="20"/>
              </w:rPr>
            </w:pPr>
            <w:r w:rsidRPr="00506D4F">
              <w:rPr>
                <w:rFonts w:cs="Arial"/>
                <w:color w:val="333333"/>
                <w:szCs w:val="20"/>
              </w:rPr>
              <w:t>Management</w:t>
            </w:r>
          </w:p>
          <w:p w14:paraId="7293A159" w14:textId="77777777" w:rsidR="00285EF0" w:rsidRPr="00506D4F" w:rsidRDefault="00285EF0" w:rsidP="00285EF0">
            <w:pPr>
              <w:rPr>
                <w:rFonts w:cs="Arial"/>
                <w:color w:val="333333"/>
                <w:szCs w:val="20"/>
              </w:rPr>
            </w:pPr>
            <w:r w:rsidRPr="00506D4F">
              <w:rPr>
                <w:rFonts w:cs="Arial"/>
                <w:color w:val="333333"/>
                <w:szCs w:val="20"/>
              </w:rPr>
              <w:t>Microbiolog*</w:t>
            </w:r>
          </w:p>
          <w:p w14:paraId="24A1BEEE" w14:textId="77777777" w:rsidR="00285EF0" w:rsidRPr="00506D4F" w:rsidRDefault="00285EF0" w:rsidP="00285EF0">
            <w:pPr>
              <w:rPr>
                <w:rFonts w:cs="Arial"/>
                <w:color w:val="333333"/>
                <w:szCs w:val="20"/>
              </w:rPr>
            </w:pPr>
            <w:r w:rsidRPr="00506D4F">
              <w:rPr>
                <w:rFonts w:cs="Arial"/>
                <w:color w:val="333333"/>
                <w:szCs w:val="20"/>
              </w:rPr>
              <w:t>Cropping intervals</w:t>
            </w:r>
          </w:p>
          <w:p w14:paraId="6C268401" w14:textId="77777777" w:rsidR="00285EF0" w:rsidRPr="00506D4F" w:rsidRDefault="00285EF0" w:rsidP="00285EF0">
            <w:pPr>
              <w:rPr>
                <w:rFonts w:cs="Arial"/>
                <w:color w:val="333333"/>
                <w:szCs w:val="20"/>
              </w:rPr>
            </w:pPr>
            <w:r w:rsidRPr="00506D4F">
              <w:rPr>
                <w:rFonts w:cs="Arial"/>
                <w:color w:val="333333"/>
                <w:szCs w:val="20"/>
              </w:rPr>
              <w:t>HACCP</w:t>
            </w:r>
          </w:p>
          <w:p w14:paraId="1CA30883" w14:textId="77777777" w:rsidR="00285EF0" w:rsidRPr="00506D4F" w:rsidRDefault="00285EF0" w:rsidP="00285EF0">
            <w:pPr>
              <w:rPr>
                <w:rFonts w:cs="Arial"/>
                <w:color w:val="333333"/>
                <w:szCs w:val="20"/>
              </w:rPr>
            </w:pPr>
            <w:r w:rsidRPr="00506D4F">
              <w:rPr>
                <w:rFonts w:cs="Arial"/>
                <w:color w:val="333333"/>
                <w:szCs w:val="20"/>
              </w:rPr>
              <w:t>GMP</w:t>
            </w:r>
          </w:p>
          <w:p w14:paraId="358A3DAA" w14:textId="77777777" w:rsidR="00285EF0" w:rsidRPr="00506D4F" w:rsidRDefault="00285EF0" w:rsidP="00285EF0">
            <w:pPr>
              <w:rPr>
                <w:rFonts w:cs="Arial"/>
                <w:color w:val="333333"/>
                <w:szCs w:val="20"/>
              </w:rPr>
            </w:pPr>
            <w:r w:rsidRPr="00506D4F">
              <w:rPr>
                <w:rFonts w:cs="Arial"/>
                <w:color w:val="333333"/>
                <w:szCs w:val="20"/>
              </w:rPr>
              <w:t>GHP</w:t>
            </w:r>
          </w:p>
          <w:p w14:paraId="136C85D1" w14:textId="77777777" w:rsidR="00285EF0" w:rsidRPr="00506D4F" w:rsidRDefault="00285EF0" w:rsidP="00285EF0">
            <w:pPr>
              <w:rPr>
                <w:rFonts w:cs="Arial"/>
                <w:color w:val="333333"/>
                <w:szCs w:val="20"/>
              </w:rPr>
            </w:pPr>
            <w:r w:rsidRPr="00506D4F">
              <w:rPr>
                <w:rFonts w:cs="Arial"/>
                <w:color w:val="333333"/>
                <w:szCs w:val="20"/>
              </w:rPr>
              <w:t>Water</w:t>
            </w:r>
          </w:p>
          <w:p w14:paraId="45565B59" w14:textId="77777777" w:rsidR="00285EF0" w:rsidRPr="00506D4F" w:rsidRDefault="00285EF0" w:rsidP="00285EF0">
            <w:pPr>
              <w:rPr>
                <w:rFonts w:cs="Arial"/>
                <w:color w:val="333333"/>
                <w:szCs w:val="20"/>
              </w:rPr>
            </w:pPr>
            <w:r w:rsidRPr="00506D4F">
              <w:rPr>
                <w:rFonts w:cs="Arial"/>
                <w:color w:val="333333"/>
                <w:szCs w:val="20"/>
              </w:rPr>
              <w:t>Treatment</w:t>
            </w:r>
          </w:p>
          <w:p w14:paraId="1CFB368F" w14:textId="77777777" w:rsidR="00285EF0" w:rsidRPr="00506D4F" w:rsidRDefault="00285EF0" w:rsidP="00285EF0">
            <w:pPr>
              <w:rPr>
                <w:rFonts w:cs="Arial"/>
                <w:color w:val="333333"/>
                <w:szCs w:val="20"/>
              </w:rPr>
            </w:pPr>
            <w:r w:rsidRPr="00506D4F">
              <w:rPr>
                <w:rFonts w:cs="Arial"/>
                <w:color w:val="333333"/>
                <w:szCs w:val="20"/>
              </w:rPr>
              <w:t>Monitor*</w:t>
            </w:r>
          </w:p>
          <w:p w14:paraId="6C68BB87" w14:textId="77777777" w:rsidR="00285EF0" w:rsidRPr="00506D4F" w:rsidRDefault="00285EF0" w:rsidP="00285EF0">
            <w:pPr>
              <w:rPr>
                <w:rFonts w:cs="Arial"/>
                <w:color w:val="333333"/>
                <w:szCs w:val="20"/>
              </w:rPr>
            </w:pPr>
            <w:r w:rsidRPr="00506D4F">
              <w:rPr>
                <w:rFonts w:cs="Arial"/>
                <w:color w:val="333333"/>
                <w:szCs w:val="20"/>
              </w:rPr>
              <w:t>Agricultural practices</w:t>
            </w:r>
          </w:p>
          <w:p w14:paraId="08EF1100" w14:textId="77777777" w:rsidR="00285EF0" w:rsidRPr="00506D4F" w:rsidRDefault="00285EF0" w:rsidP="00285EF0">
            <w:pPr>
              <w:rPr>
                <w:rFonts w:cs="Arial"/>
                <w:color w:val="333333"/>
                <w:szCs w:val="20"/>
              </w:rPr>
            </w:pPr>
            <w:r w:rsidRPr="00506D4F">
              <w:rPr>
                <w:rFonts w:cs="Arial"/>
                <w:color w:val="333333"/>
                <w:szCs w:val="20"/>
              </w:rPr>
              <w:t>Intrinsic</w:t>
            </w:r>
          </w:p>
          <w:p w14:paraId="566BD04A" w14:textId="77777777" w:rsidR="00285EF0" w:rsidRPr="00506D4F" w:rsidRDefault="00285EF0" w:rsidP="00285EF0">
            <w:pPr>
              <w:rPr>
                <w:rFonts w:cs="Arial"/>
                <w:color w:val="333333"/>
                <w:szCs w:val="20"/>
              </w:rPr>
            </w:pPr>
            <w:r w:rsidRPr="00506D4F">
              <w:rPr>
                <w:rFonts w:cs="Arial"/>
                <w:color w:val="333333"/>
                <w:szCs w:val="20"/>
              </w:rPr>
              <w:t>Practice</w:t>
            </w:r>
          </w:p>
          <w:p w14:paraId="012295EE" w14:textId="77777777" w:rsidR="00285EF0" w:rsidRPr="00506D4F" w:rsidRDefault="00285EF0" w:rsidP="00285EF0">
            <w:pPr>
              <w:rPr>
                <w:rFonts w:cs="Arial"/>
                <w:color w:val="333333"/>
                <w:szCs w:val="20"/>
              </w:rPr>
            </w:pPr>
            <w:r w:rsidRPr="00506D4F">
              <w:rPr>
                <w:rFonts w:cs="Arial"/>
                <w:color w:val="333333"/>
                <w:szCs w:val="20"/>
              </w:rPr>
              <w:t>Hygiene</w:t>
            </w:r>
          </w:p>
          <w:p w14:paraId="26DE8648" w14:textId="77777777" w:rsidR="00285EF0" w:rsidRPr="00506D4F" w:rsidRDefault="00285EF0" w:rsidP="00285EF0">
            <w:pPr>
              <w:rPr>
                <w:rFonts w:cs="Arial"/>
                <w:color w:val="333333"/>
                <w:szCs w:val="20"/>
              </w:rPr>
            </w:pPr>
            <w:r w:rsidRPr="00506D4F">
              <w:rPr>
                <w:rFonts w:cs="Arial"/>
                <w:color w:val="333333"/>
                <w:szCs w:val="20"/>
              </w:rPr>
              <w:t>Staff</w:t>
            </w:r>
          </w:p>
          <w:p w14:paraId="41D24230" w14:textId="77777777" w:rsidR="00285EF0" w:rsidRPr="00506D4F" w:rsidRDefault="00285EF0" w:rsidP="00285EF0">
            <w:pPr>
              <w:rPr>
                <w:rFonts w:cs="Arial"/>
                <w:color w:val="333333"/>
                <w:szCs w:val="20"/>
              </w:rPr>
            </w:pPr>
            <w:r w:rsidRPr="00506D4F">
              <w:rPr>
                <w:rFonts w:cs="Arial"/>
                <w:color w:val="333333"/>
                <w:szCs w:val="20"/>
              </w:rPr>
              <w:t>Personnel</w:t>
            </w:r>
          </w:p>
          <w:p w14:paraId="3A41FC19" w14:textId="77777777" w:rsidR="00285EF0" w:rsidRPr="00506D4F" w:rsidRDefault="00285EF0" w:rsidP="00285EF0">
            <w:pPr>
              <w:rPr>
                <w:rFonts w:cs="Arial"/>
                <w:color w:val="333333"/>
                <w:szCs w:val="20"/>
              </w:rPr>
            </w:pPr>
            <w:r w:rsidRPr="00506D4F">
              <w:rPr>
                <w:rFonts w:cs="Arial"/>
                <w:color w:val="333333"/>
                <w:szCs w:val="20"/>
              </w:rPr>
              <w:t>Worker</w:t>
            </w:r>
          </w:p>
          <w:p w14:paraId="10712659" w14:textId="77777777" w:rsidR="00285EF0" w:rsidRPr="00506D4F" w:rsidRDefault="00285EF0" w:rsidP="00285EF0">
            <w:pPr>
              <w:rPr>
                <w:rFonts w:cs="Arial"/>
                <w:szCs w:val="20"/>
              </w:rPr>
            </w:pPr>
            <w:r w:rsidRPr="00506D4F">
              <w:rPr>
                <w:rFonts w:cs="Arial"/>
                <w:color w:val="333333"/>
                <w:szCs w:val="20"/>
              </w:rPr>
              <w:t>Source</w:t>
            </w:r>
          </w:p>
        </w:tc>
      </w:tr>
    </w:tbl>
    <w:p w14:paraId="1E3AA218" w14:textId="77777777" w:rsidR="00285EF0" w:rsidRPr="003A01FB" w:rsidRDefault="00285EF0" w:rsidP="00285EF0"/>
    <w:p w14:paraId="4A694810" w14:textId="77777777" w:rsidR="00285EF0" w:rsidRDefault="00285EF0" w:rsidP="00285EF0">
      <w:pPr>
        <w:pStyle w:val="Heading2"/>
      </w:pPr>
    </w:p>
    <w:p w14:paraId="43FE6361" w14:textId="77777777" w:rsidR="00285EF0" w:rsidRDefault="00285EF0" w:rsidP="00285EF0">
      <w:pPr>
        <w:pStyle w:val="Heading2"/>
        <w:sectPr w:rsidR="00285EF0" w:rsidSect="009327FE">
          <w:headerReference w:type="even" r:id="rId440"/>
          <w:headerReference w:type="default" r:id="rId441"/>
          <w:footerReference w:type="even" r:id="rId442"/>
          <w:headerReference w:type="first" r:id="rId443"/>
          <w:footerReference w:type="first" r:id="rId444"/>
          <w:pgSz w:w="11906" w:h="16838"/>
          <w:pgMar w:top="1418" w:right="1418" w:bottom="1418" w:left="1418" w:header="709" w:footer="709" w:gutter="0"/>
          <w:cols w:space="708"/>
          <w:docGrid w:linePitch="360"/>
        </w:sectPr>
      </w:pPr>
    </w:p>
    <w:p w14:paraId="11376AB7" w14:textId="25EECF16" w:rsidR="00285EF0" w:rsidRPr="00EE0949" w:rsidRDefault="00C839B6" w:rsidP="00285EF0">
      <w:pPr>
        <w:pStyle w:val="Heading2"/>
      </w:pPr>
      <w:bookmarkStart w:id="904" w:name="_Toc87860088"/>
      <w:r>
        <w:t>Appendix 2</w:t>
      </w:r>
      <w:r w:rsidRPr="00C839B6">
        <w:t xml:space="preserve"> – </w:t>
      </w:r>
      <w:r w:rsidR="00285EF0" w:rsidRPr="00EE0949">
        <w:t>Summary of international outbreaks associated with fresh and minimally processed horticultural produce</w:t>
      </w:r>
      <w:bookmarkEnd w:id="903"/>
      <w:bookmarkEnd w:id="904"/>
    </w:p>
    <w:tbl>
      <w:tblPr>
        <w:tblStyle w:val="TableGrid"/>
        <w:tblW w:w="14176" w:type="dxa"/>
        <w:tblInd w:w="-147" w:type="dxa"/>
        <w:tblLayout w:type="fixed"/>
        <w:tblLook w:val="04A0" w:firstRow="1" w:lastRow="0" w:firstColumn="1" w:lastColumn="0" w:noHBand="0" w:noVBand="1"/>
        <w:tblCaption w:val="Summary of international outbreaks associated with fresh and minimally processed horticultural produce"/>
      </w:tblPr>
      <w:tblGrid>
        <w:gridCol w:w="1560"/>
        <w:gridCol w:w="2045"/>
        <w:gridCol w:w="850"/>
        <w:gridCol w:w="1417"/>
        <w:gridCol w:w="1500"/>
        <w:gridCol w:w="1134"/>
        <w:gridCol w:w="1417"/>
        <w:gridCol w:w="2126"/>
        <w:gridCol w:w="2127"/>
      </w:tblGrid>
      <w:tr w:rsidR="00285EF0" w:rsidRPr="00BE211F" w14:paraId="7BCF2B9D" w14:textId="77777777" w:rsidTr="00285EF0">
        <w:trPr>
          <w:cantSplit/>
          <w:tblHeader/>
        </w:trPr>
        <w:tc>
          <w:tcPr>
            <w:tcW w:w="1560" w:type="dxa"/>
            <w:shd w:val="clear" w:color="auto" w:fill="C6D9F1" w:themeFill="text2" w:themeFillTint="33"/>
          </w:tcPr>
          <w:p w14:paraId="1605A63B" w14:textId="77777777" w:rsidR="00285EF0" w:rsidRPr="00BE211F" w:rsidRDefault="00285EF0" w:rsidP="00285EF0">
            <w:pPr>
              <w:rPr>
                <w:rFonts w:cs="Arial"/>
                <w:b/>
                <w:sz w:val="18"/>
                <w:szCs w:val="18"/>
              </w:rPr>
            </w:pPr>
            <w:r w:rsidRPr="00BE211F">
              <w:rPr>
                <w:rFonts w:cs="Arial"/>
                <w:b/>
                <w:sz w:val="18"/>
                <w:szCs w:val="18"/>
              </w:rPr>
              <w:t>Commodity</w:t>
            </w:r>
          </w:p>
        </w:tc>
        <w:tc>
          <w:tcPr>
            <w:tcW w:w="2045" w:type="dxa"/>
            <w:shd w:val="clear" w:color="auto" w:fill="C6D9F1" w:themeFill="text2" w:themeFillTint="33"/>
          </w:tcPr>
          <w:p w14:paraId="71C6DE4D" w14:textId="77777777" w:rsidR="00285EF0" w:rsidRPr="00BE211F" w:rsidRDefault="00285EF0" w:rsidP="00285EF0">
            <w:pPr>
              <w:rPr>
                <w:rFonts w:cs="Arial"/>
                <w:b/>
                <w:sz w:val="18"/>
                <w:szCs w:val="18"/>
              </w:rPr>
            </w:pPr>
            <w:r w:rsidRPr="00BE211F">
              <w:rPr>
                <w:rFonts w:cs="Arial"/>
                <w:b/>
                <w:sz w:val="18"/>
                <w:szCs w:val="18"/>
              </w:rPr>
              <w:t>Pathogen</w:t>
            </w:r>
          </w:p>
        </w:tc>
        <w:tc>
          <w:tcPr>
            <w:tcW w:w="850" w:type="dxa"/>
            <w:shd w:val="clear" w:color="auto" w:fill="C6D9F1" w:themeFill="text2" w:themeFillTint="33"/>
          </w:tcPr>
          <w:p w14:paraId="754B2B01" w14:textId="77777777" w:rsidR="00285EF0" w:rsidRPr="00BE211F" w:rsidRDefault="00285EF0" w:rsidP="00285EF0">
            <w:pPr>
              <w:rPr>
                <w:rFonts w:cs="Arial"/>
                <w:b/>
                <w:sz w:val="18"/>
                <w:szCs w:val="18"/>
              </w:rPr>
            </w:pPr>
            <w:r w:rsidRPr="00BE211F">
              <w:rPr>
                <w:rFonts w:cs="Arial"/>
                <w:b/>
                <w:sz w:val="18"/>
                <w:szCs w:val="18"/>
              </w:rPr>
              <w:t>Year</w:t>
            </w:r>
          </w:p>
        </w:tc>
        <w:tc>
          <w:tcPr>
            <w:tcW w:w="1417" w:type="dxa"/>
            <w:shd w:val="clear" w:color="auto" w:fill="C6D9F1" w:themeFill="text2" w:themeFillTint="33"/>
          </w:tcPr>
          <w:p w14:paraId="5FBDA917" w14:textId="77777777" w:rsidR="00285EF0" w:rsidRPr="00BE211F" w:rsidRDefault="00285EF0" w:rsidP="00285EF0">
            <w:pPr>
              <w:rPr>
                <w:rFonts w:cs="Arial"/>
                <w:b/>
                <w:sz w:val="18"/>
                <w:szCs w:val="18"/>
              </w:rPr>
            </w:pPr>
            <w:r w:rsidRPr="00BE211F">
              <w:rPr>
                <w:rFonts w:cs="Arial"/>
                <w:b/>
                <w:sz w:val="18"/>
                <w:szCs w:val="18"/>
              </w:rPr>
              <w:t>Location/s</w:t>
            </w:r>
          </w:p>
        </w:tc>
        <w:tc>
          <w:tcPr>
            <w:tcW w:w="1500" w:type="dxa"/>
            <w:shd w:val="clear" w:color="auto" w:fill="C6D9F1" w:themeFill="text2" w:themeFillTint="33"/>
          </w:tcPr>
          <w:p w14:paraId="0A0CCE92" w14:textId="77777777" w:rsidR="00285EF0" w:rsidRPr="00BE211F" w:rsidRDefault="00285EF0" w:rsidP="00285EF0">
            <w:pPr>
              <w:rPr>
                <w:rFonts w:cs="Arial"/>
                <w:b/>
                <w:sz w:val="18"/>
                <w:szCs w:val="18"/>
              </w:rPr>
            </w:pPr>
            <w:r w:rsidRPr="00BE211F">
              <w:rPr>
                <w:rFonts w:cs="Arial"/>
                <w:b/>
                <w:sz w:val="18"/>
                <w:szCs w:val="18"/>
              </w:rPr>
              <w:t>Commodity origin</w:t>
            </w:r>
          </w:p>
        </w:tc>
        <w:tc>
          <w:tcPr>
            <w:tcW w:w="1134" w:type="dxa"/>
            <w:shd w:val="clear" w:color="auto" w:fill="C6D9F1" w:themeFill="text2" w:themeFillTint="33"/>
          </w:tcPr>
          <w:p w14:paraId="285D6A24" w14:textId="77777777" w:rsidR="00285EF0" w:rsidRPr="00BE211F" w:rsidRDefault="00285EF0" w:rsidP="00285EF0">
            <w:pPr>
              <w:rPr>
                <w:rFonts w:cs="Arial"/>
                <w:b/>
                <w:sz w:val="18"/>
                <w:szCs w:val="18"/>
              </w:rPr>
            </w:pPr>
            <w:r w:rsidRPr="00BE211F">
              <w:rPr>
                <w:rFonts w:cs="Arial"/>
                <w:b/>
                <w:sz w:val="18"/>
                <w:szCs w:val="18"/>
              </w:rPr>
              <w:t>No. of cases (</w:t>
            </w:r>
            <w:r>
              <w:rPr>
                <w:rFonts w:cs="Arial"/>
                <w:b/>
                <w:sz w:val="18"/>
                <w:szCs w:val="18"/>
              </w:rPr>
              <w:t xml:space="preserve">No. </w:t>
            </w:r>
            <w:r w:rsidRPr="00BE211F">
              <w:rPr>
                <w:rFonts w:cs="Arial"/>
                <w:b/>
                <w:sz w:val="18"/>
                <w:szCs w:val="18"/>
              </w:rPr>
              <w:t>deaths)</w:t>
            </w:r>
          </w:p>
        </w:tc>
        <w:tc>
          <w:tcPr>
            <w:tcW w:w="1417" w:type="dxa"/>
            <w:shd w:val="clear" w:color="auto" w:fill="C6D9F1" w:themeFill="text2" w:themeFillTint="33"/>
          </w:tcPr>
          <w:p w14:paraId="22BDBC46" w14:textId="77777777" w:rsidR="00285EF0" w:rsidRPr="00BE211F" w:rsidRDefault="00285EF0" w:rsidP="00285EF0">
            <w:pPr>
              <w:rPr>
                <w:rFonts w:cs="Arial"/>
                <w:b/>
                <w:sz w:val="18"/>
                <w:szCs w:val="18"/>
              </w:rPr>
            </w:pPr>
            <w:r w:rsidRPr="00BE211F">
              <w:rPr>
                <w:rFonts w:cs="Arial"/>
                <w:b/>
                <w:sz w:val="18"/>
                <w:szCs w:val="18"/>
              </w:rPr>
              <w:t>Epidemiology comments</w:t>
            </w:r>
            <w:r w:rsidRPr="00BE211F">
              <w:rPr>
                <w:rFonts w:cs="Arial"/>
                <w:b/>
                <w:sz w:val="18"/>
                <w:szCs w:val="18"/>
                <w:vertAlign w:val="superscript"/>
              </w:rPr>
              <w:t>1</w:t>
            </w:r>
          </w:p>
        </w:tc>
        <w:tc>
          <w:tcPr>
            <w:tcW w:w="2126" w:type="dxa"/>
            <w:shd w:val="clear" w:color="auto" w:fill="C6D9F1" w:themeFill="text2" w:themeFillTint="33"/>
          </w:tcPr>
          <w:p w14:paraId="63EC910F" w14:textId="77777777" w:rsidR="00285EF0" w:rsidRPr="00BE211F" w:rsidRDefault="00285EF0" w:rsidP="00285EF0">
            <w:pPr>
              <w:rPr>
                <w:rFonts w:cs="Arial"/>
                <w:b/>
                <w:sz w:val="18"/>
                <w:szCs w:val="18"/>
              </w:rPr>
            </w:pPr>
            <w:r w:rsidRPr="00BE211F">
              <w:rPr>
                <w:rFonts w:cs="Arial"/>
                <w:b/>
                <w:sz w:val="18"/>
                <w:szCs w:val="18"/>
              </w:rPr>
              <w:t>Supply chain failure</w:t>
            </w:r>
            <w:r w:rsidRPr="00BE211F">
              <w:rPr>
                <w:rFonts w:cs="Arial"/>
                <w:b/>
                <w:sz w:val="18"/>
                <w:szCs w:val="18"/>
                <w:vertAlign w:val="superscript"/>
              </w:rPr>
              <w:t>2</w:t>
            </w:r>
          </w:p>
        </w:tc>
        <w:tc>
          <w:tcPr>
            <w:tcW w:w="2127" w:type="dxa"/>
            <w:shd w:val="clear" w:color="auto" w:fill="C6D9F1" w:themeFill="text2" w:themeFillTint="33"/>
          </w:tcPr>
          <w:p w14:paraId="0585DF2B" w14:textId="77777777" w:rsidR="00285EF0" w:rsidRPr="00BE211F" w:rsidRDefault="00285EF0" w:rsidP="00285EF0">
            <w:pPr>
              <w:rPr>
                <w:rFonts w:cs="Arial"/>
                <w:b/>
                <w:sz w:val="18"/>
                <w:szCs w:val="18"/>
              </w:rPr>
            </w:pPr>
            <w:r w:rsidRPr="00BE211F">
              <w:rPr>
                <w:rFonts w:cs="Arial"/>
                <w:b/>
                <w:sz w:val="18"/>
                <w:szCs w:val="18"/>
              </w:rPr>
              <w:t>References</w:t>
            </w:r>
          </w:p>
        </w:tc>
      </w:tr>
      <w:tr w:rsidR="00285EF0" w:rsidRPr="00BE211F" w14:paraId="22A9EE71" w14:textId="77777777" w:rsidTr="00285EF0">
        <w:trPr>
          <w:cantSplit/>
        </w:trPr>
        <w:tc>
          <w:tcPr>
            <w:tcW w:w="14176" w:type="dxa"/>
            <w:gridSpan w:val="9"/>
          </w:tcPr>
          <w:p w14:paraId="55C932AD" w14:textId="77777777" w:rsidR="00285EF0" w:rsidRPr="00BE211F" w:rsidRDefault="00285EF0" w:rsidP="00285EF0">
            <w:pPr>
              <w:rPr>
                <w:rFonts w:cs="Arial"/>
                <w:sz w:val="18"/>
                <w:szCs w:val="18"/>
              </w:rPr>
            </w:pPr>
          </w:p>
        </w:tc>
      </w:tr>
      <w:tr w:rsidR="00285EF0" w:rsidRPr="00BE211F" w14:paraId="1B040E58" w14:textId="77777777" w:rsidTr="00285EF0">
        <w:trPr>
          <w:cantSplit/>
        </w:trPr>
        <w:tc>
          <w:tcPr>
            <w:tcW w:w="14176" w:type="dxa"/>
            <w:gridSpan w:val="9"/>
            <w:shd w:val="clear" w:color="auto" w:fill="C6D9F1" w:themeFill="text2" w:themeFillTint="33"/>
          </w:tcPr>
          <w:p w14:paraId="6C2D257D" w14:textId="77777777" w:rsidR="00285EF0" w:rsidRPr="00BE211F" w:rsidRDefault="00285EF0" w:rsidP="00285EF0">
            <w:pPr>
              <w:rPr>
                <w:rFonts w:cs="Arial"/>
                <w:sz w:val="18"/>
                <w:szCs w:val="18"/>
              </w:rPr>
            </w:pPr>
            <w:r w:rsidRPr="00BE211F">
              <w:rPr>
                <w:rFonts w:cs="Arial"/>
                <w:sz w:val="18"/>
                <w:szCs w:val="18"/>
              </w:rPr>
              <w:t>Leafy vegetables</w:t>
            </w:r>
          </w:p>
        </w:tc>
      </w:tr>
      <w:tr w:rsidR="00285EF0" w:rsidRPr="00BE211F" w14:paraId="187F612E" w14:textId="77777777" w:rsidTr="00285EF0">
        <w:trPr>
          <w:cantSplit/>
        </w:trPr>
        <w:tc>
          <w:tcPr>
            <w:tcW w:w="1560" w:type="dxa"/>
          </w:tcPr>
          <w:p w14:paraId="05A70909" w14:textId="77777777" w:rsidR="00285EF0" w:rsidRPr="00BE211F" w:rsidRDefault="00285EF0" w:rsidP="00285EF0">
            <w:pPr>
              <w:rPr>
                <w:rFonts w:cs="Arial"/>
                <w:sz w:val="18"/>
                <w:szCs w:val="18"/>
                <w:highlight w:val="magenta"/>
              </w:rPr>
            </w:pPr>
            <w:r w:rsidRPr="00BE211F">
              <w:rPr>
                <w:rFonts w:cs="Arial"/>
                <w:sz w:val="18"/>
                <w:szCs w:val="18"/>
              </w:rPr>
              <w:t>Lettuce, romaine</w:t>
            </w:r>
          </w:p>
        </w:tc>
        <w:tc>
          <w:tcPr>
            <w:tcW w:w="2045" w:type="dxa"/>
          </w:tcPr>
          <w:p w14:paraId="7412412F" w14:textId="77777777" w:rsidR="00285EF0" w:rsidRPr="00BE211F" w:rsidRDefault="00285EF0" w:rsidP="00285EF0">
            <w:pPr>
              <w:rPr>
                <w:rFonts w:cs="Arial"/>
                <w:i/>
                <w:sz w:val="18"/>
                <w:szCs w:val="18"/>
                <w:highlight w:val="magenta"/>
              </w:rPr>
            </w:pPr>
            <w:r w:rsidRPr="00BE211F">
              <w:rPr>
                <w:rFonts w:cs="Arial"/>
                <w:i/>
                <w:sz w:val="18"/>
                <w:szCs w:val="18"/>
              </w:rPr>
              <w:t xml:space="preserve">Escherichia coli </w:t>
            </w:r>
            <w:r w:rsidRPr="00BE211F">
              <w:rPr>
                <w:rFonts w:cs="Arial"/>
                <w:sz w:val="18"/>
                <w:szCs w:val="18"/>
              </w:rPr>
              <w:t>O145</w:t>
            </w:r>
          </w:p>
        </w:tc>
        <w:tc>
          <w:tcPr>
            <w:tcW w:w="850" w:type="dxa"/>
          </w:tcPr>
          <w:p w14:paraId="7B5B9AA3" w14:textId="77777777" w:rsidR="00285EF0" w:rsidRPr="00BE211F" w:rsidRDefault="00285EF0" w:rsidP="00285EF0">
            <w:pPr>
              <w:rPr>
                <w:rFonts w:cs="Arial"/>
                <w:sz w:val="18"/>
                <w:szCs w:val="18"/>
                <w:highlight w:val="magenta"/>
              </w:rPr>
            </w:pPr>
            <w:r w:rsidRPr="00BE211F">
              <w:rPr>
                <w:rFonts w:cs="Arial"/>
                <w:sz w:val="18"/>
                <w:szCs w:val="18"/>
              </w:rPr>
              <w:t>2010</w:t>
            </w:r>
          </w:p>
        </w:tc>
        <w:tc>
          <w:tcPr>
            <w:tcW w:w="1417" w:type="dxa"/>
          </w:tcPr>
          <w:p w14:paraId="04485515" w14:textId="77777777" w:rsidR="00285EF0" w:rsidRPr="00BE211F" w:rsidRDefault="00285EF0" w:rsidP="00285EF0">
            <w:pPr>
              <w:rPr>
                <w:rFonts w:cs="Arial"/>
                <w:sz w:val="18"/>
                <w:szCs w:val="18"/>
                <w:highlight w:val="magenta"/>
              </w:rPr>
            </w:pPr>
            <w:r w:rsidRPr="00BE211F">
              <w:rPr>
                <w:rFonts w:cs="Arial"/>
                <w:sz w:val="18"/>
                <w:szCs w:val="18"/>
              </w:rPr>
              <w:t>USA</w:t>
            </w:r>
          </w:p>
        </w:tc>
        <w:tc>
          <w:tcPr>
            <w:tcW w:w="1500" w:type="dxa"/>
          </w:tcPr>
          <w:p w14:paraId="65F4AF76" w14:textId="77777777" w:rsidR="00285EF0" w:rsidRPr="00BE211F" w:rsidRDefault="00285EF0" w:rsidP="00285EF0">
            <w:pPr>
              <w:rPr>
                <w:rFonts w:cs="Arial"/>
                <w:sz w:val="18"/>
                <w:szCs w:val="18"/>
                <w:highlight w:val="magenta"/>
              </w:rPr>
            </w:pPr>
            <w:r w:rsidRPr="00BE211F">
              <w:rPr>
                <w:rFonts w:cs="Arial"/>
                <w:sz w:val="18"/>
                <w:szCs w:val="18"/>
              </w:rPr>
              <w:t>USA</w:t>
            </w:r>
          </w:p>
        </w:tc>
        <w:tc>
          <w:tcPr>
            <w:tcW w:w="1134" w:type="dxa"/>
          </w:tcPr>
          <w:p w14:paraId="76FC41D7" w14:textId="77777777" w:rsidR="00285EF0" w:rsidRPr="00BE211F" w:rsidRDefault="00285EF0" w:rsidP="00285EF0">
            <w:pPr>
              <w:rPr>
                <w:rFonts w:cs="Arial"/>
                <w:sz w:val="18"/>
                <w:szCs w:val="18"/>
                <w:highlight w:val="magenta"/>
              </w:rPr>
            </w:pPr>
            <w:r w:rsidRPr="00BE211F">
              <w:rPr>
                <w:rFonts w:cs="Arial"/>
                <w:sz w:val="18"/>
                <w:szCs w:val="18"/>
              </w:rPr>
              <w:t>31</w:t>
            </w:r>
          </w:p>
        </w:tc>
        <w:tc>
          <w:tcPr>
            <w:tcW w:w="1417" w:type="dxa"/>
          </w:tcPr>
          <w:p w14:paraId="4676DE99" w14:textId="77777777" w:rsidR="00285EF0" w:rsidRPr="00BE211F" w:rsidRDefault="00285EF0" w:rsidP="00285EF0">
            <w:pPr>
              <w:rPr>
                <w:rFonts w:cs="Arial"/>
                <w:sz w:val="18"/>
                <w:szCs w:val="18"/>
                <w:highlight w:val="magenta"/>
              </w:rPr>
            </w:pPr>
            <w:r w:rsidRPr="00BE211F">
              <w:rPr>
                <w:rFonts w:cs="Arial"/>
                <w:sz w:val="18"/>
                <w:szCs w:val="18"/>
              </w:rPr>
              <w:t>E, L</w:t>
            </w:r>
          </w:p>
        </w:tc>
        <w:tc>
          <w:tcPr>
            <w:tcW w:w="2126" w:type="dxa"/>
          </w:tcPr>
          <w:p w14:paraId="59467969" w14:textId="77777777" w:rsidR="00285EF0" w:rsidRPr="00BE211F" w:rsidRDefault="00285EF0" w:rsidP="00285EF0">
            <w:pPr>
              <w:rPr>
                <w:rFonts w:cs="Arial"/>
                <w:sz w:val="18"/>
                <w:szCs w:val="18"/>
                <w:highlight w:val="magenta"/>
              </w:rPr>
            </w:pPr>
            <w:r w:rsidRPr="00BE211F">
              <w:rPr>
                <w:rFonts w:cs="Arial"/>
                <w:sz w:val="18"/>
                <w:szCs w:val="18"/>
              </w:rPr>
              <w:t>n.d.</w:t>
            </w:r>
          </w:p>
        </w:tc>
        <w:tc>
          <w:tcPr>
            <w:tcW w:w="2127" w:type="dxa"/>
          </w:tcPr>
          <w:p w14:paraId="7FAC8536" w14:textId="77777777" w:rsidR="00285EF0" w:rsidRPr="00BE211F" w:rsidRDefault="00285EF0" w:rsidP="00285EF0">
            <w:pPr>
              <w:rPr>
                <w:rFonts w:cs="Arial"/>
                <w:sz w:val="18"/>
                <w:szCs w:val="18"/>
                <w:highlight w:val="magenta"/>
              </w:rPr>
            </w:pPr>
            <w:r w:rsidRPr="00BE211F">
              <w:rPr>
                <w:rFonts w:cs="Arial"/>
                <w:sz w:val="18"/>
                <w:szCs w:val="18"/>
              </w:rPr>
              <w:t>(Taylor et al. 2013)</w:t>
            </w:r>
          </w:p>
        </w:tc>
      </w:tr>
      <w:tr w:rsidR="00285EF0" w:rsidRPr="00BE211F" w14:paraId="0BDAA03F" w14:textId="77777777" w:rsidTr="00285EF0">
        <w:trPr>
          <w:cantSplit/>
        </w:trPr>
        <w:tc>
          <w:tcPr>
            <w:tcW w:w="1560" w:type="dxa"/>
          </w:tcPr>
          <w:p w14:paraId="69BFDF3A" w14:textId="77777777" w:rsidR="00285EF0" w:rsidRPr="00BE211F" w:rsidRDefault="00285EF0" w:rsidP="00285EF0">
            <w:pPr>
              <w:rPr>
                <w:rFonts w:cs="Arial"/>
                <w:sz w:val="18"/>
                <w:szCs w:val="18"/>
              </w:rPr>
            </w:pPr>
            <w:r w:rsidRPr="00BE211F">
              <w:rPr>
                <w:rFonts w:cs="Arial"/>
                <w:sz w:val="18"/>
                <w:szCs w:val="18"/>
              </w:rPr>
              <w:t>Lettuce, romaine</w:t>
            </w:r>
          </w:p>
        </w:tc>
        <w:tc>
          <w:tcPr>
            <w:tcW w:w="2045" w:type="dxa"/>
          </w:tcPr>
          <w:p w14:paraId="00E392C9" w14:textId="77777777" w:rsidR="00285EF0" w:rsidRPr="00BE211F" w:rsidRDefault="00285EF0" w:rsidP="00285EF0">
            <w:pPr>
              <w:rPr>
                <w:rFonts w:cs="Arial"/>
                <w:i/>
                <w:sz w:val="18"/>
                <w:szCs w:val="18"/>
              </w:rPr>
            </w:pPr>
            <w:r w:rsidRPr="00BE211F">
              <w:rPr>
                <w:rFonts w:cs="Arial"/>
                <w:i/>
                <w:sz w:val="18"/>
                <w:szCs w:val="18"/>
              </w:rPr>
              <w:t xml:space="preserve">E. coli </w:t>
            </w:r>
            <w:r w:rsidRPr="00BE211F">
              <w:rPr>
                <w:rFonts w:cs="Arial"/>
                <w:sz w:val="18"/>
                <w:szCs w:val="18"/>
              </w:rPr>
              <w:t>O157:H7</w:t>
            </w:r>
          </w:p>
        </w:tc>
        <w:tc>
          <w:tcPr>
            <w:tcW w:w="850" w:type="dxa"/>
          </w:tcPr>
          <w:p w14:paraId="3582CCE9" w14:textId="77777777" w:rsidR="00285EF0" w:rsidRPr="00BE211F" w:rsidRDefault="00285EF0" w:rsidP="00285EF0">
            <w:pPr>
              <w:rPr>
                <w:rFonts w:cs="Arial"/>
                <w:sz w:val="18"/>
                <w:szCs w:val="18"/>
              </w:rPr>
            </w:pPr>
            <w:r w:rsidRPr="00BE211F">
              <w:rPr>
                <w:rFonts w:cs="Arial"/>
                <w:sz w:val="18"/>
                <w:szCs w:val="18"/>
              </w:rPr>
              <w:t>2011</w:t>
            </w:r>
          </w:p>
        </w:tc>
        <w:tc>
          <w:tcPr>
            <w:tcW w:w="1417" w:type="dxa"/>
          </w:tcPr>
          <w:p w14:paraId="75FBE0B5"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5AE871CB"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22626445" w14:textId="77777777" w:rsidR="00285EF0" w:rsidRPr="00BE211F" w:rsidRDefault="00285EF0" w:rsidP="00285EF0">
            <w:pPr>
              <w:rPr>
                <w:rFonts w:cs="Arial"/>
                <w:sz w:val="18"/>
                <w:szCs w:val="18"/>
              </w:rPr>
            </w:pPr>
            <w:r w:rsidRPr="00BE211F">
              <w:rPr>
                <w:rFonts w:cs="Arial"/>
                <w:sz w:val="18"/>
                <w:szCs w:val="18"/>
              </w:rPr>
              <w:t>58</w:t>
            </w:r>
          </w:p>
        </w:tc>
        <w:tc>
          <w:tcPr>
            <w:tcW w:w="1417" w:type="dxa"/>
          </w:tcPr>
          <w:p w14:paraId="33AD77A5"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20D3C0D9"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7699F861" w14:textId="77777777" w:rsidR="00285EF0" w:rsidRPr="00BE211F" w:rsidRDefault="00285EF0" w:rsidP="00285EF0">
            <w:pPr>
              <w:rPr>
                <w:rFonts w:cs="Arial"/>
                <w:sz w:val="18"/>
                <w:szCs w:val="18"/>
              </w:rPr>
            </w:pPr>
            <w:r w:rsidRPr="00BE211F">
              <w:rPr>
                <w:rFonts w:cs="Arial"/>
                <w:sz w:val="18"/>
                <w:szCs w:val="18"/>
              </w:rPr>
              <w:t>(Slayton et al. 2013)</w:t>
            </w:r>
          </w:p>
        </w:tc>
      </w:tr>
      <w:tr w:rsidR="00285EF0" w:rsidRPr="00BE211F" w14:paraId="01926B75" w14:textId="77777777" w:rsidTr="00285EF0">
        <w:trPr>
          <w:cantSplit/>
        </w:trPr>
        <w:tc>
          <w:tcPr>
            <w:tcW w:w="1560" w:type="dxa"/>
          </w:tcPr>
          <w:p w14:paraId="5D423FDE" w14:textId="77777777" w:rsidR="00285EF0" w:rsidRPr="00BE211F" w:rsidRDefault="00285EF0" w:rsidP="00285EF0">
            <w:pPr>
              <w:rPr>
                <w:rFonts w:cs="Arial"/>
                <w:sz w:val="18"/>
                <w:szCs w:val="18"/>
              </w:rPr>
            </w:pPr>
            <w:r w:rsidRPr="00BE211F">
              <w:rPr>
                <w:rFonts w:cs="Arial"/>
                <w:sz w:val="18"/>
                <w:szCs w:val="18"/>
              </w:rPr>
              <w:t>Basil</w:t>
            </w:r>
          </w:p>
        </w:tc>
        <w:tc>
          <w:tcPr>
            <w:tcW w:w="2045" w:type="dxa"/>
          </w:tcPr>
          <w:p w14:paraId="5198FD37" w14:textId="77777777" w:rsidR="00285EF0" w:rsidRPr="00BE211F" w:rsidRDefault="00285EF0" w:rsidP="00285EF0">
            <w:pPr>
              <w:rPr>
                <w:rFonts w:cs="Arial"/>
                <w:i/>
                <w:sz w:val="18"/>
                <w:szCs w:val="18"/>
              </w:rPr>
            </w:pPr>
            <w:r w:rsidRPr="00BE211F">
              <w:rPr>
                <w:rFonts w:cs="Arial"/>
                <w:i/>
                <w:sz w:val="18"/>
                <w:szCs w:val="18"/>
              </w:rPr>
              <w:t>Shigella sonnei</w:t>
            </w:r>
          </w:p>
        </w:tc>
        <w:tc>
          <w:tcPr>
            <w:tcW w:w="850" w:type="dxa"/>
          </w:tcPr>
          <w:p w14:paraId="75371173" w14:textId="77777777" w:rsidR="00285EF0" w:rsidRPr="00BE211F" w:rsidRDefault="00285EF0" w:rsidP="00285EF0">
            <w:pPr>
              <w:rPr>
                <w:rFonts w:cs="Arial"/>
                <w:sz w:val="18"/>
                <w:szCs w:val="18"/>
              </w:rPr>
            </w:pPr>
            <w:r w:rsidRPr="00BE211F">
              <w:rPr>
                <w:rFonts w:cs="Arial"/>
                <w:sz w:val="18"/>
                <w:szCs w:val="18"/>
              </w:rPr>
              <w:t>2011</w:t>
            </w:r>
          </w:p>
        </w:tc>
        <w:tc>
          <w:tcPr>
            <w:tcW w:w="1417" w:type="dxa"/>
          </w:tcPr>
          <w:p w14:paraId="5CA56D40" w14:textId="77777777" w:rsidR="00285EF0" w:rsidRPr="00BE211F" w:rsidRDefault="00285EF0" w:rsidP="00285EF0">
            <w:pPr>
              <w:rPr>
                <w:rFonts w:cs="Arial"/>
                <w:sz w:val="18"/>
                <w:szCs w:val="18"/>
              </w:rPr>
            </w:pPr>
            <w:r w:rsidRPr="00BE211F">
              <w:rPr>
                <w:rFonts w:cs="Arial"/>
                <w:sz w:val="18"/>
                <w:szCs w:val="18"/>
              </w:rPr>
              <w:t>Norway</w:t>
            </w:r>
          </w:p>
        </w:tc>
        <w:tc>
          <w:tcPr>
            <w:tcW w:w="1500" w:type="dxa"/>
          </w:tcPr>
          <w:p w14:paraId="515D0F7C" w14:textId="77777777" w:rsidR="00285EF0" w:rsidRPr="00BE211F" w:rsidRDefault="00285EF0" w:rsidP="00285EF0">
            <w:pPr>
              <w:rPr>
                <w:rFonts w:cs="Arial"/>
                <w:sz w:val="18"/>
                <w:szCs w:val="18"/>
              </w:rPr>
            </w:pPr>
            <w:r w:rsidRPr="00BE211F">
              <w:rPr>
                <w:rFonts w:cs="Arial"/>
                <w:sz w:val="18"/>
                <w:szCs w:val="18"/>
              </w:rPr>
              <w:t>Israel</w:t>
            </w:r>
          </w:p>
        </w:tc>
        <w:tc>
          <w:tcPr>
            <w:tcW w:w="1134" w:type="dxa"/>
          </w:tcPr>
          <w:p w14:paraId="7A27DCB6" w14:textId="77777777" w:rsidR="00285EF0" w:rsidRPr="00BE211F" w:rsidRDefault="00285EF0" w:rsidP="00285EF0">
            <w:pPr>
              <w:rPr>
                <w:rFonts w:cs="Arial"/>
                <w:sz w:val="18"/>
                <w:szCs w:val="18"/>
              </w:rPr>
            </w:pPr>
            <w:r w:rsidRPr="00BE211F">
              <w:rPr>
                <w:rFonts w:cs="Arial"/>
                <w:sz w:val="18"/>
                <w:szCs w:val="18"/>
              </w:rPr>
              <w:t>46</w:t>
            </w:r>
          </w:p>
        </w:tc>
        <w:tc>
          <w:tcPr>
            <w:tcW w:w="1417" w:type="dxa"/>
          </w:tcPr>
          <w:p w14:paraId="664B3C0F"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6F4BF4B9"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4FF83EEA" w14:textId="77777777" w:rsidR="00285EF0" w:rsidRPr="00BE211F" w:rsidRDefault="00285EF0" w:rsidP="00285EF0">
            <w:pPr>
              <w:rPr>
                <w:rFonts w:cs="Arial"/>
                <w:sz w:val="18"/>
                <w:szCs w:val="18"/>
              </w:rPr>
            </w:pPr>
            <w:r w:rsidRPr="00BE211F">
              <w:rPr>
                <w:rFonts w:cs="Arial"/>
                <w:sz w:val="18"/>
                <w:szCs w:val="18"/>
              </w:rPr>
              <w:t>(Guzman-Herrador et al. 2011; Guzman-Herrador et al. 2013)</w:t>
            </w:r>
          </w:p>
        </w:tc>
      </w:tr>
      <w:tr w:rsidR="00285EF0" w:rsidRPr="00BE211F" w14:paraId="7896DFA1" w14:textId="77777777" w:rsidTr="00285EF0">
        <w:trPr>
          <w:cantSplit/>
        </w:trPr>
        <w:tc>
          <w:tcPr>
            <w:tcW w:w="1560" w:type="dxa"/>
          </w:tcPr>
          <w:p w14:paraId="69310FD0" w14:textId="77777777" w:rsidR="00285EF0" w:rsidRPr="00BE211F" w:rsidRDefault="00285EF0" w:rsidP="00285EF0">
            <w:pPr>
              <w:rPr>
                <w:rFonts w:cs="Arial"/>
                <w:sz w:val="18"/>
                <w:szCs w:val="18"/>
              </w:rPr>
            </w:pPr>
            <w:r w:rsidRPr="00BE211F">
              <w:rPr>
                <w:rFonts w:cs="Arial"/>
                <w:sz w:val="18"/>
                <w:szCs w:val="18"/>
              </w:rPr>
              <w:t>Lettuce</w:t>
            </w:r>
          </w:p>
        </w:tc>
        <w:tc>
          <w:tcPr>
            <w:tcW w:w="2045" w:type="dxa"/>
          </w:tcPr>
          <w:p w14:paraId="1A389421" w14:textId="77777777" w:rsidR="00285EF0" w:rsidRPr="00BE211F" w:rsidRDefault="00285EF0" w:rsidP="00285EF0">
            <w:pPr>
              <w:rPr>
                <w:rFonts w:cs="Arial"/>
                <w:i/>
                <w:sz w:val="18"/>
                <w:szCs w:val="18"/>
              </w:rPr>
            </w:pPr>
            <w:r w:rsidRPr="00BE211F">
              <w:rPr>
                <w:rFonts w:cs="Arial"/>
                <w:i/>
                <w:sz w:val="18"/>
                <w:szCs w:val="18"/>
              </w:rPr>
              <w:t xml:space="preserve">E. coli </w:t>
            </w:r>
            <w:r w:rsidRPr="00BE211F">
              <w:rPr>
                <w:rFonts w:cs="Arial"/>
                <w:sz w:val="18"/>
                <w:szCs w:val="18"/>
              </w:rPr>
              <w:t>O157:H7</w:t>
            </w:r>
          </w:p>
        </w:tc>
        <w:tc>
          <w:tcPr>
            <w:tcW w:w="850" w:type="dxa"/>
          </w:tcPr>
          <w:p w14:paraId="079774B5" w14:textId="77777777" w:rsidR="00285EF0" w:rsidRPr="00BE211F" w:rsidRDefault="00285EF0" w:rsidP="00285EF0">
            <w:pPr>
              <w:rPr>
                <w:rFonts w:cs="Arial"/>
                <w:sz w:val="18"/>
                <w:szCs w:val="18"/>
              </w:rPr>
            </w:pPr>
            <w:r w:rsidRPr="00BE211F">
              <w:rPr>
                <w:rFonts w:cs="Arial"/>
                <w:sz w:val="18"/>
                <w:szCs w:val="18"/>
              </w:rPr>
              <w:t>2012</w:t>
            </w:r>
          </w:p>
        </w:tc>
        <w:tc>
          <w:tcPr>
            <w:tcW w:w="1417" w:type="dxa"/>
          </w:tcPr>
          <w:p w14:paraId="5864F881"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349E41E8"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36534157" w14:textId="77777777" w:rsidR="00285EF0" w:rsidRPr="00BE211F" w:rsidRDefault="00285EF0" w:rsidP="00285EF0">
            <w:pPr>
              <w:rPr>
                <w:rFonts w:cs="Arial"/>
                <w:sz w:val="18"/>
                <w:szCs w:val="18"/>
              </w:rPr>
            </w:pPr>
            <w:r w:rsidRPr="00BE211F">
              <w:rPr>
                <w:rFonts w:cs="Arial"/>
                <w:sz w:val="18"/>
                <w:szCs w:val="18"/>
              </w:rPr>
              <w:t>17 (2)</w:t>
            </w:r>
          </w:p>
        </w:tc>
        <w:tc>
          <w:tcPr>
            <w:tcW w:w="1417" w:type="dxa"/>
          </w:tcPr>
          <w:p w14:paraId="32FE7B33"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67C93023"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2C489C09" w14:textId="77777777" w:rsidR="00285EF0" w:rsidRPr="00BE211F" w:rsidRDefault="00285EF0" w:rsidP="00285EF0">
            <w:pPr>
              <w:rPr>
                <w:rFonts w:cs="Arial"/>
                <w:sz w:val="18"/>
                <w:szCs w:val="18"/>
              </w:rPr>
            </w:pPr>
            <w:r w:rsidRPr="00BE211F">
              <w:rPr>
                <w:rFonts w:cs="Arial"/>
                <w:sz w:val="18"/>
                <w:szCs w:val="18"/>
              </w:rPr>
              <w:t xml:space="preserve">(Marder et al. 2014) </w:t>
            </w:r>
          </w:p>
        </w:tc>
      </w:tr>
      <w:tr w:rsidR="00285EF0" w:rsidRPr="00BE211F" w14:paraId="3CF264E6" w14:textId="77777777" w:rsidTr="00285EF0">
        <w:trPr>
          <w:cantSplit/>
        </w:trPr>
        <w:tc>
          <w:tcPr>
            <w:tcW w:w="1560" w:type="dxa"/>
          </w:tcPr>
          <w:p w14:paraId="4F0E25F0" w14:textId="77777777" w:rsidR="00285EF0" w:rsidRPr="00BE211F" w:rsidRDefault="00285EF0" w:rsidP="00285EF0">
            <w:pPr>
              <w:rPr>
                <w:rFonts w:cs="Arial"/>
                <w:sz w:val="18"/>
                <w:szCs w:val="18"/>
              </w:rPr>
            </w:pPr>
            <w:r w:rsidRPr="00BE211F">
              <w:rPr>
                <w:rFonts w:cs="Arial"/>
                <w:sz w:val="18"/>
                <w:szCs w:val="18"/>
              </w:rPr>
              <w:t>Spinach &amp; leafy vegetables, bagged</w:t>
            </w:r>
          </w:p>
        </w:tc>
        <w:tc>
          <w:tcPr>
            <w:tcW w:w="2045" w:type="dxa"/>
          </w:tcPr>
          <w:p w14:paraId="6CD24B2A" w14:textId="77777777" w:rsidR="00285EF0" w:rsidRPr="00BE211F" w:rsidRDefault="00285EF0" w:rsidP="00285EF0">
            <w:pPr>
              <w:rPr>
                <w:rFonts w:cs="Arial"/>
                <w:i/>
                <w:sz w:val="18"/>
                <w:szCs w:val="18"/>
              </w:rPr>
            </w:pPr>
            <w:r w:rsidRPr="00BE211F">
              <w:rPr>
                <w:rFonts w:cs="Arial"/>
                <w:i/>
                <w:sz w:val="18"/>
                <w:szCs w:val="18"/>
              </w:rPr>
              <w:t xml:space="preserve">E. coli </w:t>
            </w:r>
            <w:r w:rsidRPr="00BE211F">
              <w:rPr>
                <w:rFonts w:cs="Arial"/>
                <w:sz w:val="18"/>
                <w:szCs w:val="18"/>
              </w:rPr>
              <w:t>O157:H7</w:t>
            </w:r>
          </w:p>
        </w:tc>
        <w:tc>
          <w:tcPr>
            <w:tcW w:w="850" w:type="dxa"/>
          </w:tcPr>
          <w:p w14:paraId="5A9A8870" w14:textId="77777777" w:rsidR="00285EF0" w:rsidRPr="00BE211F" w:rsidRDefault="00285EF0" w:rsidP="00285EF0">
            <w:pPr>
              <w:rPr>
                <w:rFonts w:cs="Arial"/>
                <w:sz w:val="18"/>
                <w:szCs w:val="18"/>
              </w:rPr>
            </w:pPr>
            <w:r w:rsidRPr="00BE211F">
              <w:rPr>
                <w:rFonts w:cs="Arial"/>
                <w:sz w:val="18"/>
                <w:szCs w:val="18"/>
              </w:rPr>
              <w:t>2012</w:t>
            </w:r>
          </w:p>
        </w:tc>
        <w:tc>
          <w:tcPr>
            <w:tcW w:w="1417" w:type="dxa"/>
          </w:tcPr>
          <w:p w14:paraId="75710607"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0C01367A"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2593AA95" w14:textId="77777777" w:rsidR="00285EF0" w:rsidRPr="00BE211F" w:rsidRDefault="00285EF0" w:rsidP="00285EF0">
            <w:pPr>
              <w:rPr>
                <w:rFonts w:cs="Arial"/>
                <w:sz w:val="18"/>
                <w:szCs w:val="18"/>
              </w:rPr>
            </w:pPr>
            <w:r w:rsidRPr="00BE211F">
              <w:rPr>
                <w:rFonts w:cs="Arial"/>
                <w:sz w:val="18"/>
                <w:szCs w:val="18"/>
              </w:rPr>
              <w:t>33</w:t>
            </w:r>
          </w:p>
        </w:tc>
        <w:tc>
          <w:tcPr>
            <w:tcW w:w="1417" w:type="dxa"/>
          </w:tcPr>
          <w:p w14:paraId="2D03DBD0" w14:textId="77777777" w:rsidR="00285EF0" w:rsidRPr="00BE211F" w:rsidRDefault="00285EF0" w:rsidP="00285EF0">
            <w:pPr>
              <w:rPr>
                <w:rFonts w:cs="Arial"/>
                <w:sz w:val="18"/>
                <w:szCs w:val="18"/>
              </w:rPr>
            </w:pPr>
            <w:r w:rsidRPr="00BE211F">
              <w:rPr>
                <w:rFonts w:cs="Arial"/>
                <w:sz w:val="18"/>
                <w:szCs w:val="18"/>
              </w:rPr>
              <w:t>L</w:t>
            </w:r>
          </w:p>
        </w:tc>
        <w:tc>
          <w:tcPr>
            <w:tcW w:w="2126" w:type="dxa"/>
          </w:tcPr>
          <w:p w14:paraId="0814918F"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1820CA02" w14:textId="77777777" w:rsidR="00285EF0" w:rsidRPr="00BE211F" w:rsidRDefault="00285EF0" w:rsidP="00285EF0">
            <w:pPr>
              <w:rPr>
                <w:rFonts w:cs="Arial"/>
                <w:sz w:val="18"/>
                <w:szCs w:val="18"/>
              </w:rPr>
            </w:pPr>
            <w:r w:rsidRPr="00BE211F">
              <w:rPr>
                <w:rFonts w:cs="Arial"/>
                <w:sz w:val="18"/>
                <w:szCs w:val="18"/>
              </w:rPr>
              <w:t>(CDC 2012b)</w:t>
            </w:r>
          </w:p>
        </w:tc>
      </w:tr>
      <w:tr w:rsidR="00285EF0" w:rsidRPr="00BE211F" w14:paraId="70A9C296" w14:textId="77777777" w:rsidTr="00285EF0">
        <w:trPr>
          <w:cantSplit/>
        </w:trPr>
        <w:tc>
          <w:tcPr>
            <w:tcW w:w="1560" w:type="dxa"/>
          </w:tcPr>
          <w:p w14:paraId="3A15B1E8" w14:textId="77777777" w:rsidR="00285EF0" w:rsidRPr="00BE211F" w:rsidRDefault="00285EF0" w:rsidP="00285EF0">
            <w:pPr>
              <w:rPr>
                <w:rFonts w:cs="Arial"/>
                <w:sz w:val="18"/>
                <w:szCs w:val="18"/>
              </w:rPr>
            </w:pPr>
            <w:r w:rsidRPr="00BE211F">
              <w:rPr>
                <w:rFonts w:cs="Arial"/>
                <w:sz w:val="18"/>
                <w:szCs w:val="18"/>
              </w:rPr>
              <w:t>Coriander</w:t>
            </w:r>
          </w:p>
        </w:tc>
        <w:tc>
          <w:tcPr>
            <w:tcW w:w="2045" w:type="dxa"/>
          </w:tcPr>
          <w:p w14:paraId="6D56EFC3" w14:textId="77777777" w:rsidR="00285EF0" w:rsidRPr="00BE211F" w:rsidRDefault="00285EF0" w:rsidP="00285EF0">
            <w:pPr>
              <w:rPr>
                <w:rFonts w:cs="Arial"/>
                <w:i/>
                <w:sz w:val="18"/>
                <w:szCs w:val="18"/>
              </w:rPr>
            </w:pPr>
            <w:r w:rsidRPr="00BE211F">
              <w:rPr>
                <w:rFonts w:cs="Arial"/>
                <w:i/>
                <w:sz w:val="18"/>
                <w:szCs w:val="18"/>
              </w:rPr>
              <w:t>Cyclospora cayetanensis</w:t>
            </w:r>
          </w:p>
        </w:tc>
        <w:tc>
          <w:tcPr>
            <w:tcW w:w="850" w:type="dxa"/>
          </w:tcPr>
          <w:p w14:paraId="3B390DEA" w14:textId="77777777" w:rsidR="00285EF0" w:rsidRPr="00BE211F" w:rsidRDefault="00285EF0" w:rsidP="00285EF0">
            <w:pPr>
              <w:rPr>
                <w:rFonts w:cs="Arial"/>
                <w:sz w:val="18"/>
                <w:szCs w:val="18"/>
              </w:rPr>
            </w:pPr>
            <w:r w:rsidRPr="00BE211F">
              <w:rPr>
                <w:rFonts w:cs="Arial"/>
                <w:sz w:val="18"/>
                <w:szCs w:val="18"/>
              </w:rPr>
              <w:t>2013</w:t>
            </w:r>
          </w:p>
        </w:tc>
        <w:tc>
          <w:tcPr>
            <w:tcW w:w="1417" w:type="dxa"/>
          </w:tcPr>
          <w:p w14:paraId="16D7B070"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6B9877C6" w14:textId="77777777" w:rsidR="00285EF0" w:rsidRPr="00BE211F" w:rsidRDefault="00285EF0" w:rsidP="00285EF0">
            <w:pPr>
              <w:rPr>
                <w:rFonts w:cs="Arial"/>
                <w:sz w:val="18"/>
                <w:szCs w:val="18"/>
              </w:rPr>
            </w:pPr>
            <w:r w:rsidRPr="00BE211F">
              <w:rPr>
                <w:rFonts w:cs="Arial"/>
                <w:sz w:val="18"/>
                <w:szCs w:val="18"/>
              </w:rPr>
              <w:t>Mexico</w:t>
            </w:r>
          </w:p>
        </w:tc>
        <w:tc>
          <w:tcPr>
            <w:tcW w:w="1134" w:type="dxa"/>
          </w:tcPr>
          <w:p w14:paraId="5337E4E2" w14:textId="77777777" w:rsidR="00285EF0" w:rsidRPr="00BE211F" w:rsidRDefault="00285EF0" w:rsidP="00285EF0">
            <w:pPr>
              <w:rPr>
                <w:rFonts w:cs="Arial"/>
                <w:sz w:val="18"/>
                <w:szCs w:val="18"/>
              </w:rPr>
            </w:pPr>
            <w:r w:rsidRPr="00BE211F">
              <w:rPr>
                <w:rFonts w:cs="Arial"/>
                <w:sz w:val="18"/>
                <w:szCs w:val="18"/>
              </w:rPr>
              <w:t>270</w:t>
            </w:r>
          </w:p>
        </w:tc>
        <w:tc>
          <w:tcPr>
            <w:tcW w:w="1417" w:type="dxa"/>
          </w:tcPr>
          <w:p w14:paraId="225498FB"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227D97B9"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47325312" w14:textId="77777777" w:rsidR="00285EF0" w:rsidRPr="00BE211F" w:rsidRDefault="00285EF0" w:rsidP="00285EF0">
            <w:pPr>
              <w:rPr>
                <w:rFonts w:cs="Arial"/>
                <w:sz w:val="18"/>
                <w:szCs w:val="18"/>
              </w:rPr>
            </w:pPr>
            <w:r w:rsidRPr="00BE211F">
              <w:rPr>
                <w:rFonts w:cs="Arial"/>
                <w:sz w:val="18"/>
                <w:szCs w:val="18"/>
              </w:rPr>
              <w:t>(Abanyie et al. 2015)</w:t>
            </w:r>
          </w:p>
        </w:tc>
      </w:tr>
      <w:tr w:rsidR="00285EF0" w:rsidRPr="00BE211F" w14:paraId="2E324A8A" w14:textId="77777777" w:rsidTr="00285EF0">
        <w:trPr>
          <w:cantSplit/>
        </w:trPr>
        <w:tc>
          <w:tcPr>
            <w:tcW w:w="1560" w:type="dxa"/>
          </w:tcPr>
          <w:p w14:paraId="3B9AE7A8" w14:textId="77777777" w:rsidR="00285EF0" w:rsidRPr="00BE211F" w:rsidRDefault="00285EF0" w:rsidP="00285EF0">
            <w:pPr>
              <w:rPr>
                <w:rFonts w:cs="Arial"/>
                <w:sz w:val="18"/>
                <w:szCs w:val="18"/>
              </w:rPr>
            </w:pPr>
            <w:r w:rsidRPr="00BE211F">
              <w:rPr>
                <w:rFonts w:cs="Arial"/>
                <w:sz w:val="18"/>
                <w:szCs w:val="18"/>
              </w:rPr>
              <w:t>Leafy vegetables/ bagged salads</w:t>
            </w:r>
          </w:p>
        </w:tc>
        <w:tc>
          <w:tcPr>
            <w:tcW w:w="2045" w:type="dxa"/>
          </w:tcPr>
          <w:p w14:paraId="40B5F8EA" w14:textId="77777777" w:rsidR="00285EF0" w:rsidRPr="00BE211F" w:rsidRDefault="00285EF0" w:rsidP="00285EF0">
            <w:pPr>
              <w:rPr>
                <w:rFonts w:cs="Arial"/>
                <w:i/>
                <w:sz w:val="18"/>
                <w:szCs w:val="18"/>
              </w:rPr>
            </w:pPr>
            <w:r w:rsidRPr="00BE211F">
              <w:rPr>
                <w:rFonts w:cs="Arial"/>
                <w:i/>
                <w:sz w:val="18"/>
                <w:szCs w:val="18"/>
              </w:rPr>
              <w:t>C. cayetanensis</w:t>
            </w:r>
          </w:p>
        </w:tc>
        <w:tc>
          <w:tcPr>
            <w:tcW w:w="850" w:type="dxa"/>
          </w:tcPr>
          <w:p w14:paraId="201AFD87" w14:textId="77777777" w:rsidR="00285EF0" w:rsidRPr="00BE211F" w:rsidRDefault="00285EF0" w:rsidP="00285EF0">
            <w:pPr>
              <w:rPr>
                <w:rFonts w:cs="Arial"/>
                <w:sz w:val="18"/>
                <w:szCs w:val="18"/>
              </w:rPr>
            </w:pPr>
            <w:r w:rsidRPr="00BE211F">
              <w:rPr>
                <w:rFonts w:cs="Arial"/>
                <w:sz w:val="18"/>
                <w:szCs w:val="18"/>
              </w:rPr>
              <w:t>2013</w:t>
            </w:r>
          </w:p>
        </w:tc>
        <w:tc>
          <w:tcPr>
            <w:tcW w:w="1417" w:type="dxa"/>
          </w:tcPr>
          <w:p w14:paraId="467CF9B0"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4383A004" w14:textId="77777777" w:rsidR="00285EF0" w:rsidRPr="00BE211F" w:rsidRDefault="00285EF0" w:rsidP="00285EF0">
            <w:pPr>
              <w:rPr>
                <w:rFonts w:cs="Arial"/>
                <w:sz w:val="18"/>
                <w:szCs w:val="18"/>
              </w:rPr>
            </w:pPr>
            <w:r w:rsidRPr="00BE211F">
              <w:rPr>
                <w:rFonts w:cs="Arial"/>
                <w:sz w:val="18"/>
                <w:szCs w:val="18"/>
              </w:rPr>
              <w:t>Mexico</w:t>
            </w:r>
          </w:p>
        </w:tc>
        <w:tc>
          <w:tcPr>
            <w:tcW w:w="1134" w:type="dxa"/>
          </w:tcPr>
          <w:p w14:paraId="2B9E9372" w14:textId="77777777" w:rsidR="00285EF0" w:rsidRPr="00BE211F" w:rsidRDefault="00285EF0" w:rsidP="00285EF0">
            <w:pPr>
              <w:rPr>
                <w:rFonts w:cs="Arial"/>
                <w:sz w:val="18"/>
                <w:szCs w:val="18"/>
              </w:rPr>
            </w:pPr>
            <w:r w:rsidRPr="00BE211F">
              <w:rPr>
                <w:rFonts w:cs="Arial"/>
                <w:sz w:val="18"/>
                <w:szCs w:val="18"/>
              </w:rPr>
              <w:t>227</w:t>
            </w:r>
          </w:p>
        </w:tc>
        <w:tc>
          <w:tcPr>
            <w:tcW w:w="1417" w:type="dxa"/>
          </w:tcPr>
          <w:p w14:paraId="7D8B35A8"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6096658A"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04C2548D" w14:textId="77777777" w:rsidR="00285EF0" w:rsidRPr="00BE211F" w:rsidRDefault="00285EF0" w:rsidP="00285EF0">
            <w:pPr>
              <w:rPr>
                <w:rFonts w:cs="Arial"/>
                <w:sz w:val="18"/>
                <w:szCs w:val="18"/>
              </w:rPr>
            </w:pPr>
            <w:r w:rsidRPr="00BE211F">
              <w:rPr>
                <w:rFonts w:cs="Arial"/>
                <w:sz w:val="18"/>
                <w:szCs w:val="18"/>
              </w:rPr>
              <w:t>(Buss et al. 2016)</w:t>
            </w:r>
          </w:p>
        </w:tc>
      </w:tr>
      <w:tr w:rsidR="00285EF0" w:rsidRPr="00BE211F" w14:paraId="7B1977E7" w14:textId="77777777" w:rsidTr="00285EF0">
        <w:trPr>
          <w:cantSplit/>
        </w:trPr>
        <w:tc>
          <w:tcPr>
            <w:tcW w:w="1560" w:type="dxa"/>
          </w:tcPr>
          <w:p w14:paraId="5A625524" w14:textId="77777777" w:rsidR="00285EF0" w:rsidRPr="00BE211F" w:rsidRDefault="00285EF0" w:rsidP="00285EF0">
            <w:pPr>
              <w:rPr>
                <w:rFonts w:cs="Arial"/>
                <w:sz w:val="18"/>
                <w:szCs w:val="18"/>
              </w:rPr>
            </w:pPr>
            <w:r w:rsidRPr="00BE211F">
              <w:rPr>
                <w:rFonts w:cs="Arial"/>
                <w:sz w:val="18"/>
                <w:szCs w:val="18"/>
              </w:rPr>
              <w:t>Watercress</w:t>
            </w:r>
          </w:p>
        </w:tc>
        <w:tc>
          <w:tcPr>
            <w:tcW w:w="2045" w:type="dxa"/>
          </w:tcPr>
          <w:p w14:paraId="09692B16" w14:textId="77777777" w:rsidR="00285EF0" w:rsidRPr="00BE211F" w:rsidRDefault="00285EF0" w:rsidP="00285EF0">
            <w:pPr>
              <w:rPr>
                <w:rFonts w:cs="Arial"/>
                <w:i/>
                <w:sz w:val="18"/>
                <w:szCs w:val="18"/>
              </w:rPr>
            </w:pPr>
            <w:r w:rsidRPr="00BE211F">
              <w:rPr>
                <w:rFonts w:cs="Arial"/>
                <w:i/>
                <w:sz w:val="18"/>
                <w:szCs w:val="18"/>
              </w:rPr>
              <w:t xml:space="preserve">E. coli </w:t>
            </w:r>
            <w:r w:rsidRPr="00BE211F">
              <w:rPr>
                <w:rFonts w:cs="Arial"/>
                <w:sz w:val="18"/>
                <w:szCs w:val="18"/>
              </w:rPr>
              <w:t>O157:H7</w:t>
            </w:r>
          </w:p>
        </w:tc>
        <w:tc>
          <w:tcPr>
            <w:tcW w:w="850" w:type="dxa"/>
          </w:tcPr>
          <w:p w14:paraId="22A698C7" w14:textId="77777777" w:rsidR="00285EF0" w:rsidRPr="00BE211F" w:rsidRDefault="00285EF0" w:rsidP="00285EF0">
            <w:pPr>
              <w:rPr>
                <w:rFonts w:cs="Arial"/>
                <w:sz w:val="18"/>
                <w:szCs w:val="18"/>
              </w:rPr>
            </w:pPr>
            <w:r w:rsidRPr="00BE211F">
              <w:rPr>
                <w:rFonts w:cs="Arial"/>
                <w:sz w:val="18"/>
                <w:szCs w:val="18"/>
              </w:rPr>
              <w:t>2013</w:t>
            </w:r>
          </w:p>
        </w:tc>
        <w:tc>
          <w:tcPr>
            <w:tcW w:w="1417" w:type="dxa"/>
          </w:tcPr>
          <w:p w14:paraId="6C3FBD18" w14:textId="77777777" w:rsidR="00285EF0" w:rsidRPr="00BE211F" w:rsidRDefault="00285EF0" w:rsidP="00285EF0">
            <w:pPr>
              <w:rPr>
                <w:rFonts w:cs="Arial"/>
                <w:sz w:val="18"/>
                <w:szCs w:val="18"/>
              </w:rPr>
            </w:pPr>
            <w:r w:rsidRPr="00BE211F">
              <w:rPr>
                <w:rFonts w:cs="Arial"/>
                <w:sz w:val="18"/>
                <w:szCs w:val="18"/>
              </w:rPr>
              <w:t>UK</w:t>
            </w:r>
          </w:p>
        </w:tc>
        <w:tc>
          <w:tcPr>
            <w:tcW w:w="1500" w:type="dxa"/>
          </w:tcPr>
          <w:p w14:paraId="64462166" w14:textId="77777777" w:rsidR="00285EF0" w:rsidRPr="00BE211F" w:rsidRDefault="00285EF0" w:rsidP="00285EF0">
            <w:pPr>
              <w:rPr>
                <w:rFonts w:cs="Arial"/>
                <w:sz w:val="18"/>
                <w:szCs w:val="18"/>
              </w:rPr>
            </w:pPr>
            <w:r w:rsidRPr="00BE211F">
              <w:rPr>
                <w:rFonts w:cs="Arial"/>
                <w:sz w:val="18"/>
                <w:szCs w:val="18"/>
              </w:rPr>
              <w:t>UK</w:t>
            </w:r>
          </w:p>
        </w:tc>
        <w:tc>
          <w:tcPr>
            <w:tcW w:w="1134" w:type="dxa"/>
          </w:tcPr>
          <w:p w14:paraId="717C449B" w14:textId="77777777" w:rsidR="00285EF0" w:rsidRPr="00BE211F" w:rsidRDefault="00285EF0" w:rsidP="00285EF0">
            <w:pPr>
              <w:rPr>
                <w:rFonts w:cs="Arial"/>
                <w:sz w:val="18"/>
                <w:szCs w:val="18"/>
              </w:rPr>
            </w:pPr>
            <w:r w:rsidRPr="00BE211F">
              <w:rPr>
                <w:rFonts w:cs="Arial"/>
                <w:sz w:val="18"/>
                <w:szCs w:val="18"/>
              </w:rPr>
              <w:t>28</w:t>
            </w:r>
          </w:p>
        </w:tc>
        <w:tc>
          <w:tcPr>
            <w:tcW w:w="1417" w:type="dxa"/>
          </w:tcPr>
          <w:p w14:paraId="4760E67E" w14:textId="77777777" w:rsidR="00285EF0" w:rsidRPr="00BE211F" w:rsidRDefault="00285EF0" w:rsidP="00285EF0">
            <w:pPr>
              <w:rPr>
                <w:rFonts w:cs="Arial"/>
                <w:sz w:val="18"/>
                <w:szCs w:val="18"/>
              </w:rPr>
            </w:pPr>
            <w:r w:rsidRPr="00BE211F">
              <w:rPr>
                <w:rFonts w:cs="Arial"/>
                <w:sz w:val="18"/>
                <w:szCs w:val="18"/>
              </w:rPr>
              <w:t>E, L</w:t>
            </w:r>
          </w:p>
        </w:tc>
        <w:tc>
          <w:tcPr>
            <w:tcW w:w="2126" w:type="dxa"/>
          </w:tcPr>
          <w:p w14:paraId="6B775719" w14:textId="77777777" w:rsidR="00285EF0" w:rsidRPr="00BE211F" w:rsidRDefault="00285EF0" w:rsidP="00285EF0">
            <w:pPr>
              <w:rPr>
                <w:rFonts w:cs="Arial"/>
                <w:sz w:val="18"/>
                <w:szCs w:val="18"/>
              </w:rPr>
            </w:pPr>
            <w:r w:rsidRPr="00BE211F">
              <w:rPr>
                <w:rFonts w:cs="Arial"/>
                <w:sz w:val="18"/>
                <w:szCs w:val="18"/>
              </w:rPr>
              <w:t>Suspected contamination from nearby cattle via irrigation water.</w:t>
            </w:r>
          </w:p>
        </w:tc>
        <w:tc>
          <w:tcPr>
            <w:tcW w:w="2127" w:type="dxa"/>
          </w:tcPr>
          <w:p w14:paraId="5C55466D" w14:textId="77777777" w:rsidR="00285EF0" w:rsidRPr="00BE211F" w:rsidRDefault="00285EF0" w:rsidP="00285EF0">
            <w:pPr>
              <w:rPr>
                <w:rFonts w:cs="Arial"/>
                <w:sz w:val="18"/>
                <w:szCs w:val="18"/>
              </w:rPr>
            </w:pPr>
            <w:r w:rsidRPr="00BE211F">
              <w:rPr>
                <w:rFonts w:cs="Arial"/>
                <w:sz w:val="18"/>
                <w:szCs w:val="18"/>
              </w:rPr>
              <w:t>(Jenkins et al. 2015; Launders et al. 2013)</w:t>
            </w:r>
          </w:p>
          <w:p w14:paraId="4E7BB69D" w14:textId="77777777" w:rsidR="00285EF0" w:rsidRPr="00BE211F" w:rsidRDefault="00285EF0" w:rsidP="00285EF0">
            <w:pPr>
              <w:rPr>
                <w:rFonts w:cs="Arial"/>
                <w:sz w:val="18"/>
                <w:szCs w:val="18"/>
              </w:rPr>
            </w:pPr>
          </w:p>
        </w:tc>
      </w:tr>
      <w:tr w:rsidR="00285EF0" w:rsidRPr="00BE211F" w14:paraId="75C4CBB1" w14:textId="77777777" w:rsidTr="00285EF0">
        <w:trPr>
          <w:cantSplit/>
        </w:trPr>
        <w:tc>
          <w:tcPr>
            <w:tcW w:w="1560" w:type="dxa"/>
          </w:tcPr>
          <w:p w14:paraId="1B19D514" w14:textId="77777777" w:rsidR="00285EF0" w:rsidRPr="00BE211F" w:rsidRDefault="00285EF0" w:rsidP="00285EF0">
            <w:pPr>
              <w:rPr>
                <w:rFonts w:cs="Arial"/>
                <w:sz w:val="18"/>
                <w:szCs w:val="18"/>
              </w:rPr>
            </w:pPr>
            <w:r w:rsidRPr="00BE211F">
              <w:rPr>
                <w:rFonts w:cs="Arial"/>
                <w:sz w:val="18"/>
                <w:szCs w:val="18"/>
              </w:rPr>
              <w:t>Leafy vegetables/ bagged salads</w:t>
            </w:r>
          </w:p>
        </w:tc>
        <w:tc>
          <w:tcPr>
            <w:tcW w:w="2045" w:type="dxa"/>
          </w:tcPr>
          <w:p w14:paraId="491012FE" w14:textId="77777777" w:rsidR="00285EF0" w:rsidRPr="00BE211F" w:rsidRDefault="00285EF0" w:rsidP="00285EF0">
            <w:pPr>
              <w:rPr>
                <w:rFonts w:cs="Arial"/>
                <w:i/>
                <w:sz w:val="18"/>
                <w:szCs w:val="18"/>
              </w:rPr>
            </w:pPr>
            <w:r w:rsidRPr="00BE211F">
              <w:rPr>
                <w:rFonts w:cs="Arial"/>
                <w:i/>
                <w:sz w:val="18"/>
                <w:szCs w:val="18"/>
              </w:rPr>
              <w:t xml:space="preserve">Salmonella </w:t>
            </w:r>
            <w:r w:rsidRPr="00BE211F">
              <w:rPr>
                <w:rFonts w:cs="Arial"/>
                <w:sz w:val="18"/>
                <w:szCs w:val="18"/>
              </w:rPr>
              <w:t>Coeln</w:t>
            </w:r>
          </w:p>
        </w:tc>
        <w:tc>
          <w:tcPr>
            <w:tcW w:w="850" w:type="dxa"/>
          </w:tcPr>
          <w:p w14:paraId="08B572FE" w14:textId="77777777" w:rsidR="00285EF0" w:rsidRPr="00BE211F" w:rsidRDefault="00285EF0" w:rsidP="00285EF0">
            <w:pPr>
              <w:rPr>
                <w:rFonts w:cs="Arial"/>
                <w:sz w:val="18"/>
                <w:szCs w:val="18"/>
              </w:rPr>
            </w:pPr>
            <w:r w:rsidRPr="00BE211F">
              <w:rPr>
                <w:rFonts w:cs="Arial"/>
                <w:sz w:val="18"/>
                <w:szCs w:val="18"/>
              </w:rPr>
              <w:t>2013 - 2014</w:t>
            </w:r>
          </w:p>
        </w:tc>
        <w:tc>
          <w:tcPr>
            <w:tcW w:w="1417" w:type="dxa"/>
          </w:tcPr>
          <w:p w14:paraId="34093026" w14:textId="77777777" w:rsidR="00285EF0" w:rsidRPr="00BE211F" w:rsidRDefault="00285EF0" w:rsidP="00285EF0">
            <w:pPr>
              <w:rPr>
                <w:rFonts w:cs="Arial"/>
                <w:sz w:val="18"/>
                <w:szCs w:val="18"/>
              </w:rPr>
            </w:pPr>
            <w:r w:rsidRPr="00BE211F">
              <w:rPr>
                <w:rFonts w:cs="Arial"/>
                <w:sz w:val="18"/>
                <w:szCs w:val="18"/>
              </w:rPr>
              <w:t>Norway</w:t>
            </w:r>
          </w:p>
        </w:tc>
        <w:tc>
          <w:tcPr>
            <w:tcW w:w="1500" w:type="dxa"/>
          </w:tcPr>
          <w:p w14:paraId="5F88EC48" w14:textId="77777777" w:rsidR="00285EF0" w:rsidRPr="00BE211F" w:rsidRDefault="00285EF0" w:rsidP="00285EF0">
            <w:pPr>
              <w:rPr>
                <w:rFonts w:cs="Arial"/>
                <w:sz w:val="18"/>
                <w:szCs w:val="18"/>
              </w:rPr>
            </w:pPr>
            <w:r w:rsidRPr="00BE211F">
              <w:rPr>
                <w:rFonts w:cs="Arial"/>
                <w:sz w:val="18"/>
                <w:szCs w:val="18"/>
              </w:rPr>
              <w:t>Imported</w:t>
            </w:r>
          </w:p>
        </w:tc>
        <w:tc>
          <w:tcPr>
            <w:tcW w:w="1134" w:type="dxa"/>
          </w:tcPr>
          <w:p w14:paraId="22DD7521" w14:textId="77777777" w:rsidR="00285EF0" w:rsidRPr="00BE211F" w:rsidRDefault="00285EF0" w:rsidP="00285EF0">
            <w:pPr>
              <w:rPr>
                <w:rFonts w:cs="Arial"/>
                <w:sz w:val="18"/>
                <w:szCs w:val="18"/>
              </w:rPr>
            </w:pPr>
            <w:r w:rsidRPr="00BE211F">
              <w:rPr>
                <w:rFonts w:cs="Arial"/>
                <w:sz w:val="18"/>
                <w:szCs w:val="18"/>
              </w:rPr>
              <w:t>26</w:t>
            </w:r>
          </w:p>
        </w:tc>
        <w:tc>
          <w:tcPr>
            <w:tcW w:w="1417" w:type="dxa"/>
          </w:tcPr>
          <w:p w14:paraId="24E326D7"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3955D442"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2CBCACC3" w14:textId="77777777" w:rsidR="00285EF0" w:rsidRPr="00BE211F" w:rsidRDefault="00285EF0" w:rsidP="00285EF0">
            <w:pPr>
              <w:rPr>
                <w:rFonts w:cs="Arial"/>
                <w:sz w:val="18"/>
                <w:szCs w:val="18"/>
              </w:rPr>
            </w:pPr>
            <w:r w:rsidRPr="00BE211F">
              <w:rPr>
                <w:rFonts w:cs="Arial"/>
                <w:sz w:val="18"/>
                <w:szCs w:val="18"/>
              </w:rPr>
              <w:t>(Vestrheim et al. 2016)</w:t>
            </w:r>
          </w:p>
          <w:p w14:paraId="5D3C84F0" w14:textId="77777777" w:rsidR="00285EF0" w:rsidRPr="00BE211F" w:rsidRDefault="00285EF0" w:rsidP="00285EF0">
            <w:pPr>
              <w:rPr>
                <w:rFonts w:cs="Arial"/>
                <w:sz w:val="18"/>
                <w:szCs w:val="18"/>
              </w:rPr>
            </w:pPr>
          </w:p>
        </w:tc>
      </w:tr>
      <w:tr w:rsidR="00285EF0" w:rsidRPr="00BE211F" w14:paraId="27BC970E" w14:textId="77777777" w:rsidTr="00285EF0">
        <w:trPr>
          <w:cantSplit/>
        </w:trPr>
        <w:tc>
          <w:tcPr>
            <w:tcW w:w="1560" w:type="dxa"/>
          </w:tcPr>
          <w:p w14:paraId="19C743B5" w14:textId="77777777" w:rsidR="00285EF0" w:rsidRPr="00BE211F" w:rsidRDefault="00285EF0" w:rsidP="00285EF0">
            <w:pPr>
              <w:rPr>
                <w:rFonts w:cs="Arial"/>
                <w:sz w:val="18"/>
                <w:szCs w:val="18"/>
              </w:rPr>
            </w:pPr>
            <w:r w:rsidRPr="00BE211F">
              <w:rPr>
                <w:rFonts w:cs="Arial"/>
                <w:sz w:val="18"/>
                <w:szCs w:val="18"/>
              </w:rPr>
              <w:t>Leafy vegetables/ bagged salads</w:t>
            </w:r>
          </w:p>
        </w:tc>
        <w:tc>
          <w:tcPr>
            <w:tcW w:w="2045" w:type="dxa"/>
          </w:tcPr>
          <w:p w14:paraId="0C7D3AB8" w14:textId="77777777" w:rsidR="00285EF0" w:rsidRPr="00BE211F" w:rsidRDefault="00285EF0" w:rsidP="00285EF0">
            <w:pPr>
              <w:rPr>
                <w:rFonts w:cs="Arial"/>
                <w:i/>
                <w:sz w:val="18"/>
                <w:szCs w:val="18"/>
              </w:rPr>
            </w:pPr>
            <w:r w:rsidRPr="00BE211F">
              <w:rPr>
                <w:rFonts w:cs="Arial"/>
                <w:i/>
                <w:sz w:val="18"/>
                <w:szCs w:val="18"/>
              </w:rPr>
              <w:t>Listeria monocytogenes</w:t>
            </w:r>
          </w:p>
        </w:tc>
        <w:tc>
          <w:tcPr>
            <w:tcW w:w="850" w:type="dxa"/>
          </w:tcPr>
          <w:p w14:paraId="3B424EA8" w14:textId="77777777" w:rsidR="00285EF0" w:rsidRPr="00BE211F" w:rsidRDefault="00285EF0" w:rsidP="00285EF0">
            <w:pPr>
              <w:rPr>
                <w:rFonts w:cs="Arial"/>
                <w:sz w:val="18"/>
                <w:szCs w:val="18"/>
              </w:rPr>
            </w:pPr>
            <w:r w:rsidRPr="00BE211F">
              <w:rPr>
                <w:rFonts w:cs="Arial"/>
                <w:sz w:val="18"/>
                <w:szCs w:val="18"/>
              </w:rPr>
              <w:t>2015 - 2016</w:t>
            </w:r>
          </w:p>
        </w:tc>
        <w:tc>
          <w:tcPr>
            <w:tcW w:w="1417" w:type="dxa"/>
          </w:tcPr>
          <w:p w14:paraId="79D04424" w14:textId="77777777" w:rsidR="00285EF0" w:rsidRPr="00BE211F" w:rsidRDefault="00285EF0" w:rsidP="00285EF0">
            <w:pPr>
              <w:rPr>
                <w:rFonts w:cs="Arial"/>
                <w:sz w:val="18"/>
                <w:szCs w:val="18"/>
              </w:rPr>
            </w:pPr>
            <w:r w:rsidRPr="00BE211F">
              <w:rPr>
                <w:rFonts w:cs="Arial"/>
                <w:sz w:val="18"/>
                <w:szCs w:val="18"/>
              </w:rPr>
              <w:t>USA, Canada</w:t>
            </w:r>
          </w:p>
        </w:tc>
        <w:tc>
          <w:tcPr>
            <w:tcW w:w="1500" w:type="dxa"/>
          </w:tcPr>
          <w:p w14:paraId="45D3135C"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4D9A9B0B" w14:textId="77777777" w:rsidR="00285EF0" w:rsidRPr="00BE211F" w:rsidRDefault="00285EF0" w:rsidP="00285EF0">
            <w:pPr>
              <w:rPr>
                <w:rFonts w:cs="Arial"/>
                <w:sz w:val="18"/>
                <w:szCs w:val="18"/>
              </w:rPr>
            </w:pPr>
            <w:r w:rsidRPr="00BE211F">
              <w:rPr>
                <w:rFonts w:cs="Arial"/>
                <w:sz w:val="18"/>
                <w:szCs w:val="18"/>
              </w:rPr>
              <w:t>19 (1)</w:t>
            </w:r>
            <w:r w:rsidRPr="00BE211F">
              <w:rPr>
                <w:rFonts w:cs="Arial"/>
                <w:sz w:val="18"/>
                <w:szCs w:val="18"/>
              </w:rPr>
              <w:br/>
              <w:t>in USA</w:t>
            </w:r>
            <w:r w:rsidRPr="00BE211F">
              <w:rPr>
                <w:rFonts w:cs="Arial"/>
                <w:sz w:val="18"/>
                <w:szCs w:val="18"/>
              </w:rPr>
              <w:br/>
              <w:t>14 (3) in Canada</w:t>
            </w:r>
          </w:p>
        </w:tc>
        <w:tc>
          <w:tcPr>
            <w:tcW w:w="1417" w:type="dxa"/>
          </w:tcPr>
          <w:p w14:paraId="3F3AE10B" w14:textId="77777777" w:rsidR="00285EF0" w:rsidRPr="00BE211F" w:rsidRDefault="00285EF0" w:rsidP="00285EF0">
            <w:pPr>
              <w:rPr>
                <w:rFonts w:cs="Arial"/>
                <w:sz w:val="18"/>
                <w:szCs w:val="18"/>
              </w:rPr>
            </w:pPr>
            <w:r w:rsidRPr="00BE211F">
              <w:rPr>
                <w:rFonts w:cs="Arial"/>
                <w:sz w:val="18"/>
                <w:szCs w:val="18"/>
              </w:rPr>
              <w:t>E, L</w:t>
            </w:r>
          </w:p>
        </w:tc>
        <w:tc>
          <w:tcPr>
            <w:tcW w:w="2126" w:type="dxa"/>
          </w:tcPr>
          <w:p w14:paraId="50D839FD" w14:textId="77777777" w:rsidR="00285EF0" w:rsidRPr="00BE211F" w:rsidRDefault="00285EF0" w:rsidP="00285EF0">
            <w:pPr>
              <w:rPr>
                <w:rFonts w:cs="Arial"/>
                <w:sz w:val="18"/>
                <w:szCs w:val="18"/>
              </w:rPr>
            </w:pPr>
            <w:r w:rsidRPr="00BE211F">
              <w:rPr>
                <w:rFonts w:cs="Arial"/>
                <w:sz w:val="18"/>
                <w:szCs w:val="18"/>
              </w:rPr>
              <w:t>Multiple defects in facilities, hygiene, sanitation and process controls in the produce processing facility.</w:t>
            </w:r>
          </w:p>
        </w:tc>
        <w:tc>
          <w:tcPr>
            <w:tcW w:w="2127" w:type="dxa"/>
          </w:tcPr>
          <w:p w14:paraId="12357455" w14:textId="1645B10B" w:rsidR="00285EF0" w:rsidRPr="00BE211F" w:rsidRDefault="00285EF0" w:rsidP="00285EF0">
            <w:pPr>
              <w:rPr>
                <w:rFonts w:cs="Arial"/>
                <w:sz w:val="18"/>
                <w:szCs w:val="18"/>
              </w:rPr>
            </w:pPr>
            <w:r w:rsidRPr="00BE211F">
              <w:rPr>
                <w:rFonts w:cs="Arial"/>
                <w:sz w:val="18"/>
                <w:szCs w:val="18"/>
              </w:rPr>
              <w:t>(Public Health</w:t>
            </w:r>
            <w:r w:rsidR="00911B49">
              <w:rPr>
                <w:rFonts w:cs="Arial"/>
                <w:sz w:val="18"/>
                <w:szCs w:val="18"/>
              </w:rPr>
              <w:t xml:space="preserve"> Agency of Canada 2016; Self et </w:t>
            </w:r>
            <w:r w:rsidRPr="00BE211F">
              <w:rPr>
                <w:rFonts w:cs="Arial"/>
                <w:sz w:val="18"/>
                <w:szCs w:val="18"/>
              </w:rPr>
              <w:t>al. 2016; Self et al. 2019)</w:t>
            </w:r>
          </w:p>
        </w:tc>
      </w:tr>
      <w:tr w:rsidR="00285EF0" w:rsidRPr="00BE211F" w14:paraId="66FC8514" w14:textId="77777777" w:rsidTr="00285EF0">
        <w:trPr>
          <w:cantSplit/>
        </w:trPr>
        <w:tc>
          <w:tcPr>
            <w:tcW w:w="1560" w:type="dxa"/>
          </w:tcPr>
          <w:p w14:paraId="08FBB414" w14:textId="77777777" w:rsidR="00285EF0" w:rsidRPr="00BE211F" w:rsidRDefault="00285EF0" w:rsidP="00285EF0">
            <w:pPr>
              <w:rPr>
                <w:rFonts w:cs="Arial"/>
                <w:sz w:val="18"/>
                <w:szCs w:val="18"/>
              </w:rPr>
            </w:pPr>
            <w:r w:rsidRPr="00BE211F">
              <w:rPr>
                <w:rFonts w:cs="Arial"/>
                <w:sz w:val="18"/>
                <w:szCs w:val="18"/>
              </w:rPr>
              <w:t>Lettuce, green coral</w:t>
            </w:r>
          </w:p>
        </w:tc>
        <w:tc>
          <w:tcPr>
            <w:tcW w:w="2045" w:type="dxa"/>
          </w:tcPr>
          <w:p w14:paraId="3B381B63" w14:textId="77777777" w:rsidR="00285EF0" w:rsidRPr="00BE211F" w:rsidRDefault="00285EF0" w:rsidP="00285EF0">
            <w:pPr>
              <w:rPr>
                <w:rFonts w:cs="Arial"/>
                <w:sz w:val="18"/>
                <w:szCs w:val="18"/>
              </w:rPr>
            </w:pPr>
            <w:r w:rsidRPr="00BE211F">
              <w:rPr>
                <w:rFonts w:cs="Arial"/>
                <w:sz w:val="18"/>
                <w:szCs w:val="18"/>
              </w:rPr>
              <w:t>Norovirus</w:t>
            </w:r>
          </w:p>
        </w:tc>
        <w:tc>
          <w:tcPr>
            <w:tcW w:w="850" w:type="dxa"/>
          </w:tcPr>
          <w:p w14:paraId="727F80AD" w14:textId="77777777" w:rsidR="00285EF0" w:rsidRPr="00BE211F" w:rsidRDefault="00285EF0" w:rsidP="00285EF0">
            <w:pPr>
              <w:rPr>
                <w:rFonts w:cs="Arial"/>
                <w:sz w:val="18"/>
                <w:szCs w:val="18"/>
              </w:rPr>
            </w:pPr>
            <w:r w:rsidRPr="00BE211F">
              <w:rPr>
                <w:rFonts w:cs="Arial"/>
                <w:sz w:val="18"/>
                <w:szCs w:val="18"/>
              </w:rPr>
              <w:t>2016</w:t>
            </w:r>
          </w:p>
        </w:tc>
        <w:tc>
          <w:tcPr>
            <w:tcW w:w="1417" w:type="dxa"/>
          </w:tcPr>
          <w:p w14:paraId="20785347" w14:textId="77777777" w:rsidR="00285EF0" w:rsidRPr="00BE211F" w:rsidRDefault="00285EF0" w:rsidP="00285EF0">
            <w:pPr>
              <w:rPr>
                <w:rFonts w:cs="Arial"/>
                <w:sz w:val="18"/>
                <w:szCs w:val="18"/>
              </w:rPr>
            </w:pPr>
            <w:r w:rsidRPr="00BE211F">
              <w:rPr>
                <w:rFonts w:cs="Arial"/>
                <w:sz w:val="18"/>
                <w:szCs w:val="18"/>
              </w:rPr>
              <w:t>Denmark</w:t>
            </w:r>
          </w:p>
        </w:tc>
        <w:tc>
          <w:tcPr>
            <w:tcW w:w="1500" w:type="dxa"/>
          </w:tcPr>
          <w:p w14:paraId="431F89F5" w14:textId="77777777" w:rsidR="00285EF0" w:rsidRPr="00BE211F" w:rsidRDefault="00285EF0" w:rsidP="00285EF0">
            <w:pPr>
              <w:rPr>
                <w:rFonts w:cs="Arial"/>
                <w:sz w:val="18"/>
                <w:szCs w:val="18"/>
              </w:rPr>
            </w:pPr>
            <w:r w:rsidRPr="00BE211F">
              <w:rPr>
                <w:rFonts w:cs="Arial"/>
                <w:sz w:val="18"/>
                <w:szCs w:val="18"/>
              </w:rPr>
              <w:t>France</w:t>
            </w:r>
          </w:p>
        </w:tc>
        <w:tc>
          <w:tcPr>
            <w:tcW w:w="1134" w:type="dxa"/>
          </w:tcPr>
          <w:p w14:paraId="2BFC5A91" w14:textId="77777777" w:rsidR="00285EF0" w:rsidRPr="00BE211F" w:rsidRDefault="00285EF0" w:rsidP="00285EF0">
            <w:pPr>
              <w:rPr>
                <w:rFonts w:cs="Arial"/>
                <w:sz w:val="18"/>
                <w:szCs w:val="18"/>
              </w:rPr>
            </w:pPr>
            <w:r w:rsidRPr="00BE211F">
              <w:rPr>
                <w:rFonts w:cs="Arial"/>
                <w:sz w:val="18"/>
                <w:szCs w:val="18"/>
              </w:rPr>
              <w:t>412</w:t>
            </w:r>
          </w:p>
        </w:tc>
        <w:tc>
          <w:tcPr>
            <w:tcW w:w="1417" w:type="dxa"/>
          </w:tcPr>
          <w:p w14:paraId="0B2B28FF" w14:textId="77777777" w:rsidR="00285EF0" w:rsidRPr="00BE211F" w:rsidRDefault="00285EF0" w:rsidP="00285EF0">
            <w:pPr>
              <w:rPr>
                <w:rFonts w:cs="Arial"/>
                <w:sz w:val="18"/>
                <w:szCs w:val="18"/>
              </w:rPr>
            </w:pPr>
            <w:r w:rsidRPr="00BE211F">
              <w:rPr>
                <w:rFonts w:cs="Arial"/>
                <w:sz w:val="18"/>
                <w:szCs w:val="18"/>
              </w:rPr>
              <w:t>E, L</w:t>
            </w:r>
          </w:p>
        </w:tc>
        <w:tc>
          <w:tcPr>
            <w:tcW w:w="2126" w:type="dxa"/>
          </w:tcPr>
          <w:p w14:paraId="11D07A95"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05FB6599" w14:textId="77777777" w:rsidR="00285EF0" w:rsidRPr="00BE211F" w:rsidRDefault="00285EF0" w:rsidP="00285EF0">
            <w:pPr>
              <w:rPr>
                <w:rFonts w:cs="Arial"/>
                <w:sz w:val="18"/>
                <w:szCs w:val="18"/>
              </w:rPr>
            </w:pPr>
            <w:r w:rsidRPr="00BE211F">
              <w:rPr>
                <w:rFonts w:cs="Arial"/>
                <w:sz w:val="18"/>
                <w:szCs w:val="18"/>
              </w:rPr>
              <w:t>(Müller et al. 2016)</w:t>
            </w:r>
          </w:p>
          <w:p w14:paraId="18754C4B" w14:textId="77777777" w:rsidR="00285EF0" w:rsidRPr="00BE211F" w:rsidRDefault="00285EF0" w:rsidP="00285EF0">
            <w:pPr>
              <w:rPr>
                <w:rFonts w:cs="Arial"/>
                <w:sz w:val="18"/>
                <w:szCs w:val="18"/>
              </w:rPr>
            </w:pPr>
          </w:p>
        </w:tc>
      </w:tr>
      <w:tr w:rsidR="00285EF0" w:rsidRPr="00BE211F" w14:paraId="078A628D" w14:textId="77777777" w:rsidTr="00285EF0">
        <w:trPr>
          <w:cantSplit/>
        </w:trPr>
        <w:tc>
          <w:tcPr>
            <w:tcW w:w="1560" w:type="dxa"/>
          </w:tcPr>
          <w:p w14:paraId="008A3413" w14:textId="77777777" w:rsidR="00285EF0" w:rsidRPr="00BE211F" w:rsidRDefault="00285EF0" w:rsidP="00285EF0">
            <w:pPr>
              <w:rPr>
                <w:rFonts w:cs="Arial"/>
                <w:sz w:val="18"/>
                <w:szCs w:val="18"/>
              </w:rPr>
            </w:pPr>
            <w:r w:rsidRPr="00BE211F">
              <w:rPr>
                <w:rFonts w:cs="Arial"/>
                <w:sz w:val="18"/>
                <w:szCs w:val="18"/>
              </w:rPr>
              <w:t>Rocket</w:t>
            </w:r>
          </w:p>
        </w:tc>
        <w:tc>
          <w:tcPr>
            <w:tcW w:w="2045" w:type="dxa"/>
          </w:tcPr>
          <w:p w14:paraId="50FC6E48" w14:textId="77777777" w:rsidR="00285EF0" w:rsidRPr="00BE211F" w:rsidRDefault="00285EF0" w:rsidP="00285EF0">
            <w:pPr>
              <w:rPr>
                <w:rFonts w:cs="Arial"/>
                <w:i/>
                <w:sz w:val="18"/>
                <w:szCs w:val="18"/>
              </w:rPr>
            </w:pPr>
            <w:r w:rsidRPr="00BE211F">
              <w:rPr>
                <w:rFonts w:cs="Arial"/>
                <w:i/>
                <w:sz w:val="18"/>
                <w:szCs w:val="18"/>
              </w:rPr>
              <w:t xml:space="preserve">E. coli </w:t>
            </w:r>
            <w:r w:rsidRPr="00BE211F">
              <w:rPr>
                <w:rFonts w:cs="Arial"/>
                <w:sz w:val="18"/>
                <w:szCs w:val="18"/>
              </w:rPr>
              <w:t>(EPEC &amp; non-O157 STEC)</w:t>
            </w:r>
          </w:p>
        </w:tc>
        <w:tc>
          <w:tcPr>
            <w:tcW w:w="850" w:type="dxa"/>
          </w:tcPr>
          <w:p w14:paraId="7F1F8E87" w14:textId="77777777" w:rsidR="00285EF0" w:rsidRPr="00BE211F" w:rsidRDefault="00285EF0" w:rsidP="00285EF0">
            <w:pPr>
              <w:rPr>
                <w:rFonts w:cs="Arial"/>
                <w:sz w:val="18"/>
                <w:szCs w:val="18"/>
              </w:rPr>
            </w:pPr>
            <w:r w:rsidRPr="00BE211F">
              <w:rPr>
                <w:rFonts w:cs="Arial"/>
                <w:sz w:val="18"/>
                <w:szCs w:val="18"/>
              </w:rPr>
              <w:t>2016</w:t>
            </w:r>
          </w:p>
        </w:tc>
        <w:tc>
          <w:tcPr>
            <w:tcW w:w="1417" w:type="dxa"/>
          </w:tcPr>
          <w:p w14:paraId="78ABDC8E" w14:textId="77777777" w:rsidR="00285EF0" w:rsidRPr="00BE211F" w:rsidRDefault="00285EF0" w:rsidP="00285EF0">
            <w:pPr>
              <w:rPr>
                <w:rFonts w:cs="Arial"/>
                <w:sz w:val="18"/>
                <w:szCs w:val="18"/>
              </w:rPr>
            </w:pPr>
            <w:r w:rsidRPr="00BE211F">
              <w:rPr>
                <w:rFonts w:cs="Arial"/>
                <w:sz w:val="18"/>
                <w:szCs w:val="18"/>
              </w:rPr>
              <w:t>Finland</w:t>
            </w:r>
          </w:p>
        </w:tc>
        <w:tc>
          <w:tcPr>
            <w:tcW w:w="1500" w:type="dxa"/>
          </w:tcPr>
          <w:p w14:paraId="74393C2D" w14:textId="77777777" w:rsidR="00285EF0" w:rsidRPr="00BE211F" w:rsidRDefault="00285EF0" w:rsidP="00285EF0">
            <w:pPr>
              <w:rPr>
                <w:rFonts w:cs="Arial"/>
                <w:sz w:val="18"/>
                <w:szCs w:val="18"/>
              </w:rPr>
            </w:pPr>
            <w:r w:rsidRPr="00BE211F">
              <w:rPr>
                <w:rFonts w:cs="Arial"/>
                <w:sz w:val="18"/>
                <w:szCs w:val="18"/>
              </w:rPr>
              <w:t>Denmark</w:t>
            </w:r>
          </w:p>
        </w:tc>
        <w:tc>
          <w:tcPr>
            <w:tcW w:w="1134" w:type="dxa"/>
          </w:tcPr>
          <w:p w14:paraId="52C68FA5" w14:textId="77777777" w:rsidR="00285EF0" w:rsidRPr="00BE211F" w:rsidRDefault="00285EF0" w:rsidP="00285EF0">
            <w:pPr>
              <w:rPr>
                <w:rFonts w:cs="Arial"/>
                <w:sz w:val="18"/>
                <w:szCs w:val="18"/>
              </w:rPr>
            </w:pPr>
            <w:r w:rsidRPr="00BE211F">
              <w:rPr>
                <w:rFonts w:cs="Arial"/>
                <w:sz w:val="18"/>
                <w:szCs w:val="18"/>
              </w:rPr>
              <w:t>237</w:t>
            </w:r>
          </w:p>
        </w:tc>
        <w:tc>
          <w:tcPr>
            <w:tcW w:w="1417" w:type="dxa"/>
          </w:tcPr>
          <w:p w14:paraId="26818C2D" w14:textId="77777777" w:rsidR="00285EF0" w:rsidRPr="00BE211F" w:rsidRDefault="00285EF0" w:rsidP="00285EF0">
            <w:pPr>
              <w:rPr>
                <w:rFonts w:cs="Arial"/>
                <w:sz w:val="18"/>
                <w:szCs w:val="18"/>
              </w:rPr>
            </w:pPr>
            <w:r w:rsidRPr="00BE211F">
              <w:rPr>
                <w:rFonts w:cs="Arial"/>
                <w:sz w:val="18"/>
                <w:szCs w:val="18"/>
              </w:rPr>
              <w:t>E, L</w:t>
            </w:r>
          </w:p>
        </w:tc>
        <w:tc>
          <w:tcPr>
            <w:tcW w:w="2126" w:type="dxa"/>
          </w:tcPr>
          <w:p w14:paraId="52EB6F04"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2D0ED009" w14:textId="77777777" w:rsidR="00285EF0" w:rsidRPr="00BE211F" w:rsidRDefault="00285EF0" w:rsidP="00285EF0">
            <w:pPr>
              <w:rPr>
                <w:rFonts w:cs="Arial"/>
                <w:sz w:val="18"/>
                <w:szCs w:val="18"/>
              </w:rPr>
            </w:pPr>
            <w:r w:rsidRPr="00BE211F">
              <w:rPr>
                <w:rFonts w:cs="Arial"/>
                <w:sz w:val="18"/>
                <w:szCs w:val="18"/>
              </w:rPr>
              <w:t>(Kinnula et al. 2018)</w:t>
            </w:r>
          </w:p>
          <w:p w14:paraId="2C4FAC1B" w14:textId="77777777" w:rsidR="00285EF0" w:rsidRPr="00BE211F" w:rsidRDefault="00285EF0" w:rsidP="00285EF0">
            <w:pPr>
              <w:rPr>
                <w:rFonts w:cs="Arial"/>
                <w:sz w:val="18"/>
                <w:szCs w:val="18"/>
              </w:rPr>
            </w:pPr>
          </w:p>
        </w:tc>
      </w:tr>
      <w:tr w:rsidR="00285EF0" w:rsidRPr="00BE211F" w14:paraId="196EB227" w14:textId="77777777" w:rsidTr="00285EF0">
        <w:trPr>
          <w:cantSplit/>
        </w:trPr>
        <w:tc>
          <w:tcPr>
            <w:tcW w:w="1560" w:type="dxa"/>
          </w:tcPr>
          <w:p w14:paraId="62F36D6C" w14:textId="77777777" w:rsidR="00285EF0" w:rsidRPr="00BE211F" w:rsidRDefault="00285EF0" w:rsidP="00285EF0">
            <w:pPr>
              <w:rPr>
                <w:rFonts w:cs="Arial"/>
                <w:sz w:val="18"/>
                <w:szCs w:val="18"/>
              </w:rPr>
            </w:pPr>
            <w:r w:rsidRPr="00BE211F">
              <w:rPr>
                <w:rFonts w:cs="Arial"/>
                <w:sz w:val="18"/>
                <w:szCs w:val="18"/>
              </w:rPr>
              <w:t>Lettuce, romaine</w:t>
            </w:r>
          </w:p>
        </w:tc>
        <w:tc>
          <w:tcPr>
            <w:tcW w:w="2045" w:type="dxa"/>
          </w:tcPr>
          <w:p w14:paraId="2FB9BCE6" w14:textId="77777777" w:rsidR="00285EF0" w:rsidRPr="00BE211F" w:rsidRDefault="00285EF0" w:rsidP="00285EF0">
            <w:pPr>
              <w:rPr>
                <w:rFonts w:cs="Arial"/>
                <w:i/>
                <w:sz w:val="18"/>
                <w:szCs w:val="18"/>
              </w:rPr>
            </w:pPr>
            <w:r w:rsidRPr="00BE211F">
              <w:rPr>
                <w:rFonts w:cs="Arial"/>
                <w:i/>
                <w:sz w:val="18"/>
                <w:szCs w:val="18"/>
              </w:rPr>
              <w:t xml:space="preserve">E. coli </w:t>
            </w:r>
            <w:r w:rsidRPr="00BE211F">
              <w:rPr>
                <w:rFonts w:cs="Arial"/>
                <w:sz w:val="18"/>
                <w:szCs w:val="18"/>
              </w:rPr>
              <w:t>O157:H7</w:t>
            </w:r>
          </w:p>
        </w:tc>
        <w:tc>
          <w:tcPr>
            <w:tcW w:w="850" w:type="dxa"/>
          </w:tcPr>
          <w:p w14:paraId="03909648" w14:textId="77777777" w:rsidR="00285EF0" w:rsidRPr="00BE211F" w:rsidRDefault="00285EF0" w:rsidP="00285EF0">
            <w:pPr>
              <w:rPr>
                <w:rFonts w:cs="Arial"/>
                <w:sz w:val="18"/>
                <w:szCs w:val="18"/>
              </w:rPr>
            </w:pPr>
            <w:r w:rsidRPr="00BE211F">
              <w:rPr>
                <w:rFonts w:cs="Arial"/>
                <w:sz w:val="18"/>
                <w:szCs w:val="18"/>
              </w:rPr>
              <w:t>2018</w:t>
            </w:r>
          </w:p>
        </w:tc>
        <w:tc>
          <w:tcPr>
            <w:tcW w:w="1417" w:type="dxa"/>
          </w:tcPr>
          <w:p w14:paraId="5CE1E9A6" w14:textId="77777777" w:rsidR="00285EF0" w:rsidRPr="00BE211F" w:rsidRDefault="00285EF0" w:rsidP="00285EF0">
            <w:pPr>
              <w:rPr>
                <w:rFonts w:cs="Arial"/>
                <w:sz w:val="18"/>
                <w:szCs w:val="18"/>
              </w:rPr>
            </w:pPr>
            <w:r w:rsidRPr="00BE211F">
              <w:rPr>
                <w:rFonts w:cs="Arial"/>
                <w:sz w:val="18"/>
                <w:szCs w:val="18"/>
              </w:rPr>
              <w:t>USA, Canada</w:t>
            </w:r>
          </w:p>
        </w:tc>
        <w:tc>
          <w:tcPr>
            <w:tcW w:w="1500" w:type="dxa"/>
          </w:tcPr>
          <w:p w14:paraId="61CD668F"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1FE47350" w14:textId="77777777" w:rsidR="00285EF0" w:rsidRPr="00BE211F" w:rsidRDefault="00285EF0" w:rsidP="00285EF0">
            <w:pPr>
              <w:rPr>
                <w:rFonts w:cs="Arial"/>
                <w:sz w:val="18"/>
                <w:szCs w:val="18"/>
              </w:rPr>
            </w:pPr>
            <w:r w:rsidRPr="00BE211F">
              <w:rPr>
                <w:rFonts w:cs="Arial"/>
                <w:sz w:val="18"/>
                <w:szCs w:val="18"/>
              </w:rPr>
              <w:t>210 (5) in USA</w:t>
            </w:r>
            <w:r w:rsidRPr="00BE211F">
              <w:rPr>
                <w:rFonts w:cs="Arial"/>
                <w:sz w:val="18"/>
                <w:szCs w:val="18"/>
              </w:rPr>
              <w:br/>
              <w:t>8 in Canada</w:t>
            </w:r>
          </w:p>
        </w:tc>
        <w:tc>
          <w:tcPr>
            <w:tcW w:w="1417" w:type="dxa"/>
          </w:tcPr>
          <w:p w14:paraId="1A28851A" w14:textId="77777777" w:rsidR="00285EF0" w:rsidRPr="00BE211F" w:rsidRDefault="00285EF0" w:rsidP="00285EF0">
            <w:pPr>
              <w:rPr>
                <w:rFonts w:cs="Arial"/>
                <w:sz w:val="18"/>
                <w:szCs w:val="18"/>
              </w:rPr>
            </w:pPr>
            <w:r w:rsidRPr="00BE211F">
              <w:rPr>
                <w:rFonts w:cs="Arial"/>
                <w:sz w:val="18"/>
                <w:szCs w:val="18"/>
              </w:rPr>
              <w:t>L</w:t>
            </w:r>
          </w:p>
        </w:tc>
        <w:tc>
          <w:tcPr>
            <w:tcW w:w="2126" w:type="dxa"/>
          </w:tcPr>
          <w:p w14:paraId="1F870366" w14:textId="77777777" w:rsidR="00285EF0" w:rsidRPr="00BE211F" w:rsidRDefault="00285EF0" w:rsidP="00285EF0">
            <w:pPr>
              <w:rPr>
                <w:rFonts w:cs="Arial"/>
                <w:sz w:val="18"/>
                <w:szCs w:val="18"/>
              </w:rPr>
            </w:pPr>
            <w:r w:rsidRPr="00BE211F">
              <w:rPr>
                <w:rFonts w:cs="Arial"/>
                <w:sz w:val="18"/>
                <w:szCs w:val="18"/>
              </w:rPr>
              <w:t>Outbreak strain identified (by WGS) in canal water used to irrigate and dilute crop protection chemicals applied by aerial and land-based sprays on farms identified in trace back.</w:t>
            </w:r>
          </w:p>
        </w:tc>
        <w:tc>
          <w:tcPr>
            <w:tcW w:w="2127" w:type="dxa"/>
          </w:tcPr>
          <w:p w14:paraId="199A2870" w14:textId="173DEABA" w:rsidR="00285EF0" w:rsidRPr="00BE211F" w:rsidRDefault="00911B49" w:rsidP="00285EF0">
            <w:pPr>
              <w:rPr>
                <w:rFonts w:cs="Arial"/>
                <w:sz w:val="18"/>
                <w:szCs w:val="18"/>
              </w:rPr>
            </w:pPr>
            <w:r>
              <w:rPr>
                <w:rFonts w:cs="Arial"/>
                <w:sz w:val="18"/>
                <w:szCs w:val="18"/>
              </w:rPr>
              <w:t>(CDC 2018b; FDA </w:t>
            </w:r>
            <w:r w:rsidR="00285EF0" w:rsidRPr="00BE211F">
              <w:rPr>
                <w:rFonts w:cs="Arial"/>
                <w:sz w:val="18"/>
                <w:szCs w:val="18"/>
              </w:rPr>
              <w:t>2018a; Public Health Agency of Canada 2018)</w:t>
            </w:r>
          </w:p>
          <w:p w14:paraId="4A0E15FF" w14:textId="77777777" w:rsidR="00285EF0" w:rsidRPr="00BE211F" w:rsidRDefault="00285EF0" w:rsidP="00285EF0">
            <w:pPr>
              <w:rPr>
                <w:rFonts w:cs="Arial"/>
                <w:sz w:val="18"/>
                <w:szCs w:val="18"/>
              </w:rPr>
            </w:pPr>
          </w:p>
        </w:tc>
      </w:tr>
      <w:tr w:rsidR="00285EF0" w:rsidRPr="00BE211F" w14:paraId="3F2D03FD" w14:textId="77777777" w:rsidTr="00285EF0">
        <w:trPr>
          <w:cantSplit/>
        </w:trPr>
        <w:tc>
          <w:tcPr>
            <w:tcW w:w="1560" w:type="dxa"/>
          </w:tcPr>
          <w:p w14:paraId="46B545D4" w14:textId="77777777" w:rsidR="00285EF0" w:rsidRPr="00BE211F" w:rsidRDefault="00285EF0" w:rsidP="00285EF0">
            <w:pPr>
              <w:rPr>
                <w:rFonts w:cs="Arial"/>
                <w:sz w:val="18"/>
                <w:szCs w:val="18"/>
              </w:rPr>
            </w:pPr>
            <w:r w:rsidRPr="00BE211F">
              <w:rPr>
                <w:rFonts w:cs="Arial"/>
                <w:sz w:val="18"/>
                <w:szCs w:val="18"/>
              </w:rPr>
              <w:t>Lettuce, romaine</w:t>
            </w:r>
          </w:p>
        </w:tc>
        <w:tc>
          <w:tcPr>
            <w:tcW w:w="2045" w:type="dxa"/>
          </w:tcPr>
          <w:p w14:paraId="3344B0AE" w14:textId="77777777" w:rsidR="00285EF0" w:rsidRPr="00BE211F" w:rsidRDefault="00285EF0" w:rsidP="00285EF0">
            <w:pPr>
              <w:rPr>
                <w:rFonts w:cs="Arial"/>
                <w:i/>
                <w:sz w:val="18"/>
                <w:szCs w:val="18"/>
              </w:rPr>
            </w:pPr>
            <w:r w:rsidRPr="00BE211F">
              <w:rPr>
                <w:rFonts w:cs="Arial"/>
                <w:i/>
                <w:sz w:val="18"/>
                <w:szCs w:val="18"/>
              </w:rPr>
              <w:t xml:space="preserve">E. coli </w:t>
            </w:r>
            <w:r w:rsidRPr="00BE211F">
              <w:rPr>
                <w:rFonts w:cs="Arial"/>
                <w:sz w:val="18"/>
                <w:szCs w:val="18"/>
              </w:rPr>
              <w:t>O157:H7</w:t>
            </w:r>
          </w:p>
        </w:tc>
        <w:tc>
          <w:tcPr>
            <w:tcW w:w="850" w:type="dxa"/>
          </w:tcPr>
          <w:p w14:paraId="6D3AD4CE" w14:textId="77777777" w:rsidR="00285EF0" w:rsidRPr="00BE211F" w:rsidRDefault="00285EF0" w:rsidP="00285EF0">
            <w:pPr>
              <w:rPr>
                <w:rFonts w:cs="Arial"/>
                <w:sz w:val="18"/>
                <w:szCs w:val="18"/>
              </w:rPr>
            </w:pPr>
            <w:r w:rsidRPr="00BE211F">
              <w:rPr>
                <w:rFonts w:cs="Arial"/>
                <w:sz w:val="18"/>
                <w:szCs w:val="18"/>
              </w:rPr>
              <w:t>2018</w:t>
            </w:r>
          </w:p>
        </w:tc>
        <w:tc>
          <w:tcPr>
            <w:tcW w:w="1417" w:type="dxa"/>
          </w:tcPr>
          <w:p w14:paraId="0502DBA0" w14:textId="77777777" w:rsidR="00285EF0" w:rsidRPr="00BE211F" w:rsidRDefault="00285EF0" w:rsidP="00285EF0">
            <w:pPr>
              <w:rPr>
                <w:rFonts w:cs="Arial"/>
                <w:sz w:val="18"/>
                <w:szCs w:val="18"/>
              </w:rPr>
            </w:pPr>
            <w:r w:rsidRPr="00BE211F">
              <w:rPr>
                <w:rFonts w:cs="Arial"/>
                <w:sz w:val="18"/>
                <w:szCs w:val="18"/>
              </w:rPr>
              <w:t>USA, Canada</w:t>
            </w:r>
          </w:p>
        </w:tc>
        <w:tc>
          <w:tcPr>
            <w:tcW w:w="1500" w:type="dxa"/>
          </w:tcPr>
          <w:p w14:paraId="59B0351B"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57F23E8C" w14:textId="77777777" w:rsidR="00285EF0" w:rsidRPr="00BE211F" w:rsidRDefault="00285EF0" w:rsidP="00285EF0">
            <w:pPr>
              <w:rPr>
                <w:rFonts w:cs="Arial"/>
                <w:sz w:val="18"/>
                <w:szCs w:val="18"/>
              </w:rPr>
            </w:pPr>
            <w:r w:rsidRPr="00BE211F">
              <w:rPr>
                <w:rFonts w:cs="Arial"/>
                <w:sz w:val="18"/>
                <w:szCs w:val="18"/>
              </w:rPr>
              <w:t>62 in USA</w:t>
            </w:r>
            <w:r w:rsidRPr="00BE211F">
              <w:rPr>
                <w:rFonts w:cs="Arial"/>
                <w:sz w:val="18"/>
                <w:szCs w:val="18"/>
              </w:rPr>
              <w:br/>
              <w:t>29 in Canada</w:t>
            </w:r>
          </w:p>
        </w:tc>
        <w:tc>
          <w:tcPr>
            <w:tcW w:w="1417" w:type="dxa"/>
          </w:tcPr>
          <w:p w14:paraId="035676BA" w14:textId="77777777" w:rsidR="00285EF0" w:rsidRPr="00BE211F" w:rsidRDefault="00285EF0" w:rsidP="00285EF0">
            <w:pPr>
              <w:rPr>
                <w:rFonts w:cs="Arial"/>
                <w:sz w:val="18"/>
                <w:szCs w:val="18"/>
              </w:rPr>
            </w:pPr>
            <w:r w:rsidRPr="00BE211F">
              <w:rPr>
                <w:rFonts w:cs="Arial"/>
                <w:sz w:val="18"/>
                <w:szCs w:val="18"/>
              </w:rPr>
              <w:t>L</w:t>
            </w:r>
          </w:p>
        </w:tc>
        <w:tc>
          <w:tcPr>
            <w:tcW w:w="2126" w:type="dxa"/>
          </w:tcPr>
          <w:p w14:paraId="27156655" w14:textId="77777777" w:rsidR="00285EF0" w:rsidRPr="00BE211F" w:rsidRDefault="00285EF0" w:rsidP="00285EF0">
            <w:pPr>
              <w:rPr>
                <w:rFonts w:cs="Arial"/>
                <w:sz w:val="18"/>
                <w:szCs w:val="18"/>
              </w:rPr>
            </w:pPr>
            <w:r w:rsidRPr="00BE211F">
              <w:rPr>
                <w:rFonts w:cs="Arial"/>
                <w:sz w:val="18"/>
                <w:szCs w:val="18"/>
              </w:rPr>
              <w:t>E. coli O157:H7 closely related (by WGS) to outbreak strain found in sediment in a water reservoir on a farm identified in trace back.</w:t>
            </w:r>
          </w:p>
        </w:tc>
        <w:tc>
          <w:tcPr>
            <w:tcW w:w="2127" w:type="dxa"/>
          </w:tcPr>
          <w:p w14:paraId="7B039D86" w14:textId="1239B9FF" w:rsidR="00285EF0" w:rsidRPr="00BE211F" w:rsidRDefault="00911B49" w:rsidP="00285EF0">
            <w:pPr>
              <w:rPr>
                <w:rFonts w:cs="Arial"/>
                <w:sz w:val="18"/>
                <w:szCs w:val="18"/>
              </w:rPr>
            </w:pPr>
            <w:r>
              <w:rPr>
                <w:rFonts w:cs="Arial"/>
                <w:sz w:val="18"/>
                <w:szCs w:val="18"/>
              </w:rPr>
              <w:t>(CDC 2019b; FDA </w:t>
            </w:r>
            <w:r w:rsidR="00285EF0" w:rsidRPr="00BE211F">
              <w:rPr>
                <w:rFonts w:cs="Arial"/>
                <w:sz w:val="18"/>
                <w:szCs w:val="18"/>
              </w:rPr>
              <w:t>2019; Public Health Agency of Canada 2019)</w:t>
            </w:r>
          </w:p>
          <w:p w14:paraId="54BF04EE" w14:textId="77777777" w:rsidR="00285EF0" w:rsidRPr="00BE211F" w:rsidRDefault="00285EF0" w:rsidP="00285EF0">
            <w:pPr>
              <w:rPr>
                <w:rFonts w:cs="Arial"/>
                <w:sz w:val="18"/>
                <w:szCs w:val="18"/>
              </w:rPr>
            </w:pPr>
          </w:p>
        </w:tc>
      </w:tr>
      <w:tr w:rsidR="00285EF0" w:rsidRPr="00BE211F" w14:paraId="1A2EB949" w14:textId="77777777" w:rsidTr="00285EF0">
        <w:trPr>
          <w:cantSplit/>
        </w:trPr>
        <w:tc>
          <w:tcPr>
            <w:tcW w:w="1560" w:type="dxa"/>
          </w:tcPr>
          <w:p w14:paraId="3CFEDF78" w14:textId="77777777" w:rsidR="00285EF0" w:rsidRPr="00BE211F" w:rsidRDefault="00285EF0" w:rsidP="00285EF0">
            <w:pPr>
              <w:rPr>
                <w:rFonts w:cs="Arial"/>
                <w:sz w:val="18"/>
                <w:szCs w:val="18"/>
              </w:rPr>
            </w:pPr>
            <w:r w:rsidRPr="00BE211F">
              <w:rPr>
                <w:rFonts w:cs="Arial"/>
                <w:sz w:val="18"/>
                <w:szCs w:val="18"/>
              </w:rPr>
              <w:t>Packaged salad (romaine lettuce and carrots)</w:t>
            </w:r>
          </w:p>
        </w:tc>
        <w:tc>
          <w:tcPr>
            <w:tcW w:w="2045" w:type="dxa"/>
          </w:tcPr>
          <w:p w14:paraId="18CFE147" w14:textId="77777777" w:rsidR="00285EF0" w:rsidRPr="00BE211F" w:rsidRDefault="00285EF0" w:rsidP="00285EF0">
            <w:pPr>
              <w:rPr>
                <w:rFonts w:cs="Arial"/>
                <w:i/>
                <w:sz w:val="18"/>
                <w:szCs w:val="18"/>
              </w:rPr>
            </w:pPr>
            <w:r w:rsidRPr="00BE211F">
              <w:rPr>
                <w:rFonts w:cs="Arial"/>
                <w:i/>
                <w:sz w:val="18"/>
                <w:szCs w:val="18"/>
              </w:rPr>
              <w:t>C. cayetanensis</w:t>
            </w:r>
          </w:p>
        </w:tc>
        <w:tc>
          <w:tcPr>
            <w:tcW w:w="850" w:type="dxa"/>
          </w:tcPr>
          <w:p w14:paraId="7A021CBB" w14:textId="77777777" w:rsidR="00285EF0" w:rsidRPr="00BE211F" w:rsidRDefault="00285EF0" w:rsidP="00285EF0">
            <w:pPr>
              <w:rPr>
                <w:rFonts w:cs="Arial"/>
                <w:sz w:val="18"/>
                <w:szCs w:val="18"/>
              </w:rPr>
            </w:pPr>
            <w:r w:rsidRPr="00BE211F">
              <w:rPr>
                <w:rFonts w:cs="Arial"/>
                <w:sz w:val="18"/>
                <w:szCs w:val="18"/>
              </w:rPr>
              <w:t>2018</w:t>
            </w:r>
          </w:p>
        </w:tc>
        <w:tc>
          <w:tcPr>
            <w:tcW w:w="1417" w:type="dxa"/>
          </w:tcPr>
          <w:p w14:paraId="3E153E20"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4FFD25C5"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3D9ECFBB" w14:textId="77777777" w:rsidR="00285EF0" w:rsidRPr="00BE211F" w:rsidRDefault="00285EF0" w:rsidP="00285EF0">
            <w:pPr>
              <w:rPr>
                <w:rFonts w:cs="Arial"/>
                <w:sz w:val="18"/>
                <w:szCs w:val="18"/>
              </w:rPr>
            </w:pPr>
            <w:r w:rsidRPr="00BE211F">
              <w:rPr>
                <w:rFonts w:cs="Arial"/>
                <w:sz w:val="18"/>
                <w:szCs w:val="18"/>
              </w:rPr>
              <w:t>511</w:t>
            </w:r>
          </w:p>
        </w:tc>
        <w:tc>
          <w:tcPr>
            <w:tcW w:w="1417" w:type="dxa"/>
          </w:tcPr>
          <w:p w14:paraId="1094189F" w14:textId="77777777" w:rsidR="00285EF0" w:rsidRPr="00BE211F" w:rsidRDefault="00285EF0" w:rsidP="00285EF0">
            <w:pPr>
              <w:rPr>
                <w:rFonts w:cs="Arial"/>
                <w:sz w:val="18"/>
                <w:szCs w:val="18"/>
              </w:rPr>
            </w:pPr>
            <w:r w:rsidRPr="00BE211F">
              <w:rPr>
                <w:rFonts w:cs="Arial"/>
                <w:sz w:val="18"/>
                <w:szCs w:val="18"/>
              </w:rPr>
              <w:t>L</w:t>
            </w:r>
          </w:p>
        </w:tc>
        <w:tc>
          <w:tcPr>
            <w:tcW w:w="2126" w:type="dxa"/>
          </w:tcPr>
          <w:p w14:paraId="1C813D84"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2521BBCF" w14:textId="4A7155C4" w:rsidR="00285EF0" w:rsidRPr="00BE211F" w:rsidRDefault="00285EF0" w:rsidP="00285EF0">
            <w:pPr>
              <w:rPr>
                <w:rFonts w:cs="Arial"/>
                <w:sz w:val="18"/>
                <w:szCs w:val="18"/>
              </w:rPr>
            </w:pPr>
            <w:r w:rsidRPr="00BE211F">
              <w:rPr>
                <w:rFonts w:cs="Arial"/>
                <w:sz w:val="18"/>
                <w:szCs w:val="18"/>
              </w:rPr>
              <w:t>(CDC 2018a;</w:t>
            </w:r>
            <w:r w:rsidR="00911B49">
              <w:rPr>
                <w:rFonts w:cs="Arial"/>
                <w:sz w:val="18"/>
                <w:szCs w:val="18"/>
              </w:rPr>
              <w:t xml:space="preserve"> FDA </w:t>
            </w:r>
            <w:r w:rsidRPr="00BE211F">
              <w:rPr>
                <w:rFonts w:cs="Arial"/>
                <w:sz w:val="18"/>
                <w:szCs w:val="18"/>
              </w:rPr>
              <w:t>2018b)</w:t>
            </w:r>
          </w:p>
        </w:tc>
      </w:tr>
      <w:tr w:rsidR="00285EF0" w:rsidRPr="00BE211F" w14:paraId="18C9FC3D" w14:textId="77777777" w:rsidTr="00285EF0">
        <w:trPr>
          <w:cantSplit/>
        </w:trPr>
        <w:tc>
          <w:tcPr>
            <w:tcW w:w="1560" w:type="dxa"/>
          </w:tcPr>
          <w:p w14:paraId="0D86EB22" w14:textId="77777777" w:rsidR="00285EF0" w:rsidRPr="00BE211F" w:rsidRDefault="00285EF0" w:rsidP="00285EF0">
            <w:pPr>
              <w:rPr>
                <w:rFonts w:cs="Arial"/>
                <w:sz w:val="18"/>
                <w:szCs w:val="18"/>
              </w:rPr>
            </w:pPr>
            <w:r w:rsidRPr="00BE211F">
              <w:rPr>
                <w:rFonts w:cs="Arial"/>
                <w:sz w:val="18"/>
                <w:szCs w:val="18"/>
              </w:rPr>
              <w:t>Spinach</w:t>
            </w:r>
          </w:p>
        </w:tc>
        <w:tc>
          <w:tcPr>
            <w:tcW w:w="2045" w:type="dxa"/>
          </w:tcPr>
          <w:p w14:paraId="0BF72104" w14:textId="77777777" w:rsidR="00285EF0" w:rsidRPr="00BE211F" w:rsidRDefault="00285EF0" w:rsidP="00285EF0">
            <w:pPr>
              <w:rPr>
                <w:rFonts w:cs="Arial"/>
                <w:i/>
                <w:sz w:val="18"/>
                <w:szCs w:val="18"/>
              </w:rPr>
            </w:pPr>
            <w:r w:rsidRPr="00BE211F">
              <w:rPr>
                <w:rFonts w:cs="Arial"/>
                <w:i/>
                <w:sz w:val="18"/>
                <w:szCs w:val="18"/>
              </w:rPr>
              <w:t>Yersinia enterocolitica</w:t>
            </w:r>
          </w:p>
        </w:tc>
        <w:tc>
          <w:tcPr>
            <w:tcW w:w="850" w:type="dxa"/>
          </w:tcPr>
          <w:p w14:paraId="22BA49A2" w14:textId="77777777" w:rsidR="00285EF0" w:rsidRPr="00BE211F" w:rsidRDefault="00285EF0" w:rsidP="00285EF0">
            <w:pPr>
              <w:rPr>
                <w:rFonts w:cs="Arial"/>
                <w:sz w:val="18"/>
                <w:szCs w:val="18"/>
              </w:rPr>
            </w:pPr>
            <w:r w:rsidRPr="00BE211F">
              <w:rPr>
                <w:rFonts w:cs="Arial"/>
                <w:sz w:val="18"/>
                <w:szCs w:val="18"/>
              </w:rPr>
              <w:t>2019</w:t>
            </w:r>
          </w:p>
        </w:tc>
        <w:tc>
          <w:tcPr>
            <w:tcW w:w="1417" w:type="dxa"/>
          </w:tcPr>
          <w:p w14:paraId="5FA781A6" w14:textId="77777777" w:rsidR="00285EF0" w:rsidRPr="00BE211F" w:rsidRDefault="00285EF0" w:rsidP="00285EF0">
            <w:pPr>
              <w:rPr>
                <w:rFonts w:cs="Arial"/>
                <w:sz w:val="18"/>
                <w:szCs w:val="18"/>
              </w:rPr>
            </w:pPr>
            <w:r w:rsidRPr="00BE211F">
              <w:rPr>
                <w:rFonts w:cs="Arial"/>
                <w:sz w:val="18"/>
                <w:szCs w:val="18"/>
              </w:rPr>
              <w:t>Denmark, Sweden</w:t>
            </w:r>
          </w:p>
        </w:tc>
        <w:tc>
          <w:tcPr>
            <w:tcW w:w="1500" w:type="dxa"/>
          </w:tcPr>
          <w:p w14:paraId="3825A72E" w14:textId="77777777" w:rsidR="00285EF0" w:rsidRPr="00BE211F" w:rsidRDefault="00285EF0" w:rsidP="00285EF0">
            <w:pPr>
              <w:rPr>
                <w:rFonts w:cs="Arial"/>
                <w:sz w:val="18"/>
                <w:szCs w:val="18"/>
              </w:rPr>
            </w:pPr>
            <w:r w:rsidRPr="00BE211F">
              <w:rPr>
                <w:rFonts w:cs="Arial"/>
                <w:sz w:val="18"/>
                <w:szCs w:val="18"/>
              </w:rPr>
              <w:t>Italy</w:t>
            </w:r>
          </w:p>
        </w:tc>
        <w:tc>
          <w:tcPr>
            <w:tcW w:w="1134" w:type="dxa"/>
          </w:tcPr>
          <w:p w14:paraId="178B5C71" w14:textId="77777777" w:rsidR="00285EF0" w:rsidRPr="00BE211F" w:rsidRDefault="00285EF0" w:rsidP="00285EF0">
            <w:pPr>
              <w:rPr>
                <w:rFonts w:cs="Arial"/>
                <w:sz w:val="18"/>
                <w:szCs w:val="18"/>
              </w:rPr>
            </w:pPr>
            <w:r w:rsidRPr="00BE211F">
              <w:rPr>
                <w:rFonts w:cs="Arial"/>
                <w:sz w:val="18"/>
                <w:szCs w:val="18"/>
              </w:rPr>
              <w:t>57</w:t>
            </w:r>
          </w:p>
        </w:tc>
        <w:tc>
          <w:tcPr>
            <w:tcW w:w="1417" w:type="dxa"/>
          </w:tcPr>
          <w:p w14:paraId="58660E86"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5E4822B7"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10689FE0" w14:textId="77777777" w:rsidR="00285EF0" w:rsidRPr="00BE211F" w:rsidRDefault="00285EF0" w:rsidP="00285EF0">
            <w:pPr>
              <w:rPr>
                <w:rFonts w:cs="Arial"/>
                <w:sz w:val="18"/>
                <w:szCs w:val="18"/>
              </w:rPr>
            </w:pPr>
            <w:r w:rsidRPr="00BE211F">
              <w:rPr>
                <w:rFonts w:cs="Arial"/>
                <w:sz w:val="18"/>
                <w:szCs w:val="18"/>
              </w:rPr>
              <w:t>(Espenhain et al. 2019)</w:t>
            </w:r>
          </w:p>
        </w:tc>
      </w:tr>
      <w:tr w:rsidR="00285EF0" w:rsidRPr="00BE211F" w14:paraId="4D448BFC" w14:textId="77777777" w:rsidTr="00285EF0">
        <w:trPr>
          <w:cantSplit/>
        </w:trPr>
        <w:tc>
          <w:tcPr>
            <w:tcW w:w="14176" w:type="dxa"/>
            <w:gridSpan w:val="9"/>
          </w:tcPr>
          <w:p w14:paraId="17DE7BEA" w14:textId="77777777" w:rsidR="00285EF0" w:rsidRPr="00BE211F" w:rsidRDefault="00285EF0" w:rsidP="00285EF0">
            <w:pPr>
              <w:rPr>
                <w:rFonts w:cs="Arial"/>
                <w:sz w:val="18"/>
                <w:szCs w:val="18"/>
              </w:rPr>
            </w:pPr>
          </w:p>
        </w:tc>
      </w:tr>
      <w:tr w:rsidR="00285EF0" w:rsidRPr="00BE211F" w14:paraId="7B4B077A" w14:textId="77777777" w:rsidTr="00285EF0">
        <w:trPr>
          <w:cantSplit/>
        </w:trPr>
        <w:tc>
          <w:tcPr>
            <w:tcW w:w="14176" w:type="dxa"/>
            <w:gridSpan w:val="9"/>
            <w:shd w:val="clear" w:color="auto" w:fill="C6D9F1" w:themeFill="text2" w:themeFillTint="33"/>
          </w:tcPr>
          <w:p w14:paraId="59BB236E" w14:textId="77777777" w:rsidR="00285EF0" w:rsidRPr="00BE211F" w:rsidRDefault="00285EF0" w:rsidP="00285EF0">
            <w:pPr>
              <w:rPr>
                <w:rFonts w:cs="Arial"/>
                <w:sz w:val="18"/>
                <w:szCs w:val="18"/>
              </w:rPr>
            </w:pPr>
            <w:r w:rsidRPr="00BE211F">
              <w:rPr>
                <w:rFonts w:cs="Arial"/>
                <w:sz w:val="18"/>
                <w:szCs w:val="18"/>
              </w:rPr>
              <w:t>Sprouts</w:t>
            </w:r>
          </w:p>
        </w:tc>
      </w:tr>
      <w:tr w:rsidR="00285EF0" w:rsidRPr="00BE211F" w14:paraId="09695849" w14:textId="77777777" w:rsidTr="00285EF0">
        <w:trPr>
          <w:cantSplit/>
        </w:trPr>
        <w:tc>
          <w:tcPr>
            <w:tcW w:w="1560" w:type="dxa"/>
          </w:tcPr>
          <w:p w14:paraId="086ACF55" w14:textId="77777777" w:rsidR="00285EF0" w:rsidRPr="00BE211F" w:rsidRDefault="00285EF0" w:rsidP="00285EF0">
            <w:pPr>
              <w:rPr>
                <w:rFonts w:cs="Arial"/>
                <w:sz w:val="18"/>
                <w:szCs w:val="18"/>
              </w:rPr>
            </w:pPr>
            <w:r w:rsidRPr="00BE211F">
              <w:rPr>
                <w:rFonts w:cs="Arial"/>
                <w:sz w:val="18"/>
                <w:szCs w:val="18"/>
              </w:rPr>
              <w:t>Fenugreek sprouts</w:t>
            </w:r>
          </w:p>
        </w:tc>
        <w:tc>
          <w:tcPr>
            <w:tcW w:w="2045" w:type="dxa"/>
          </w:tcPr>
          <w:p w14:paraId="04A094AC" w14:textId="77777777" w:rsidR="00285EF0" w:rsidRPr="00BE211F" w:rsidRDefault="00285EF0" w:rsidP="00285EF0">
            <w:pPr>
              <w:rPr>
                <w:rFonts w:cs="Arial"/>
                <w:i/>
                <w:sz w:val="18"/>
                <w:szCs w:val="18"/>
              </w:rPr>
            </w:pPr>
            <w:r w:rsidRPr="00BE211F">
              <w:rPr>
                <w:rFonts w:cs="Arial"/>
                <w:i/>
                <w:sz w:val="18"/>
                <w:szCs w:val="18"/>
              </w:rPr>
              <w:t xml:space="preserve">E. coli </w:t>
            </w:r>
            <w:r w:rsidRPr="00BE211F">
              <w:rPr>
                <w:rFonts w:cs="Arial"/>
                <w:sz w:val="18"/>
                <w:szCs w:val="18"/>
              </w:rPr>
              <w:t>O104:H4</w:t>
            </w:r>
          </w:p>
        </w:tc>
        <w:tc>
          <w:tcPr>
            <w:tcW w:w="850" w:type="dxa"/>
          </w:tcPr>
          <w:p w14:paraId="1F744515" w14:textId="77777777" w:rsidR="00285EF0" w:rsidRPr="00BE211F" w:rsidRDefault="00285EF0" w:rsidP="00285EF0">
            <w:pPr>
              <w:rPr>
                <w:rFonts w:cs="Arial"/>
                <w:sz w:val="18"/>
                <w:szCs w:val="18"/>
              </w:rPr>
            </w:pPr>
            <w:r w:rsidRPr="00BE211F">
              <w:rPr>
                <w:rFonts w:cs="Arial"/>
                <w:sz w:val="18"/>
                <w:szCs w:val="18"/>
              </w:rPr>
              <w:t>2011</w:t>
            </w:r>
          </w:p>
        </w:tc>
        <w:tc>
          <w:tcPr>
            <w:tcW w:w="1417" w:type="dxa"/>
          </w:tcPr>
          <w:p w14:paraId="4A8AEBC1" w14:textId="77777777" w:rsidR="00285EF0" w:rsidRPr="00BE211F" w:rsidRDefault="00285EF0" w:rsidP="00285EF0">
            <w:pPr>
              <w:rPr>
                <w:rFonts w:cs="Arial"/>
                <w:sz w:val="18"/>
                <w:szCs w:val="18"/>
              </w:rPr>
            </w:pPr>
            <w:r w:rsidRPr="00BE211F">
              <w:rPr>
                <w:rFonts w:cs="Arial"/>
                <w:sz w:val="18"/>
                <w:szCs w:val="18"/>
              </w:rPr>
              <w:t>Germany &amp; 15 other countries</w:t>
            </w:r>
          </w:p>
        </w:tc>
        <w:tc>
          <w:tcPr>
            <w:tcW w:w="1500" w:type="dxa"/>
          </w:tcPr>
          <w:p w14:paraId="4E831CA2" w14:textId="77777777" w:rsidR="00285EF0" w:rsidRPr="00BE211F" w:rsidRDefault="00285EF0" w:rsidP="00285EF0">
            <w:pPr>
              <w:rPr>
                <w:rFonts w:cs="Arial"/>
                <w:sz w:val="18"/>
                <w:szCs w:val="18"/>
              </w:rPr>
            </w:pPr>
            <w:r w:rsidRPr="00BE211F">
              <w:rPr>
                <w:rFonts w:cs="Arial"/>
                <w:sz w:val="18"/>
                <w:szCs w:val="18"/>
              </w:rPr>
              <w:t>Egypt (seeds)</w:t>
            </w:r>
          </w:p>
        </w:tc>
        <w:tc>
          <w:tcPr>
            <w:tcW w:w="1134" w:type="dxa"/>
          </w:tcPr>
          <w:p w14:paraId="16EE64AC" w14:textId="77777777" w:rsidR="00285EF0" w:rsidRPr="00BE211F" w:rsidRDefault="00285EF0" w:rsidP="00285EF0">
            <w:pPr>
              <w:rPr>
                <w:rFonts w:cs="Arial"/>
                <w:sz w:val="18"/>
                <w:szCs w:val="18"/>
              </w:rPr>
            </w:pPr>
            <w:r w:rsidRPr="00BE211F">
              <w:rPr>
                <w:rFonts w:cs="Arial"/>
                <w:sz w:val="18"/>
                <w:szCs w:val="18"/>
              </w:rPr>
              <w:t>4075 (&gt;50)</w:t>
            </w:r>
          </w:p>
        </w:tc>
        <w:tc>
          <w:tcPr>
            <w:tcW w:w="1417" w:type="dxa"/>
          </w:tcPr>
          <w:p w14:paraId="5298CA96" w14:textId="77777777" w:rsidR="00285EF0" w:rsidRPr="00BE211F" w:rsidRDefault="00285EF0" w:rsidP="00285EF0">
            <w:pPr>
              <w:rPr>
                <w:rFonts w:cs="Arial"/>
                <w:sz w:val="18"/>
                <w:szCs w:val="18"/>
              </w:rPr>
            </w:pPr>
            <w:r w:rsidRPr="00BE211F">
              <w:rPr>
                <w:rFonts w:cs="Arial"/>
                <w:sz w:val="18"/>
                <w:szCs w:val="18"/>
              </w:rPr>
              <w:t>E, L</w:t>
            </w:r>
          </w:p>
        </w:tc>
        <w:tc>
          <w:tcPr>
            <w:tcW w:w="2126" w:type="dxa"/>
          </w:tcPr>
          <w:p w14:paraId="4AA0CDDC"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160643F2" w14:textId="77777777" w:rsidR="00285EF0" w:rsidRPr="00BE211F" w:rsidRDefault="00285EF0" w:rsidP="00285EF0">
            <w:pPr>
              <w:rPr>
                <w:rFonts w:cs="Arial"/>
                <w:sz w:val="18"/>
                <w:szCs w:val="18"/>
              </w:rPr>
            </w:pPr>
            <w:r w:rsidRPr="00BE211F">
              <w:rPr>
                <w:rFonts w:cs="Arial"/>
                <w:sz w:val="18"/>
                <w:szCs w:val="18"/>
              </w:rPr>
              <w:t>(Buchholz et al. 2011; EFSA 2011; Foley et al. 2013; Frank et al. 2011a; Frank et al. 2011b; King et al. 2012; WHO 2011)</w:t>
            </w:r>
          </w:p>
        </w:tc>
      </w:tr>
      <w:tr w:rsidR="00285EF0" w:rsidRPr="00BE211F" w14:paraId="7958F166" w14:textId="77777777" w:rsidTr="00285EF0">
        <w:trPr>
          <w:cantSplit/>
        </w:trPr>
        <w:tc>
          <w:tcPr>
            <w:tcW w:w="1560" w:type="dxa"/>
          </w:tcPr>
          <w:p w14:paraId="296C92EE" w14:textId="77777777" w:rsidR="00285EF0" w:rsidRPr="00BE211F" w:rsidRDefault="00285EF0" w:rsidP="00285EF0">
            <w:pPr>
              <w:rPr>
                <w:rFonts w:cs="Arial"/>
                <w:sz w:val="18"/>
                <w:szCs w:val="18"/>
              </w:rPr>
            </w:pPr>
            <w:r w:rsidRPr="00BE211F">
              <w:rPr>
                <w:rFonts w:cs="Arial"/>
                <w:sz w:val="18"/>
                <w:szCs w:val="18"/>
              </w:rPr>
              <w:t>Alfalfa sprouts</w:t>
            </w:r>
          </w:p>
        </w:tc>
        <w:tc>
          <w:tcPr>
            <w:tcW w:w="2045" w:type="dxa"/>
          </w:tcPr>
          <w:p w14:paraId="454D86F5" w14:textId="77777777" w:rsidR="00285EF0" w:rsidRPr="00BE211F" w:rsidRDefault="00285EF0" w:rsidP="00285EF0">
            <w:pPr>
              <w:rPr>
                <w:rFonts w:cs="Arial"/>
                <w:i/>
                <w:sz w:val="18"/>
                <w:szCs w:val="18"/>
              </w:rPr>
            </w:pPr>
            <w:r w:rsidRPr="00BE211F">
              <w:rPr>
                <w:rFonts w:cs="Arial"/>
                <w:i/>
                <w:sz w:val="18"/>
                <w:szCs w:val="18"/>
              </w:rPr>
              <w:t xml:space="preserve">Salmonella </w:t>
            </w:r>
            <w:r w:rsidRPr="00BE211F">
              <w:rPr>
                <w:rFonts w:cs="Arial"/>
                <w:sz w:val="18"/>
                <w:szCs w:val="18"/>
              </w:rPr>
              <w:t>Cubana</w:t>
            </w:r>
          </w:p>
        </w:tc>
        <w:tc>
          <w:tcPr>
            <w:tcW w:w="850" w:type="dxa"/>
          </w:tcPr>
          <w:p w14:paraId="4A3F3E51" w14:textId="77777777" w:rsidR="00285EF0" w:rsidRPr="00BE211F" w:rsidRDefault="00285EF0" w:rsidP="00285EF0">
            <w:pPr>
              <w:rPr>
                <w:rFonts w:cs="Arial"/>
                <w:sz w:val="18"/>
                <w:szCs w:val="18"/>
              </w:rPr>
            </w:pPr>
            <w:r w:rsidRPr="00BE211F">
              <w:rPr>
                <w:rFonts w:cs="Arial"/>
                <w:sz w:val="18"/>
                <w:szCs w:val="18"/>
              </w:rPr>
              <w:t>2012</w:t>
            </w:r>
          </w:p>
        </w:tc>
        <w:tc>
          <w:tcPr>
            <w:tcW w:w="1417" w:type="dxa"/>
          </w:tcPr>
          <w:p w14:paraId="7746970B"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6A1D773B"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0774048E" w14:textId="77777777" w:rsidR="00285EF0" w:rsidRPr="00BE211F" w:rsidRDefault="00285EF0" w:rsidP="00285EF0">
            <w:pPr>
              <w:rPr>
                <w:rFonts w:cs="Arial"/>
                <w:sz w:val="18"/>
                <w:szCs w:val="18"/>
              </w:rPr>
            </w:pPr>
            <w:r w:rsidRPr="00BE211F">
              <w:rPr>
                <w:rFonts w:cs="Arial"/>
                <w:sz w:val="18"/>
                <w:szCs w:val="18"/>
              </w:rPr>
              <w:t>19</w:t>
            </w:r>
          </w:p>
        </w:tc>
        <w:tc>
          <w:tcPr>
            <w:tcW w:w="1417" w:type="dxa"/>
          </w:tcPr>
          <w:p w14:paraId="08DF6134" w14:textId="77777777" w:rsidR="00285EF0" w:rsidRPr="00BE211F" w:rsidRDefault="00285EF0" w:rsidP="00285EF0">
            <w:pPr>
              <w:rPr>
                <w:rFonts w:cs="Arial"/>
                <w:sz w:val="18"/>
                <w:szCs w:val="18"/>
              </w:rPr>
            </w:pPr>
            <w:r w:rsidRPr="00BE211F">
              <w:rPr>
                <w:rFonts w:cs="Arial"/>
                <w:sz w:val="18"/>
                <w:szCs w:val="18"/>
              </w:rPr>
              <w:t>L</w:t>
            </w:r>
          </w:p>
        </w:tc>
        <w:tc>
          <w:tcPr>
            <w:tcW w:w="2126" w:type="dxa"/>
          </w:tcPr>
          <w:p w14:paraId="7CA0C268" w14:textId="77777777" w:rsidR="00285EF0" w:rsidRPr="00BE211F" w:rsidRDefault="00285EF0" w:rsidP="00285EF0">
            <w:pPr>
              <w:rPr>
                <w:rFonts w:cs="Arial"/>
                <w:sz w:val="18"/>
                <w:szCs w:val="18"/>
              </w:rPr>
            </w:pPr>
            <w:r w:rsidRPr="00BE211F">
              <w:rPr>
                <w:rFonts w:cs="Arial"/>
                <w:sz w:val="18"/>
                <w:szCs w:val="18"/>
              </w:rPr>
              <w:t>Multiple defects in facilities, hygiene, sanitation and process controls in the sprout growing facility.</w:t>
            </w:r>
          </w:p>
        </w:tc>
        <w:tc>
          <w:tcPr>
            <w:tcW w:w="2127" w:type="dxa"/>
          </w:tcPr>
          <w:p w14:paraId="3E4F0AAA" w14:textId="77777777" w:rsidR="00285EF0" w:rsidRPr="00BE211F" w:rsidRDefault="00285EF0" w:rsidP="00285EF0">
            <w:pPr>
              <w:rPr>
                <w:rFonts w:cs="Arial"/>
                <w:sz w:val="18"/>
                <w:szCs w:val="18"/>
              </w:rPr>
            </w:pPr>
            <w:r w:rsidRPr="00BE211F">
              <w:rPr>
                <w:rFonts w:cs="Arial"/>
                <w:sz w:val="18"/>
                <w:szCs w:val="18"/>
              </w:rPr>
              <w:t>(FDA 2012)</w:t>
            </w:r>
          </w:p>
        </w:tc>
      </w:tr>
      <w:tr w:rsidR="00285EF0" w:rsidRPr="00BE211F" w14:paraId="1765FFDA" w14:textId="77777777" w:rsidTr="00285EF0">
        <w:trPr>
          <w:cantSplit/>
        </w:trPr>
        <w:tc>
          <w:tcPr>
            <w:tcW w:w="1560" w:type="dxa"/>
          </w:tcPr>
          <w:p w14:paraId="6431C77F" w14:textId="77777777" w:rsidR="00285EF0" w:rsidRPr="00BE211F" w:rsidRDefault="00285EF0" w:rsidP="00285EF0">
            <w:pPr>
              <w:rPr>
                <w:rFonts w:cs="Arial"/>
                <w:sz w:val="18"/>
                <w:szCs w:val="18"/>
              </w:rPr>
            </w:pPr>
            <w:r w:rsidRPr="00BE211F">
              <w:rPr>
                <w:rFonts w:cs="Arial"/>
                <w:sz w:val="18"/>
                <w:szCs w:val="18"/>
              </w:rPr>
              <w:t>Mung bean sprouts</w:t>
            </w:r>
          </w:p>
        </w:tc>
        <w:tc>
          <w:tcPr>
            <w:tcW w:w="2045" w:type="dxa"/>
          </w:tcPr>
          <w:p w14:paraId="64BF2D46" w14:textId="77777777" w:rsidR="00285EF0" w:rsidRPr="00BE211F" w:rsidRDefault="00285EF0" w:rsidP="00285EF0">
            <w:pPr>
              <w:rPr>
                <w:rFonts w:cs="Arial"/>
                <w:i/>
                <w:sz w:val="18"/>
                <w:szCs w:val="18"/>
              </w:rPr>
            </w:pPr>
            <w:r w:rsidRPr="00BE211F">
              <w:rPr>
                <w:rFonts w:cs="Arial"/>
                <w:i/>
                <w:sz w:val="18"/>
                <w:szCs w:val="18"/>
              </w:rPr>
              <w:t>L. monocytogenes</w:t>
            </w:r>
          </w:p>
        </w:tc>
        <w:tc>
          <w:tcPr>
            <w:tcW w:w="850" w:type="dxa"/>
          </w:tcPr>
          <w:p w14:paraId="1538C3FA" w14:textId="77777777" w:rsidR="00285EF0" w:rsidRPr="00BE211F" w:rsidRDefault="00285EF0" w:rsidP="00285EF0">
            <w:pPr>
              <w:rPr>
                <w:rFonts w:cs="Arial"/>
                <w:sz w:val="18"/>
                <w:szCs w:val="18"/>
              </w:rPr>
            </w:pPr>
            <w:r w:rsidRPr="00BE211F">
              <w:rPr>
                <w:rFonts w:cs="Arial"/>
                <w:sz w:val="18"/>
                <w:szCs w:val="18"/>
              </w:rPr>
              <w:t>2014</w:t>
            </w:r>
          </w:p>
        </w:tc>
        <w:tc>
          <w:tcPr>
            <w:tcW w:w="1417" w:type="dxa"/>
          </w:tcPr>
          <w:p w14:paraId="3DC316BA"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004BAD4C"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7243FA46" w14:textId="77777777" w:rsidR="00285EF0" w:rsidRPr="00BE211F" w:rsidRDefault="00285EF0" w:rsidP="00285EF0">
            <w:pPr>
              <w:rPr>
                <w:rFonts w:cs="Arial"/>
                <w:sz w:val="18"/>
                <w:szCs w:val="18"/>
              </w:rPr>
            </w:pPr>
            <w:r w:rsidRPr="00BE211F">
              <w:rPr>
                <w:rFonts w:cs="Arial"/>
                <w:sz w:val="18"/>
                <w:szCs w:val="18"/>
              </w:rPr>
              <w:t>5 (2)</w:t>
            </w:r>
          </w:p>
        </w:tc>
        <w:tc>
          <w:tcPr>
            <w:tcW w:w="1417" w:type="dxa"/>
          </w:tcPr>
          <w:p w14:paraId="34E53C14" w14:textId="77777777" w:rsidR="00285EF0" w:rsidRPr="00BE211F" w:rsidRDefault="00285EF0" w:rsidP="00285EF0">
            <w:pPr>
              <w:rPr>
                <w:rFonts w:cs="Arial"/>
                <w:sz w:val="18"/>
                <w:szCs w:val="18"/>
              </w:rPr>
            </w:pPr>
            <w:r w:rsidRPr="00BE211F">
              <w:rPr>
                <w:rFonts w:cs="Arial"/>
                <w:sz w:val="18"/>
                <w:szCs w:val="18"/>
              </w:rPr>
              <w:t>L</w:t>
            </w:r>
          </w:p>
        </w:tc>
        <w:tc>
          <w:tcPr>
            <w:tcW w:w="2126" w:type="dxa"/>
          </w:tcPr>
          <w:p w14:paraId="593E9BAA" w14:textId="77777777" w:rsidR="00285EF0" w:rsidRPr="00BE211F" w:rsidRDefault="00285EF0" w:rsidP="00285EF0">
            <w:pPr>
              <w:rPr>
                <w:rFonts w:cs="Arial"/>
                <w:sz w:val="18"/>
                <w:szCs w:val="18"/>
              </w:rPr>
            </w:pPr>
            <w:r w:rsidRPr="00BE211F">
              <w:rPr>
                <w:rFonts w:cs="Arial"/>
                <w:sz w:val="18"/>
                <w:szCs w:val="18"/>
              </w:rPr>
              <w:t>Multiple defects in facilities, hygiene, sanitation and process controls in the sprout processing and packaging facility.</w:t>
            </w:r>
          </w:p>
        </w:tc>
        <w:tc>
          <w:tcPr>
            <w:tcW w:w="2127" w:type="dxa"/>
          </w:tcPr>
          <w:p w14:paraId="51E69EC6" w14:textId="77777777" w:rsidR="00285EF0" w:rsidRPr="00BE211F" w:rsidRDefault="00285EF0" w:rsidP="00285EF0">
            <w:pPr>
              <w:rPr>
                <w:rFonts w:cs="Arial"/>
                <w:sz w:val="18"/>
                <w:szCs w:val="18"/>
              </w:rPr>
            </w:pPr>
            <w:r w:rsidRPr="00BE211F">
              <w:rPr>
                <w:rFonts w:cs="Arial"/>
                <w:sz w:val="18"/>
                <w:szCs w:val="18"/>
              </w:rPr>
              <w:t>(FDA 2015)</w:t>
            </w:r>
          </w:p>
        </w:tc>
      </w:tr>
      <w:tr w:rsidR="00285EF0" w:rsidRPr="00BE211F" w14:paraId="604995C3" w14:textId="77777777" w:rsidTr="00285EF0">
        <w:trPr>
          <w:cantSplit/>
        </w:trPr>
        <w:tc>
          <w:tcPr>
            <w:tcW w:w="1560" w:type="dxa"/>
          </w:tcPr>
          <w:p w14:paraId="3F151394" w14:textId="77777777" w:rsidR="00285EF0" w:rsidRPr="00BE211F" w:rsidRDefault="00285EF0" w:rsidP="00285EF0">
            <w:pPr>
              <w:rPr>
                <w:rFonts w:cs="Arial"/>
                <w:sz w:val="18"/>
                <w:szCs w:val="18"/>
              </w:rPr>
            </w:pPr>
            <w:r w:rsidRPr="00BE211F">
              <w:rPr>
                <w:rFonts w:cs="Arial"/>
                <w:sz w:val="18"/>
                <w:szCs w:val="18"/>
              </w:rPr>
              <w:t>Alfalfa sprouts</w:t>
            </w:r>
          </w:p>
        </w:tc>
        <w:tc>
          <w:tcPr>
            <w:tcW w:w="2045" w:type="dxa"/>
          </w:tcPr>
          <w:p w14:paraId="269CF640" w14:textId="77777777" w:rsidR="00285EF0" w:rsidRPr="00BE211F" w:rsidRDefault="00285EF0" w:rsidP="00285EF0">
            <w:pPr>
              <w:rPr>
                <w:rFonts w:cs="Arial"/>
                <w:sz w:val="18"/>
                <w:szCs w:val="18"/>
              </w:rPr>
            </w:pPr>
            <w:r w:rsidRPr="00BE211F">
              <w:rPr>
                <w:rFonts w:cs="Arial"/>
                <w:i/>
                <w:sz w:val="18"/>
                <w:szCs w:val="18"/>
              </w:rPr>
              <w:t xml:space="preserve">Salmonella </w:t>
            </w:r>
            <w:r w:rsidRPr="00BE211F">
              <w:rPr>
                <w:rFonts w:cs="Arial"/>
                <w:sz w:val="18"/>
                <w:szCs w:val="18"/>
              </w:rPr>
              <w:t xml:space="preserve">Muenchen, </w:t>
            </w:r>
            <w:r w:rsidRPr="00BE211F">
              <w:rPr>
                <w:rFonts w:cs="Arial"/>
                <w:i/>
                <w:sz w:val="18"/>
                <w:szCs w:val="18"/>
              </w:rPr>
              <w:t xml:space="preserve">Salmonella </w:t>
            </w:r>
            <w:r w:rsidRPr="00BE211F">
              <w:rPr>
                <w:rFonts w:cs="Arial"/>
                <w:sz w:val="18"/>
                <w:szCs w:val="18"/>
              </w:rPr>
              <w:t>Kentucky</w:t>
            </w:r>
          </w:p>
        </w:tc>
        <w:tc>
          <w:tcPr>
            <w:tcW w:w="850" w:type="dxa"/>
          </w:tcPr>
          <w:p w14:paraId="6E9FB4C9" w14:textId="77777777" w:rsidR="00285EF0" w:rsidRPr="00BE211F" w:rsidRDefault="00285EF0" w:rsidP="00285EF0">
            <w:pPr>
              <w:rPr>
                <w:rFonts w:cs="Arial"/>
                <w:sz w:val="18"/>
                <w:szCs w:val="18"/>
              </w:rPr>
            </w:pPr>
            <w:r w:rsidRPr="00BE211F">
              <w:rPr>
                <w:rFonts w:cs="Arial"/>
                <w:sz w:val="18"/>
                <w:szCs w:val="18"/>
              </w:rPr>
              <w:t>2015–2016</w:t>
            </w:r>
          </w:p>
        </w:tc>
        <w:tc>
          <w:tcPr>
            <w:tcW w:w="1417" w:type="dxa"/>
          </w:tcPr>
          <w:p w14:paraId="7FE7846B"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6FCFF162"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176C27D4" w14:textId="77777777" w:rsidR="00285EF0" w:rsidRPr="00BE211F" w:rsidRDefault="00285EF0" w:rsidP="00285EF0">
            <w:pPr>
              <w:rPr>
                <w:rFonts w:cs="Arial"/>
                <w:sz w:val="18"/>
                <w:szCs w:val="18"/>
              </w:rPr>
            </w:pPr>
            <w:r w:rsidRPr="00BE211F">
              <w:rPr>
                <w:rFonts w:cs="Arial"/>
                <w:sz w:val="18"/>
                <w:szCs w:val="18"/>
              </w:rPr>
              <w:t>26</w:t>
            </w:r>
          </w:p>
        </w:tc>
        <w:tc>
          <w:tcPr>
            <w:tcW w:w="1417" w:type="dxa"/>
          </w:tcPr>
          <w:p w14:paraId="2B40A0CC" w14:textId="77777777" w:rsidR="00285EF0" w:rsidRPr="00BE211F" w:rsidRDefault="00285EF0" w:rsidP="00285EF0">
            <w:pPr>
              <w:rPr>
                <w:rFonts w:cs="Arial"/>
                <w:sz w:val="18"/>
                <w:szCs w:val="18"/>
              </w:rPr>
            </w:pPr>
            <w:r w:rsidRPr="00BE211F">
              <w:rPr>
                <w:rFonts w:cs="Arial"/>
                <w:sz w:val="18"/>
                <w:szCs w:val="18"/>
              </w:rPr>
              <w:t>L</w:t>
            </w:r>
          </w:p>
        </w:tc>
        <w:tc>
          <w:tcPr>
            <w:tcW w:w="2126" w:type="dxa"/>
          </w:tcPr>
          <w:p w14:paraId="69656F19" w14:textId="77777777" w:rsidR="00285EF0" w:rsidRPr="00BE211F" w:rsidRDefault="00285EF0" w:rsidP="00285EF0">
            <w:pPr>
              <w:rPr>
                <w:rFonts w:cs="Arial"/>
                <w:sz w:val="18"/>
                <w:szCs w:val="18"/>
              </w:rPr>
            </w:pPr>
            <w:r w:rsidRPr="00BE211F">
              <w:rPr>
                <w:rFonts w:cs="Arial"/>
                <w:sz w:val="18"/>
                <w:szCs w:val="18"/>
              </w:rPr>
              <w:t>Contaminated seed the likely source.</w:t>
            </w:r>
          </w:p>
        </w:tc>
        <w:tc>
          <w:tcPr>
            <w:tcW w:w="2127" w:type="dxa"/>
          </w:tcPr>
          <w:p w14:paraId="73640CBD" w14:textId="50A78FFA" w:rsidR="00285EF0" w:rsidRPr="00BE211F" w:rsidRDefault="00911B49" w:rsidP="00285EF0">
            <w:pPr>
              <w:rPr>
                <w:rFonts w:cs="Arial"/>
                <w:sz w:val="18"/>
                <w:szCs w:val="18"/>
              </w:rPr>
            </w:pPr>
            <w:r>
              <w:rPr>
                <w:rFonts w:cs="Arial"/>
                <w:sz w:val="18"/>
                <w:szCs w:val="18"/>
              </w:rPr>
              <w:t>(CDC 2016d; FDA </w:t>
            </w:r>
            <w:r w:rsidR="00285EF0" w:rsidRPr="00BE211F">
              <w:rPr>
                <w:rFonts w:cs="Arial"/>
                <w:sz w:val="18"/>
                <w:szCs w:val="18"/>
              </w:rPr>
              <w:t>2016)</w:t>
            </w:r>
          </w:p>
        </w:tc>
      </w:tr>
      <w:tr w:rsidR="00285EF0" w:rsidRPr="00BE211F" w14:paraId="4F867005" w14:textId="77777777" w:rsidTr="00285EF0">
        <w:trPr>
          <w:cantSplit/>
        </w:trPr>
        <w:tc>
          <w:tcPr>
            <w:tcW w:w="14176" w:type="dxa"/>
            <w:gridSpan w:val="9"/>
          </w:tcPr>
          <w:p w14:paraId="02033149" w14:textId="77777777" w:rsidR="00285EF0" w:rsidRPr="00BE211F" w:rsidRDefault="00285EF0" w:rsidP="00285EF0">
            <w:pPr>
              <w:rPr>
                <w:rFonts w:cs="Arial"/>
                <w:sz w:val="18"/>
                <w:szCs w:val="18"/>
              </w:rPr>
            </w:pPr>
          </w:p>
        </w:tc>
      </w:tr>
      <w:tr w:rsidR="00285EF0" w:rsidRPr="00BE211F" w14:paraId="377D3E84" w14:textId="77777777" w:rsidTr="00285EF0">
        <w:trPr>
          <w:cantSplit/>
        </w:trPr>
        <w:tc>
          <w:tcPr>
            <w:tcW w:w="14176" w:type="dxa"/>
            <w:gridSpan w:val="9"/>
            <w:shd w:val="clear" w:color="auto" w:fill="C6D9F1" w:themeFill="text2" w:themeFillTint="33"/>
          </w:tcPr>
          <w:p w14:paraId="738459FD" w14:textId="77777777" w:rsidR="00285EF0" w:rsidRPr="00BE211F" w:rsidRDefault="00285EF0" w:rsidP="00285EF0">
            <w:pPr>
              <w:rPr>
                <w:rFonts w:cs="Arial"/>
                <w:sz w:val="18"/>
                <w:szCs w:val="18"/>
              </w:rPr>
            </w:pPr>
            <w:r w:rsidRPr="00BE211F">
              <w:rPr>
                <w:rFonts w:cs="Arial"/>
                <w:sz w:val="18"/>
                <w:szCs w:val="18"/>
              </w:rPr>
              <w:t>Other vegetables</w:t>
            </w:r>
          </w:p>
        </w:tc>
      </w:tr>
      <w:tr w:rsidR="00285EF0" w:rsidRPr="00BE211F" w14:paraId="2CC5F7E2" w14:textId="77777777" w:rsidTr="00285EF0">
        <w:trPr>
          <w:cantSplit/>
        </w:trPr>
        <w:tc>
          <w:tcPr>
            <w:tcW w:w="1560" w:type="dxa"/>
          </w:tcPr>
          <w:p w14:paraId="5AD40E51" w14:textId="77777777" w:rsidR="00285EF0" w:rsidRPr="00BE211F" w:rsidRDefault="00285EF0" w:rsidP="00285EF0">
            <w:pPr>
              <w:rPr>
                <w:rFonts w:cs="Arial"/>
                <w:sz w:val="18"/>
                <w:szCs w:val="18"/>
              </w:rPr>
            </w:pPr>
            <w:r w:rsidRPr="00BE211F">
              <w:rPr>
                <w:rFonts w:cs="Arial"/>
                <w:sz w:val="18"/>
                <w:szCs w:val="18"/>
              </w:rPr>
              <w:t>Celery</w:t>
            </w:r>
          </w:p>
        </w:tc>
        <w:tc>
          <w:tcPr>
            <w:tcW w:w="2045" w:type="dxa"/>
          </w:tcPr>
          <w:p w14:paraId="14361464" w14:textId="77777777" w:rsidR="00285EF0" w:rsidRPr="00BE211F" w:rsidRDefault="00285EF0" w:rsidP="00285EF0">
            <w:pPr>
              <w:rPr>
                <w:rFonts w:cs="Arial"/>
                <w:i/>
                <w:sz w:val="18"/>
                <w:szCs w:val="18"/>
              </w:rPr>
            </w:pPr>
            <w:r w:rsidRPr="00BE211F">
              <w:rPr>
                <w:rFonts w:cs="Arial"/>
                <w:i/>
                <w:sz w:val="18"/>
                <w:szCs w:val="18"/>
              </w:rPr>
              <w:t>L. monocytogenes</w:t>
            </w:r>
          </w:p>
        </w:tc>
        <w:tc>
          <w:tcPr>
            <w:tcW w:w="850" w:type="dxa"/>
          </w:tcPr>
          <w:p w14:paraId="79B9076F" w14:textId="77777777" w:rsidR="00285EF0" w:rsidRPr="00BE211F" w:rsidRDefault="00285EF0" w:rsidP="00285EF0">
            <w:pPr>
              <w:rPr>
                <w:rFonts w:cs="Arial"/>
                <w:sz w:val="18"/>
                <w:szCs w:val="18"/>
              </w:rPr>
            </w:pPr>
            <w:r w:rsidRPr="00BE211F">
              <w:rPr>
                <w:rFonts w:cs="Arial"/>
                <w:sz w:val="18"/>
                <w:szCs w:val="18"/>
              </w:rPr>
              <w:t>2010</w:t>
            </w:r>
          </w:p>
        </w:tc>
        <w:tc>
          <w:tcPr>
            <w:tcW w:w="1417" w:type="dxa"/>
          </w:tcPr>
          <w:p w14:paraId="4A5F15A0"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3CCD6EF8"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302703C0" w14:textId="77777777" w:rsidR="00285EF0" w:rsidRPr="00BE211F" w:rsidRDefault="00285EF0" w:rsidP="00285EF0">
            <w:pPr>
              <w:rPr>
                <w:rFonts w:cs="Arial"/>
                <w:sz w:val="18"/>
                <w:szCs w:val="18"/>
              </w:rPr>
            </w:pPr>
            <w:r w:rsidRPr="00BE211F">
              <w:rPr>
                <w:rFonts w:cs="Arial"/>
                <w:sz w:val="18"/>
                <w:szCs w:val="18"/>
              </w:rPr>
              <w:t>10 (5)</w:t>
            </w:r>
          </w:p>
        </w:tc>
        <w:tc>
          <w:tcPr>
            <w:tcW w:w="1417" w:type="dxa"/>
          </w:tcPr>
          <w:p w14:paraId="63C7A68D" w14:textId="77777777" w:rsidR="00285EF0" w:rsidRPr="00BE211F" w:rsidRDefault="00285EF0" w:rsidP="00285EF0">
            <w:pPr>
              <w:rPr>
                <w:rFonts w:cs="Arial"/>
                <w:sz w:val="18"/>
                <w:szCs w:val="18"/>
              </w:rPr>
            </w:pPr>
            <w:r w:rsidRPr="00BE211F">
              <w:rPr>
                <w:rFonts w:cs="Arial"/>
                <w:sz w:val="18"/>
                <w:szCs w:val="18"/>
              </w:rPr>
              <w:t>E,L</w:t>
            </w:r>
          </w:p>
        </w:tc>
        <w:tc>
          <w:tcPr>
            <w:tcW w:w="2126" w:type="dxa"/>
          </w:tcPr>
          <w:p w14:paraId="7D4D6C33" w14:textId="77777777" w:rsidR="00285EF0" w:rsidRPr="00BE211F" w:rsidRDefault="00285EF0" w:rsidP="00285EF0">
            <w:pPr>
              <w:rPr>
                <w:rFonts w:cs="Arial"/>
                <w:sz w:val="18"/>
                <w:szCs w:val="18"/>
              </w:rPr>
            </w:pPr>
            <w:r w:rsidRPr="00BE211F">
              <w:rPr>
                <w:rFonts w:cs="Arial"/>
                <w:sz w:val="18"/>
                <w:szCs w:val="18"/>
              </w:rPr>
              <w:t>Multiple defects in facilities, hygiene, sanitation and process controls in the produce processing facility.</w:t>
            </w:r>
          </w:p>
        </w:tc>
        <w:tc>
          <w:tcPr>
            <w:tcW w:w="2127" w:type="dxa"/>
          </w:tcPr>
          <w:p w14:paraId="1E3CDFD5" w14:textId="77777777" w:rsidR="00285EF0" w:rsidRPr="00BE211F" w:rsidRDefault="00285EF0" w:rsidP="00285EF0">
            <w:pPr>
              <w:rPr>
                <w:rFonts w:cs="Arial"/>
                <w:sz w:val="18"/>
                <w:szCs w:val="18"/>
              </w:rPr>
            </w:pPr>
            <w:r w:rsidRPr="00BE211F">
              <w:rPr>
                <w:rFonts w:cs="Arial"/>
                <w:sz w:val="18"/>
                <w:szCs w:val="18"/>
              </w:rPr>
              <w:t>(Gaul et al. 2013)</w:t>
            </w:r>
          </w:p>
          <w:p w14:paraId="2063B93C" w14:textId="77777777" w:rsidR="00285EF0" w:rsidRPr="00BE211F" w:rsidRDefault="00285EF0" w:rsidP="00285EF0">
            <w:pPr>
              <w:rPr>
                <w:rFonts w:cs="Arial"/>
                <w:sz w:val="18"/>
                <w:szCs w:val="18"/>
              </w:rPr>
            </w:pPr>
          </w:p>
        </w:tc>
      </w:tr>
      <w:tr w:rsidR="00285EF0" w:rsidRPr="00BE211F" w14:paraId="4FFCCE7D" w14:textId="77777777" w:rsidTr="00285EF0">
        <w:trPr>
          <w:cantSplit/>
        </w:trPr>
        <w:tc>
          <w:tcPr>
            <w:tcW w:w="1560" w:type="dxa"/>
          </w:tcPr>
          <w:p w14:paraId="41C35EB6" w14:textId="77777777" w:rsidR="00285EF0" w:rsidRPr="00BE211F" w:rsidRDefault="00285EF0" w:rsidP="00285EF0">
            <w:pPr>
              <w:rPr>
                <w:rFonts w:cs="Arial"/>
                <w:sz w:val="18"/>
                <w:szCs w:val="18"/>
              </w:rPr>
            </w:pPr>
            <w:r w:rsidRPr="00BE211F">
              <w:rPr>
                <w:rFonts w:cs="Arial"/>
                <w:sz w:val="18"/>
                <w:szCs w:val="18"/>
              </w:rPr>
              <w:t>Tomatoes</w:t>
            </w:r>
          </w:p>
        </w:tc>
        <w:tc>
          <w:tcPr>
            <w:tcW w:w="2045" w:type="dxa"/>
          </w:tcPr>
          <w:p w14:paraId="7F153C23" w14:textId="77777777" w:rsidR="00285EF0" w:rsidRPr="00BE211F" w:rsidRDefault="00285EF0" w:rsidP="00285EF0">
            <w:pPr>
              <w:rPr>
                <w:rFonts w:cs="Arial"/>
                <w:i/>
                <w:sz w:val="18"/>
                <w:szCs w:val="18"/>
              </w:rPr>
            </w:pPr>
            <w:r w:rsidRPr="00BE211F">
              <w:rPr>
                <w:rFonts w:cs="Arial"/>
                <w:i/>
                <w:sz w:val="18"/>
                <w:szCs w:val="18"/>
              </w:rPr>
              <w:t xml:space="preserve">Salmonella </w:t>
            </w:r>
            <w:r w:rsidRPr="00BE211F">
              <w:rPr>
                <w:rFonts w:cs="Arial"/>
                <w:sz w:val="18"/>
                <w:szCs w:val="18"/>
              </w:rPr>
              <w:t>Strathcona</w:t>
            </w:r>
          </w:p>
        </w:tc>
        <w:tc>
          <w:tcPr>
            <w:tcW w:w="850" w:type="dxa"/>
          </w:tcPr>
          <w:p w14:paraId="6CB10A9D" w14:textId="77777777" w:rsidR="00285EF0" w:rsidRPr="00BE211F" w:rsidRDefault="00285EF0" w:rsidP="00285EF0">
            <w:pPr>
              <w:rPr>
                <w:rFonts w:cs="Arial"/>
                <w:sz w:val="18"/>
                <w:szCs w:val="18"/>
              </w:rPr>
            </w:pPr>
            <w:r w:rsidRPr="00BE211F">
              <w:rPr>
                <w:rFonts w:cs="Arial"/>
                <w:sz w:val="18"/>
                <w:szCs w:val="18"/>
              </w:rPr>
              <w:t>2011</w:t>
            </w:r>
          </w:p>
        </w:tc>
        <w:tc>
          <w:tcPr>
            <w:tcW w:w="1417" w:type="dxa"/>
          </w:tcPr>
          <w:p w14:paraId="5EF12BA2" w14:textId="77777777" w:rsidR="00285EF0" w:rsidRPr="00BE211F" w:rsidRDefault="00285EF0" w:rsidP="00285EF0">
            <w:pPr>
              <w:rPr>
                <w:rFonts w:cs="Arial"/>
                <w:sz w:val="18"/>
                <w:szCs w:val="18"/>
              </w:rPr>
            </w:pPr>
            <w:r w:rsidRPr="00BE211F">
              <w:rPr>
                <w:rFonts w:cs="Arial"/>
                <w:sz w:val="18"/>
                <w:szCs w:val="18"/>
              </w:rPr>
              <w:t>Denmark</w:t>
            </w:r>
          </w:p>
        </w:tc>
        <w:tc>
          <w:tcPr>
            <w:tcW w:w="1500" w:type="dxa"/>
          </w:tcPr>
          <w:p w14:paraId="6523D6C4" w14:textId="77777777" w:rsidR="00285EF0" w:rsidRPr="00BE211F" w:rsidRDefault="00285EF0" w:rsidP="00285EF0">
            <w:pPr>
              <w:rPr>
                <w:rFonts w:cs="Arial"/>
                <w:sz w:val="18"/>
                <w:szCs w:val="18"/>
              </w:rPr>
            </w:pPr>
            <w:r w:rsidRPr="00BE211F">
              <w:rPr>
                <w:rFonts w:cs="Arial"/>
                <w:sz w:val="18"/>
                <w:szCs w:val="18"/>
              </w:rPr>
              <w:t>Italy</w:t>
            </w:r>
          </w:p>
        </w:tc>
        <w:tc>
          <w:tcPr>
            <w:tcW w:w="1134" w:type="dxa"/>
          </w:tcPr>
          <w:p w14:paraId="2AF31324" w14:textId="77777777" w:rsidR="00285EF0" w:rsidRPr="00BE211F" w:rsidRDefault="00285EF0" w:rsidP="00285EF0">
            <w:pPr>
              <w:rPr>
                <w:rFonts w:cs="Arial"/>
                <w:sz w:val="18"/>
                <w:szCs w:val="18"/>
              </w:rPr>
            </w:pPr>
            <w:r w:rsidRPr="00BE211F">
              <w:rPr>
                <w:rFonts w:cs="Arial"/>
                <w:sz w:val="18"/>
                <w:szCs w:val="18"/>
              </w:rPr>
              <w:t>43 (1)</w:t>
            </w:r>
          </w:p>
        </w:tc>
        <w:tc>
          <w:tcPr>
            <w:tcW w:w="1417" w:type="dxa"/>
          </w:tcPr>
          <w:p w14:paraId="4A32222C"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0055C083"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74C722D9" w14:textId="77777777" w:rsidR="00285EF0" w:rsidRPr="00BE211F" w:rsidRDefault="00285EF0" w:rsidP="00285EF0">
            <w:pPr>
              <w:rPr>
                <w:rFonts w:cs="Arial"/>
                <w:sz w:val="18"/>
                <w:szCs w:val="18"/>
              </w:rPr>
            </w:pPr>
            <w:r w:rsidRPr="00BE211F">
              <w:rPr>
                <w:rFonts w:cs="Arial"/>
                <w:sz w:val="18"/>
                <w:szCs w:val="18"/>
              </w:rPr>
              <w:t>(Muller et al. 2016)</w:t>
            </w:r>
          </w:p>
          <w:p w14:paraId="1690E70E" w14:textId="77777777" w:rsidR="00285EF0" w:rsidRPr="00BE211F" w:rsidRDefault="00285EF0" w:rsidP="00285EF0">
            <w:pPr>
              <w:rPr>
                <w:rFonts w:cs="Arial"/>
                <w:sz w:val="18"/>
                <w:szCs w:val="18"/>
              </w:rPr>
            </w:pPr>
          </w:p>
        </w:tc>
      </w:tr>
      <w:tr w:rsidR="00285EF0" w:rsidRPr="00BE211F" w14:paraId="566B88A6" w14:textId="77777777" w:rsidTr="00285EF0">
        <w:trPr>
          <w:cantSplit/>
        </w:trPr>
        <w:tc>
          <w:tcPr>
            <w:tcW w:w="1560" w:type="dxa"/>
          </w:tcPr>
          <w:p w14:paraId="308A7969" w14:textId="77777777" w:rsidR="00285EF0" w:rsidRPr="00BE211F" w:rsidRDefault="00285EF0" w:rsidP="00285EF0">
            <w:pPr>
              <w:rPr>
                <w:rFonts w:cs="Arial"/>
                <w:sz w:val="18"/>
                <w:szCs w:val="18"/>
              </w:rPr>
            </w:pPr>
            <w:r w:rsidRPr="00BE211F">
              <w:rPr>
                <w:rFonts w:cs="Arial"/>
                <w:sz w:val="18"/>
                <w:szCs w:val="18"/>
              </w:rPr>
              <w:t>Vegetables, various, frozen</w:t>
            </w:r>
          </w:p>
        </w:tc>
        <w:tc>
          <w:tcPr>
            <w:tcW w:w="2045" w:type="dxa"/>
          </w:tcPr>
          <w:p w14:paraId="4B608F7B" w14:textId="77777777" w:rsidR="00285EF0" w:rsidRPr="00BE211F" w:rsidRDefault="00285EF0" w:rsidP="00285EF0">
            <w:pPr>
              <w:rPr>
                <w:rFonts w:cs="Arial"/>
                <w:i/>
                <w:sz w:val="18"/>
                <w:szCs w:val="18"/>
              </w:rPr>
            </w:pPr>
            <w:r w:rsidRPr="00BE211F">
              <w:rPr>
                <w:rFonts w:cs="Arial"/>
                <w:i/>
                <w:sz w:val="18"/>
                <w:szCs w:val="18"/>
              </w:rPr>
              <w:t>L. monocytogenes</w:t>
            </w:r>
          </w:p>
        </w:tc>
        <w:tc>
          <w:tcPr>
            <w:tcW w:w="850" w:type="dxa"/>
          </w:tcPr>
          <w:p w14:paraId="526D2F75" w14:textId="77777777" w:rsidR="00285EF0" w:rsidRPr="00BE211F" w:rsidRDefault="00285EF0" w:rsidP="00285EF0">
            <w:pPr>
              <w:rPr>
                <w:rFonts w:cs="Arial"/>
                <w:sz w:val="18"/>
                <w:szCs w:val="18"/>
              </w:rPr>
            </w:pPr>
            <w:r w:rsidRPr="00BE211F">
              <w:rPr>
                <w:rFonts w:cs="Arial"/>
                <w:sz w:val="18"/>
                <w:szCs w:val="18"/>
              </w:rPr>
              <w:t>2013–2016</w:t>
            </w:r>
          </w:p>
        </w:tc>
        <w:tc>
          <w:tcPr>
            <w:tcW w:w="1417" w:type="dxa"/>
          </w:tcPr>
          <w:p w14:paraId="41C28A2C"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5F3B9EB0"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0D43A493" w14:textId="77777777" w:rsidR="00285EF0" w:rsidRPr="00BE211F" w:rsidRDefault="00285EF0" w:rsidP="00285EF0">
            <w:pPr>
              <w:rPr>
                <w:rFonts w:cs="Arial"/>
                <w:sz w:val="18"/>
                <w:szCs w:val="18"/>
              </w:rPr>
            </w:pPr>
            <w:r w:rsidRPr="00BE211F">
              <w:rPr>
                <w:rFonts w:cs="Arial"/>
                <w:sz w:val="18"/>
                <w:szCs w:val="18"/>
              </w:rPr>
              <w:t>9 (1)</w:t>
            </w:r>
          </w:p>
        </w:tc>
        <w:tc>
          <w:tcPr>
            <w:tcW w:w="1417" w:type="dxa"/>
          </w:tcPr>
          <w:p w14:paraId="770D5EAF" w14:textId="77777777" w:rsidR="00285EF0" w:rsidRPr="00BE211F" w:rsidRDefault="00285EF0" w:rsidP="00285EF0">
            <w:pPr>
              <w:rPr>
                <w:rFonts w:cs="Arial"/>
                <w:sz w:val="18"/>
                <w:szCs w:val="18"/>
              </w:rPr>
            </w:pPr>
            <w:r w:rsidRPr="00BE211F">
              <w:rPr>
                <w:rFonts w:cs="Arial"/>
                <w:sz w:val="18"/>
                <w:szCs w:val="18"/>
              </w:rPr>
              <w:t>L</w:t>
            </w:r>
          </w:p>
        </w:tc>
        <w:tc>
          <w:tcPr>
            <w:tcW w:w="2126" w:type="dxa"/>
          </w:tcPr>
          <w:p w14:paraId="56F6641F"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456BDF8A" w14:textId="77777777" w:rsidR="00285EF0" w:rsidRPr="00BE211F" w:rsidRDefault="00285EF0" w:rsidP="00285EF0">
            <w:pPr>
              <w:rPr>
                <w:rFonts w:cs="Arial"/>
                <w:sz w:val="18"/>
                <w:szCs w:val="18"/>
              </w:rPr>
            </w:pPr>
            <w:r w:rsidRPr="00BE211F">
              <w:rPr>
                <w:rFonts w:cs="Arial"/>
                <w:sz w:val="18"/>
                <w:szCs w:val="18"/>
              </w:rPr>
              <w:t>(CDC 2016b)</w:t>
            </w:r>
          </w:p>
        </w:tc>
      </w:tr>
      <w:tr w:rsidR="00285EF0" w:rsidRPr="00BE211F" w14:paraId="653ADB07" w14:textId="77777777" w:rsidTr="00285EF0">
        <w:trPr>
          <w:cantSplit/>
        </w:trPr>
        <w:tc>
          <w:tcPr>
            <w:tcW w:w="1560" w:type="dxa"/>
          </w:tcPr>
          <w:p w14:paraId="76662823" w14:textId="77777777" w:rsidR="00285EF0" w:rsidRPr="00BE211F" w:rsidRDefault="00285EF0" w:rsidP="00285EF0">
            <w:pPr>
              <w:rPr>
                <w:rFonts w:cs="Arial"/>
                <w:sz w:val="18"/>
                <w:szCs w:val="18"/>
              </w:rPr>
            </w:pPr>
            <w:r w:rsidRPr="00BE211F">
              <w:rPr>
                <w:rFonts w:cs="Arial"/>
                <w:sz w:val="18"/>
                <w:szCs w:val="18"/>
              </w:rPr>
              <w:t>Cucumber</w:t>
            </w:r>
          </w:p>
        </w:tc>
        <w:tc>
          <w:tcPr>
            <w:tcW w:w="2045" w:type="dxa"/>
          </w:tcPr>
          <w:p w14:paraId="481EACC4" w14:textId="77777777" w:rsidR="00285EF0" w:rsidRPr="00BE211F" w:rsidRDefault="00285EF0" w:rsidP="00285EF0">
            <w:pPr>
              <w:rPr>
                <w:rFonts w:cs="Arial"/>
                <w:i/>
                <w:sz w:val="18"/>
                <w:szCs w:val="18"/>
              </w:rPr>
            </w:pPr>
            <w:r w:rsidRPr="00BE211F">
              <w:rPr>
                <w:rFonts w:cs="Arial"/>
                <w:i/>
                <w:sz w:val="18"/>
                <w:szCs w:val="18"/>
              </w:rPr>
              <w:t xml:space="preserve">Salmonella </w:t>
            </w:r>
            <w:r w:rsidRPr="00BE211F">
              <w:rPr>
                <w:rFonts w:cs="Arial"/>
                <w:sz w:val="18"/>
                <w:szCs w:val="18"/>
              </w:rPr>
              <w:t>Newport</w:t>
            </w:r>
          </w:p>
        </w:tc>
        <w:tc>
          <w:tcPr>
            <w:tcW w:w="850" w:type="dxa"/>
          </w:tcPr>
          <w:p w14:paraId="5BD6C453" w14:textId="77777777" w:rsidR="00285EF0" w:rsidRPr="00BE211F" w:rsidRDefault="00285EF0" w:rsidP="00285EF0">
            <w:pPr>
              <w:rPr>
                <w:rFonts w:cs="Arial"/>
                <w:sz w:val="18"/>
                <w:szCs w:val="18"/>
              </w:rPr>
            </w:pPr>
            <w:r w:rsidRPr="00BE211F">
              <w:rPr>
                <w:rFonts w:cs="Arial"/>
                <w:sz w:val="18"/>
                <w:szCs w:val="18"/>
              </w:rPr>
              <w:t>2014</w:t>
            </w:r>
          </w:p>
        </w:tc>
        <w:tc>
          <w:tcPr>
            <w:tcW w:w="1417" w:type="dxa"/>
          </w:tcPr>
          <w:p w14:paraId="59369E49"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1F633335"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3BB0462E" w14:textId="77777777" w:rsidR="00285EF0" w:rsidRPr="00BE211F" w:rsidRDefault="00285EF0" w:rsidP="00285EF0">
            <w:pPr>
              <w:rPr>
                <w:rFonts w:cs="Arial"/>
                <w:sz w:val="18"/>
                <w:szCs w:val="18"/>
              </w:rPr>
            </w:pPr>
            <w:r w:rsidRPr="00BE211F">
              <w:rPr>
                <w:rFonts w:cs="Arial"/>
                <w:sz w:val="18"/>
                <w:szCs w:val="18"/>
              </w:rPr>
              <w:t>275 (1)</w:t>
            </w:r>
          </w:p>
        </w:tc>
        <w:tc>
          <w:tcPr>
            <w:tcW w:w="1417" w:type="dxa"/>
          </w:tcPr>
          <w:p w14:paraId="748128F3"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1A0CF51B"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7E23C5FA" w14:textId="77777777" w:rsidR="00285EF0" w:rsidRPr="00BE211F" w:rsidRDefault="00285EF0" w:rsidP="00285EF0">
            <w:pPr>
              <w:rPr>
                <w:rFonts w:cs="Arial"/>
                <w:sz w:val="18"/>
                <w:szCs w:val="18"/>
              </w:rPr>
            </w:pPr>
            <w:r w:rsidRPr="00BE211F">
              <w:rPr>
                <w:rFonts w:cs="Arial"/>
                <w:sz w:val="18"/>
                <w:szCs w:val="18"/>
              </w:rPr>
              <w:t>(Angelo et al. 2015)</w:t>
            </w:r>
          </w:p>
          <w:p w14:paraId="3D6EF85D" w14:textId="77777777" w:rsidR="00285EF0" w:rsidRPr="00BE211F" w:rsidRDefault="00285EF0" w:rsidP="00285EF0">
            <w:pPr>
              <w:rPr>
                <w:rFonts w:cs="Arial"/>
                <w:sz w:val="18"/>
                <w:szCs w:val="18"/>
              </w:rPr>
            </w:pPr>
          </w:p>
        </w:tc>
      </w:tr>
      <w:tr w:rsidR="00285EF0" w:rsidRPr="00BE211F" w14:paraId="2350FCCB" w14:textId="77777777" w:rsidTr="00285EF0">
        <w:trPr>
          <w:cantSplit/>
        </w:trPr>
        <w:tc>
          <w:tcPr>
            <w:tcW w:w="1560" w:type="dxa"/>
          </w:tcPr>
          <w:p w14:paraId="1DF1942E" w14:textId="77777777" w:rsidR="00285EF0" w:rsidRPr="00BE211F" w:rsidRDefault="00285EF0" w:rsidP="00285EF0">
            <w:pPr>
              <w:rPr>
                <w:rFonts w:cs="Arial"/>
                <w:sz w:val="18"/>
                <w:szCs w:val="18"/>
              </w:rPr>
            </w:pPr>
            <w:r w:rsidRPr="00BE211F">
              <w:rPr>
                <w:rFonts w:cs="Arial"/>
                <w:sz w:val="18"/>
                <w:szCs w:val="18"/>
              </w:rPr>
              <w:t>Cucumber</w:t>
            </w:r>
          </w:p>
        </w:tc>
        <w:tc>
          <w:tcPr>
            <w:tcW w:w="2045" w:type="dxa"/>
          </w:tcPr>
          <w:p w14:paraId="57CE6D1F" w14:textId="77777777" w:rsidR="00285EF0" w:rsidRPr="00BE211F" w:rsidRDefault="00285EF0" w:rsidP="00285EF0">
            <w:pPr>
              <w:rPr>
                <w:rFonts w:cs="Arial"/>
                <w:i/>
                <w:sz w:val="18"/>
                <w:szCs w:val="18"/>
              </w:rPr>
            </w:pPr>
            <w:r w:rsidRPr="00BE211F">
              <w:rPr>
                <w:rFonts w:cs="Arial"/>
                <w:i/>
                <w:sz w:val="18"/>
                <w:szCs w:val="18"/>
              </w:rPr>
              <w:t xml:space="preserve">Salmonella </w:t>
            </w:r>
            <w:r w:rsidRPr="00BE211F">
              <w:rPr>
                <w:rFonts w:cs="Arial"/>
                <w:sz w:val="18"/>
                <w:szCs w:val="18"/>
              </w:rPr>
              <w:t>Poona</w:t>
            </w:r>
          </w:p>
        </w:tc>
        <w:tc>
          <w:tcPr>
            <w:tcW w:w="850" w:type="dxa"/>
          </w:tcPr>
          <w:p w14:paraId="253D11E2" w14:textId="77777777" w:rsidR="00285EF0" w:rsidRPr="00BE211F" w:rsidRDefault="00285EF0" w:rsidP="00285EF0">
            <w:pPr>
              <w:rPr>
                <w:rFonts w:cs="Arial"/>
                <w:sz w:val="18"/>
                <w:szCs w:val="18"/>
              </w:rPr>
            </w:pPr>
            <w:r w:rsidRPr="00BE211F">
              <w:rPr>
                <w:rFonts w:cs="Arial"/>
                <w:sz w:val="18"/>
                <w:szCs w:val="18"/>
              </w:rPr>
              <w:t>2015</w:t>
            </w:r>
          </w:p>
        </w:tc>
        <w:tc>
          <w:tcPr>
            <w:tcW w:w="1417" w:type="dxa"/>
          </w:tcPr>
          <w:p w14:paraId="32E3D9DA"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6A29565C" w14:textId="77777777" w:rsidR="00285EF0" w:rsidRPr="00BE211F" w:rsidRDefault="00285EF0" w:rsidP="00285EF0">
            <w:pPr>
              <w:rPr>
                <w:rFonts w:cs="Arial"/>
                <w:sz w:val="18"/>
                <w:szCs w:val="18"/>
              </w:rPr>
            </w:pPr>
            <w:r w:rsidRPr="00BE211F">
              <w:rPr>
                <w:rFonts w:cs="Arial"/>
                <w:sz w:val="18"/>
                <w:szCs w:val="18"/>
              </w:rPr>
              <w:t>Mexico</w:t>
            </w:r>
          </w:p>
        </w:tc>
        <w:tc>
          <w:tcPr>
            <w:tcW w:w="1134" w:type="dxa"/>
          </w:tcPr>
          <w:p w14:paraId="4EE30347" w14:textId="77777777" w:rsidR="00285EF0" w:rsidRPr="00BE211F" w:rsidRDefault="00285EF0" w:rsidP="00285EF0">
            <w:pPr>
              <w:rPr>
                <w:rFonts w:cs="Arial"/>
                <w:sz w:val="18"/>
                <w:szCs w:val="18"/>
              </w:rPr>
            </w:pPr>
            <w:r w:rsidRPr="00BE211F">
              <w:rPr>
                <w:rFonts w:cs="Arial"/>
                <w:sz w:val="18"/>
                <w:szCs w:val="18"/>
              </w:rPr>
              <w:t>907 (6)</w:t>
            </w:r>
          </w:p>
        </w:tc>
        <w:tc>
          <w:tcPr>
            <w:tcW w:w="1417" w:type="dxa"/>
          </w:tcPr>
          <w:p w14:paraId="76019E4B" w14:textId="77777777" w:rsidR="00285EF0" w:rsidRPr="00BE211F" w:rsidRDefault="00285EF0" w:rsidP="00285EF0">
            <w:pPr>
              <w:rPr>
                <w:rFonts w:cs="Arial"/>
                <w:sz w:val="18"/>
                <w:szCs w:val="18"/>
              </w:rPr>
            </w:pPr>
            <w:r w:rsidRPr="00BE211F">
              <w:rPr>
                <w:rFonts w:cs="Arial"/>
                <w:sz w:val="18"/>
                <w:szCs w:val="18"/>
              </w:rPr>
              <w:t>E, L</w:t>
            </w:r>
          </w:p>
        </w:tc>
        <w:tc>
          <w:tcPr>
            <w:tcW w:w="2126" w:type="dxa"/>
          </w:tcPr>
          <w:p w14:paraId="3722ABD7"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4827360A" w14:textId="3747B8C0" w:rsidR="00285EF0" w:rsidRPr="00BE211F" w:rsidRDefault="00911B49" w:rsidP="00285EF0">
            <w:pPr>
              <w:rPr>
                <w:rFonts w:cs="Arial"/>
                <w:sz w:val="18"/>
                <w:szCs w:val="18"/>
              </w:rPr>
            </w:pPr>
            <w:r>
              <w:rPr>
                <w:rFonts w:cs="Arial"/>
                <w:sz w:val="18"/>
                <w:szCs w:val="18"/>
              </w:rPr>
              <w:t>(CDC 2016c; Laughlin </w:t>
            </w:r>
            <w:r w:rsidR="00285EF0" w:rsidRPr="00BE211F">
              <w:rPr>
                <w:rFonts w:cs="Arial"/>
                <w:sz w:val="18"/>
                <w:szCs w:val="18"/>
              </w:rPr>
              <w:t>et al. 2019)</w:t>
            </w:r>
          </w:p>
        </w:tc>
      </w:tr>
      <w:tr w:rsidR="00285EF0" w:rsidRPr="00BE211F" w14:paraId="61BFBD07" w14:textId="77777777" w:rsidTr="00285EF0">
        <w:trPr>
          <w:cantSplit/>
        </w:trPr>
        <w:tc>
          <w:tcPr>
            <w:tcW w:w="1560" w:type="dxa"/>
          </w:tcPr>
          <w:p w14:paraId="74FEC572" w14:textId="77777777" w:rsidR="00285EF0" w:rsidRPr="00BE211F" w:rsidRDefault="00285EF0" w:rsidP="00285EF0">
            <w:pPr>
              <w:rPr>
                <w:rFonts w:cs="Arial"/>
                <w:sz w:val="18"/>
                <w:szCs w:val="18"/>
              </w:rPr>
            </w:pPr>
            <w:r w:rsidRPr="00BE211F">
              <w:rPr>
                <w:rFonts w:cs="Arial"/>
                <w:sz w:val="18"/>
                <w:szCs w:val="18"/>
              </w:rPr>
              <w:t>Peas, sugar snap</w:t>
            </w:r>
          </w:p>
        </w:tc>
        <w:tc>
          <w:tcPr>
            <w:tcW w:w="2045" w:type="dxa"/>
          </w:tcPr>
          <w:p w14:paraId="6CE98E1D" w14:textId="77777777" w:rsidR="00285EF0" w:rsidRPr="00BE211F" w:rsidRDefault="00285EF0" w:rsidP="00285EF0">
            <w:pPr>
              <w:rPr>
                <w:rFonts w:cs="Arial"/>
                <w:i/>
                <w:sz w:val="18"/>
                <w:szCs w:val="18"/>
              </w:rPr>
            </w:pPr>
            <w:r w:rsidRPr="00BE211F">
              <w:rPr>
                <w:rFonts w:cs="Arial"/>
                <w:i/>
                <w:sz w:val="18"/>
                <w:szCs w:val="18"/>
              </w:rPr>
              <w:t>C. cayetanensis</w:t>
            </w:r>
          </w:p>
        </w:tc>
        <w:tc>
          <w:tcPr>
            <w:tcW w:w="850" w:type="dxa"/>
          </w:tcPr>
          <w:p w14:paraId="56FDD75C" w14:textId="77777777" w:rsidR="00285EF0" w:rsidRPr="00BE211F" w:rsidRDefault="00285EF0" w:rsidP="00285EF0">
            <w:pPr>
              <w:rPr>
                <w:rFonts w:cs="Arial"/>
                <w:sz w:val="18"/>
                <w:szCs w:val="18"/>
              </w:rPr>
            </w:pPr>
            <w:r w:rsidRPr="00BE211F">
              <w:rPr>
                <w:rFonts w:cs="Arial"/>
                <w:sz w:val="18"/>
                <w:szCs w:val="18"/>
              </w:rPr>
              <w:t>2015</w:t>
            </w:r>
          </w:p>
        </w:tc>
        <w:tc>
          <w:tcPr>
            <w:tcW w:w="1417" w:type="dxa"/>
          </w:tcPr>
          <w:p w14:paraId="633BC2C1" w14:textId="77777777" w:rsidR="00285EF0" w:rsidRPr="00BE211F" w:rsidRDefault="00285EF0" w:rsidP="00285EF0">
            <w:pPr>
              <w:rPr>
                <w:rFonts w:cs="Arial"/>
                <w:sz w:val="18"/>
                <w:szCs w:val="18"/>
              </w:rPr>
            </w:pPr>
            <w:r w:rsidRPr="00BE211F">
              <w:rPr>
                <w:rFonts w:cs="Arial"/>
                <w:sz w:val="18"/>
                <w:szCs w:val="18"/>
              </w:rPr>
              <w:t>Canada</w:t>
            </w:r>
          </w:p>
        </w:tc>
        <w:tc>
          <w:tcPr>
            <w:tcW w:w="1500" w:type="dxa"/>
          </w:tcPr>
          <w:p w14:paraId="06AB5A42" w14:textId="77777777" w:rsidR="00285EF0" w:rsidRPr="00BE211F" w:rsidRDefault="00285EF0" w:rsidP="00285EF0">
            <w:pPr>
              <w:rPr>
                <w:rFonts w:cs="Arial"/>
                <w:sz w:val="18"/>
                <w:szCs w:val="18"/>
              </w:rPr>
            </w:pPr>
            <w:r w:rsidRPr="00BE211F">
              <w:rPr>
                <w:rFonts w:cs="Arial"/>
                <w:sz w:val="18"/>
                <w:szCs w:val="18"/>
              </w:rPr>
              <w:t>Guatemala</w:t>
            </w:r>
          </w:p>
        </w:tc>
        <w:tc>
          <w:tcPr>
            <w:tcW w:w="1134" w:type="dxa"/>
          </w:tcPr>
          <w:p w14:paraId="76B237EB" w14:textId="77777777" w:rsidR="00285EF0" w:rsidRPr="00BE211F" w:rsidRDefault="00285EF0" w:rsidP="00285EF0">
            <w:pPr>
              <w:rPr>
                <w:rFonts w:cs="Arial"/>
                <w:sz w:val="18"/>
                <w:szCs w:val="18"/>
              </w:rPr>
            </w:pPr>
            <w:r w:rsidRPr="00BE211F">
              <w:rPr>
                <w:rFonts w:cs="Arial"/>
                <w:sz w:val="18"/>
                <w:szCs w:val="18"/>
              </w:rPr>
              <w:t>45</w:t>
            </w:r>
          </w:p>
        </w:tc>
        <w:tc>
          <w:tcPr>
            <w:tcW w:w="1417" w:type="dxa"/>
          </w:tcPr>
          <w:p w14:paraId="2E181713"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6D3A1289"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67E5FB6B" w14:textId="77777777" w:rsidR="00285EF0" w:rsidRPr="00BE211F" w:rsidRDefault="00285EF0" w:rsidP="00285EF0">
            <w:pPr>
              <w:rPr>
                <w:rFonts w:cs="Arial"/>
                <w:sz w:val="18"/>
                <w:szCs w:val="18"/>
              </w:rPr>
            </w:pPr>
            <w:r w:rsidRPr="00BE211F">
              <w:rPr>
                <w:rFonts w:cs="Arial"/>
                <w:sz w:val="18"/>
                <w:szCs w:val="18"/>
              </w:rPr>
              <w:t>(Whitfield et al. 2017)</w:t>
            </w:r>
          </w:p>
          <w:p w14:paraId="7CEB1634" w14:textId="77777777" w:rsidR="00285EF0" w:rsidRPr="00BE211F" w:rsidRDefault="00285EF0" w:rsidP="00285EF0">
            <w:pPr>
              <w:rPr>
                <w:rFonts w:cs="Arial"/>
                <w:sz w:val="18"/>
                <w:szCs w:val="18"/>
              </w:rPr>
            </w:pPr>
          </w:p>
        </w:tc>
      </w:tr>
      <w:tr w:rsidR="00285EF0" w:rsidRPr="00BE211F" w14:paraId="3573CD0C" w14:textId="77777777" w:rsidTr="00285EF0">
        <w:trPr>
          <w:cantSplit/>
        </w:trPr>
        <w:tc>
          <w:tcPr>
            <w:tcW w:w="1560" w:type="dxa"/>
          </w:tcPr>
          <w:p w14:paraId="13C3A45D" w14:textId="77777777" w:rsidR="00285EF0" w:rsidRPr="00BE211F" w:rsidRDefault="00285EF0" w:rsidP="00285EF0">
            <w:pPr>
              <w:rPr>
                <w:rFonts w:cs="Arial"/>
                <w:sz w:val="18"/>
                <w:szCs w:val="18"/>
              </w:rPr>
            </w:pPr>
            <w:r w:rsidRPr="00BE211F">
              <w:rPr>
                <w:rFonts w:cs="Arial"/>
                <w:sz w:val="18"/>
                <w:szCs w:val="18"/>
              </w:rPr>
              <w:t>Frozen corn (possibly other frozen vegetables)</w:t>
            </w:r>
          </w:p>
        </w:tc>
        <w:tc>
          <w:tcPr>
            <w:tcW w:w="2045" w:type="dxa"/>
          </w:tcPr>
          <w:p w14:paraId="53855010" w14:textId="77777777" w:rsidR="00285EF0" w:rsidRPr="00BE211F" w:rsidRDefault="00285EF0" w:rsidP="00285EF0">
            <w:pPr>
              <w:rPr>
                <w:rFonts w:cs="Arial"/>
                <w:i/>
                <w:sz w:val="18"/>
                <w:szCs w:val="18"/>
              </w:rPr>
            </w:pPr>
            <w:r w:rsidRPr="00BE211F">
              <w:rPr>
                <w:rFonts w:cs="Arial"/>
                <w:i/>
                <w:sz w:val="18"/>
                <w:szCs w:val="18"/>
              </w:rPr>
              <w:t>L. monocytogenes</w:t>
            </w:r>
          </w:p>
        </w:tc>
        <w:tc>
          <w:tcPr>
            <w:tcW w:w="850" w:type="dxa"/>
          </w:tcPr>
          <w:p w14:paraId="3C5D4C35" w14:textId="77777777" w:rsidR="00285EF0" w:rsidRPr="00BE211F" w:rsidRDefault="00285EF0" w:rsidP="00285EF0">
            <w:pPr>
              <w:rPr>
                <w:rFonts w:cs="Arial"/>
                <w:sz w:val="18"/>
                <w:szCs w:val="18"/>
              </w:rPr>
            </w:pPr>
            <w:r w:rsidRPr="00BE211F">
              <w:rPr>
                <w:rFonts w:cs="Arial"/>
                <w:sz w:val="18"/>
                <w:szCs w:val="18"/>
              </w:rPr>
              <w:t>2015-2018</w:t>
            </w:r>
          </w:p>
        </w:tc>
        <w:tc>
          <w:tcPr>
            <w:tcW w:w="1417" w:type="dxa"/>
          </w:tcPr>
          <w:p w14:paraId="62415149" w14:textId="77777777" w:rsidR="00285EF0" w:rsidRPr="00BE211F" w:rsidRDefault="00285EF0" w:rsidP="00285EF0">
            <w:pPr>
              <w:rPr>
                <w:rFonts w:cs="Arial"/>
                <w:sz w:val="18"/>
                <w:szCs w:val="18"/>
              </w:rPr>
            </w:pPr>
            <w:r w:rsidRPr="00BE211F">
              <w:rPr>
                <w:rFonts w:cs="Arial"/>
                <w:sz w:val="18"/>
                <w:szCs w:val="18"/>
              </w:rPr>
              <w:t>Austria, Denmark, Finland, Sweden, UK</w:t>
            </w:r>
          </w:p>
        </w:tc>
        <w:tc>
          <w:tcPr>
            <w:tcW w:w="1500" w:type="dxa"/>
          </w:tcPr>
          <w:p w14:paraId="7ED85B05" w14:textId="77777777" w:rsidR="00285EF0" w:rsidRPr="00BE211F" w:rsidRDefault="00285EF0" w:rsidP="00285EF0">
            <w:pPr>
              <w:rPr>
                <w:rFonts w:cs="Arial"/>
                <w:sz w:val="18"/>
                <w:szCs w:val="18"/>
              </w:rPr>
            </w:pPr>
            <w:r w:rsidRPr="00BE211F">
              <w:rPr>
                <w:rFonts w:cs="Arial"/>
                <w:sz w:val="18"/>
                <w:szCs w:val="18"/>
              </w:rPr>
              <w:t>Hungary</w:t>
            </w:r>
          </w:p>
        </w:tc>
        <w:tc>
          <w:tcPr>
            <w:tcW w:w="1134" w:type="dxa"/>
          </w:tcPr>
          <w:p w14:paraId="4D28D889" w14:textId="77777777" w:rsidR="00285EF0" w:rsidRPr="00BE211F" w:rsidRDefault="00285EF0" w:rsidP="00285EF0">
            <w:pPr>
              <w:rPr>
                <w:rFonts w:cs="Arial"/>
                <w:sz w:val="18"/>
                <w:szCs w:val="18"/>
              </w:rPr>
            </w:pPr>
            <w:r w:rsidRPr="00BE211F">
              <w:rPr>
                <w:rFonts w:cs="Arial"/>
                <w:sz w:val="18"/>
                <w:szCs w:val="18"/>
              </w:rPr>
              <w:t>47 (9)</w:t>
            </w:r>
          </w:p>
        </w:tc>
        <w:tc>
          <w:tcPr>
            <w:tcW w:w="1417" w:type="dxa"/>
          </w:tcPr>
          <w:p w14:paraId="3307D437" w14:textId="77777777" w:rsidR="00285EF0" w:rsidRPr="00BE211F" w:rsidRDefault="00285EF0" w:rsidP="00285EF0">
            <w:pPr>
              <w:rPr>
                <w:rFonts w:cs="Arial"/>
                <w:sz w:val="18"/>
                <w:szCs w:val="18"/>
              </w:rPr>
            </w:pPr>
            <w:r w:rsidRPr="00BE211F">
              <w:rPr>
                <w:rFonts w:cs="Arial"/>
                <w:sz w:val="18"/>
                <w:szCs w:val="18"/>
              </w:rPr>
              <w:t>L</w:t>
            </w:r>
          </w:p>
        </w:tc>
        <w:tc>
          <w:tcPr>
            <w:tcW w:w="2126" w:type="dxa"/>
          </w:tcPr>
          <w:p w14:paraId="4E6510A8" w14:textId="77777777" w:rsidR="00285EF0" w:rsidRPr="00BE211F" w:rsidRDefault="00285EF0" w:rsidP="00285EF0">
            <w:pPr>
              <w:rPr>
                <w:rFonts w:cs="Arial"/>
                <w:sz w:val="18"/>
                <w:szCs w:val="18"/>
              </w:rPr>
            </w:pPr>
            <w:r w:rsidRPr="00BE211F">
              <w:rPr>
                <w:rFonts w:cs="Arial"/>
                <w:sz w:val="18"/>
                <w:szCs w:val="18"/>
              </w:rPr>
              <w:t xml:space="preserve">Persistent contamination at the processing plant, despite cleaning and disinfection. </w:t>
            </w:r>
          </w:p>
        </w:tc>
        <w:tc>
          <w:tcPr>
            <w:tcW w:w="2127" w:type="dxa"/>
          </w:tcPr>
          <w:p w14:paraId="163CCC3C" w14:textId="77777777" w:rsidR="00285EF0" w:rsidRPr="00BE211F" w:rsidRDefault="00285EF0" w:rsidP="00285EF0">
            <w:pPr>
              <w:rPr>
                <w:rFonts w:cs="Arial"/>
                <w:sz w:val="18"/>
                <w:szCs w:val="18"/>
              </w:rPr>
            </w:pPr>
            <w:r w:rsidRPr="00BE211F">
              <w:rPr>
                <w:rFonts w:cs="Arial"/>
                <w:sz w:val="18"/>
                <w:szCs w:val="18"/>
              </w:rPr>
              <w:t>(EFSA 2018a, 2018b)</w:t>
            </w:r>
          </w:p>
        </w:tc>
      </w:tr>
      <w:tr w:rsidR="00285EF0" w:rsidRPr="00BE211F" w14:paraId="06B4292B" w14:textId="77777777" w:rsidTr="00285EF0">
        <w:trPr>
          <w:cantSplit/>
        </w:trPr>
        <w:tc>
          <w:tcPr>
            <w:tcW w:w="14176" w:type="dxa"/>
            <w:gridSpan w:val="9"/>
          </w:tcPr>
          <w:p w14:paraId="368E287E" w14:textId="77777777" w:rsidR="00285EF0" w:rsidRPr="00BE211F" w:rsidRDefault="00285EF0" w:rsidP="00285EF0">
            <w:pPr>
              <w:rPr>
                <w:rFonts w:cs="Arial"/>
                <w:sz w:val="18"/>
                <w:szCs w:val="18"/>
              </w:rPr>
            </w:pPr>
          </w:p>
        </w:tc>
      </w:tr>
      <w:tr w:rsidR="00285EF0" w:rsidRPr="00BE211F" w14:paraId="235388BE" w14:textId="77777777" w:rsidTr="00285EF0">
        <w:trPr>
          <w:cantSplit/>
        </w:trPr>
        <w:tc>
          <w:tcPr>
            <w:tcW w:w="14176" w:type="dxa"/>
            <w:gridSpan w:val="9"/>
            <w:shd w:val="clear" w:color="auto" w:fill="C6D9F1" w:themeFill="text2" w:themeFillTint="33"/>
          </w:tcPr>
          <w:p w14:paraId="489BFD5C" w14:textId="77777777" w:rsidR="00285EF0" w:rsidRPr="00BE211F" w:rsidRDefault="00285EF0" w:rsidP="00285EF0">
            <w:pPr>
              <w:rPr>
                <w:rFonts w:cs="Arial"/>
                <w:sz w:val="18"/>
                <w:szCs w:val="18"/>
              </w:rPr>
            </w:pPr>
            <w:r w:rsidRPr="00BE211F">
              <w:rPr>
                <w:rFonts w:cs="Arial"/>
                <w:sz w:val="18"/>
                <w:szCs w:val="18"/>
              </w:rPr>
              <w:t>Melons</w:t>
            </w:r>
          </w:p>
        </w:tc>
      </w:tr>
      <w:tr w:rsidR="00285EF0" w:rsidRPr="00BE211F" w14:paraId="073FA134" w14:textId="77777777" w:rsidTr="00285EF0">
        <w:trPr>
          <w:cantSplit/>
        </w:trPr>
        <w:tc>
          <w:tcPr>
            <w:tcW w:w="1560" w:type="dxa"/>
          </w:tcPr>
          <w:p w14:paraId="56B19E17" w14:textId="77777777" w:rsidR="00285EF0" w:rsidRPr="00BE211F" w:rsidRDefault="00285EF0" w:rsidP="00285EF0">
            <w:pPr>
              <w:rPr>
                <w:rFonts w:cs="Arial"/>
                <w:sz w:val="18"/>
                <w:szCs w:val="18"/>
              </w:rPr>
            </w:pPr>
            <w:r w:rsidRPr="00BE211F">
              <w:rPr>
                <w:rFonts w:cs="Arial"/>
                <w:sz w:val="18"/>
                <w:szCs w:val="18"/>
              </w:rPr>
              <w:t>Watermelon</w:t>
            </w:r>
          </w:p>
        </w:tc>
        <w:tc>
          <w:tcPr>
            <w:tcW w:w="2045" w:type="dxa"/>
          </w:tcPr>
          <w:p w14:paraId="770AB39D" w14:textId="77777777" w:rsidR="00285EF0" w:rsidRPr="00BE211F" w:rsidRDefault="00285EF0" w:rsidP="00285EF0">
            <w:pPr>
              <w:rPr>
                <w:rFonts w:cs="Arial"/>
                <w:i/>
                <w:sz w:val="18"/>
                <w:szCs w:val="18"/>
              </w:rPr>
            </w:pPr>
            <w:r w:rsidRPr="00BE211F">
              <w:rPr>
                <w:rFonts w:cs="Arial"/>
                <w:i/>
                <w:sz w:val="18"/>
                <w:szCs w:val="18"/>
              </w:rPr>
              <w:t xml:space="preserve">Salmonella </w:t>
            </w:r>
            <w:r w:rsidRPr="00BE211F">
              <w:rPr>
                <w:rFonts w:cs="Arial"/>
                <w:sz w:val="18"/>
                <w:szCs w:val="18"/>
              </w:rPr>
              <w:t>Typhimurium</w:t>
            </w:r>
          </w:p>
        </w:tc>
        <w:tc>
          <w:tcPr>
            <w:tcW w:w="850" w:type="dxa"/>
          </w:tcPr>
          <w:p w14:paraId="70999760" w14:textId="77777777" w:rsidR="00285EF0" w:rsidRPr="00BE211F" w:rsidRDefault="00285EF0" w:rsidP="00285EF0">
            <w:pPr>
              <w:rPr>
                <w:rFonts w:cs="Arial"/>
                <w:sz w:val="18"/>
                <w:szCs w:val="18"/>
              </w:rPr>
            </w:pPr>
            <w:r w:rsidRPr="00BE211F">
              <w:rPr>
                <w:rFonts w:cs="Arial"/>
                <w:sz w:val="18"/>
                <w:szCs w:val="18"/>
              </w:rPr>
              <w:t>2009</w:t>
            </w:r>
          </w:p>
        </w:tc>
        <w:tc>
          <w:tcPr>
            <w:tcW w:w="1417" w:type="dxa"/>
          </w:tcPr>
          <w:p w14:paraId="4F513C21" w14:textId="77777777" w:rsidR="00285EF0" w:rsidRPr="00BE211F" w:rsidRDefault="00285EF0" w:rsidP="00285EF0">
            <w:pPr>
              <w:rPr>
                <w:rFonts w:cs="Arial"/>
                <w:sz w:val="18"/>
                <w:szCs w:val="18"/>
              </w:rPr>
            </w:pPr>
            <w:r w:rsidRPr="00BE211F">
              <w:rPr>
                <w:rFonts w:cs="Arial"/>
                <w:sz w:val="18"/>
                <w:szCs w:val="18"/>
              </w:rPr>
              <w:t>New Zealand</w:t>
            </w:r>
          </w:p>
        </w:tc>
        <w:tc>
          <w:tcPr>
            <w:tcW w:w="1500" w:type="dxa"/>
          </w:tcPr>
          <w:p w14:paraId="7A7C9A5F" w14:textId="77777777" w:rsidR="00285EF0" w:rsidRPr="00BE211F" w:rsidRDefault="00285EF0" w:rsidP="00285EF0">
            <w:pPr>
              <w:rPr>
                <w:rFonts w:cs="Arial"/>
                <w:sz w:val="18"/>
                <w:szCs w:val="18"/>
              </w:rPr>
            </w:pPr>
            <w:r w:rsidRPr="00BE211F">
              <w:rPr>
                <w:rFonts w:cs="Arial"/>
                <w:sz w:val="18"/>
                <w:szCs w:val="18"/>
              </w:rPr>
              <w:t>New Zealand</w:t>
            </w:r>
          </w:p>
        </w:tc>
        <w:tc>
          <w:tcPr>
            <w:tcW w:w="1134" w:type="dxa"/>
          </w:tcPr>
          <w:p w14:paraId="193B2D4B" w14:textId="77777777" w:rsidR="00285EF0" w:rsidRPr="00BE211F" w:rsidRDefault="00285EF0" w:rsidP="00285EF0">
            <w:pPr>
              <w:rPr>
                <w:rFonts w:cs="Arial"/>
                <w:sz w:val="18"/>
                <w:szCs w:val="18"/>
              </w:rPr>
            </w:pPr>
            <w:r w:rsidRPr="00BE211F">
              <w:rPr>
                <w:rFonts w:cs="Arial"/>
                <w:sz w:val="18"/>
                <w:szCs w:val="18"/>
              </w:rPr>
              <w:t>18</w:t>
            </w:r>
          </w:p>
        </w:tc>
        <w:tc>
          <w:tcPr>
            <w:tcW w:w="1417" w:type="dxa"/>
          </w:tcPr>
          <w:p w14:paraId="0E45569D"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151879A3" w14:textId="77777777" w:rsidR="00285EF0" w:rsidRPr="00BE211F" w:rsidRDefault="00285EF0" w:rsidP="00285EF0">
            <w:pPr>
              <w:rPr>
                <w:rFonts w:cs="Arial"/>
                <w:sz w:val="18"/>
                <w:szCs w:val="18"/>
              </w:rPr>
            </w:pPr>
            <w:r w:rsidRPr="00BE211F">
              <w:rPr>
                <w:rFonts w:cs="Arial"/>
                <w:sz w:val="18"/>
                <w:szCs w:val="18"/>
              </w:rPr>
              <w:t>Multiple defects in facilities, hygiene, sanitation and process controls by the watermelon grower/seller.</w:t>
            </w:r>
          </w:p>
        </w:tc>
        <w:tc>
          <w:tcPr>
            <w:tcW w:w="2127" w:type="dxa"/>
          </w:tcPr>
          <w:p w14:paraId="66FF2952" w14:textId="77777777" w:rsidR="00285EF0" w:rsidRPr="00BE211F" w:rsidRDefault="00285EF0" w:rsidP="00285EF0">
            <w:pPr>
              <w:rPr>
                <w:rFonts w:cs="Arial"/>
                <w:sz w:val="18"/>
                <w:szCs w:val="18"/>
              </w:rPr>
            </w:pPr>
            <w:r w:rsidRPr="00BE211F">
              <w:rPr>
                <w:rFonts w:cs="Arial"/>
                <w:sz w:val="18"/>
                <w:szCs w:val="18"/>
              </w:rPr>
              <w:t>(McCallum et al. 2010)</w:t>
            </w:r>
          </w:p>
          <w:p w14:paraId="65E11716" w14:textId="77777777" w:rsidR="00285EF0" w:rsidRPr="00BE211F" w:rsidRDefault="00285EF0" w:rsidP="00285EF0">
            <w:pPr>
              <w:rPr>
                <w:rFonts w:cs="Arial"/>
                <w:sz w:val="18"/>
                <w:szCs w:val="18"/>
              </w:rPr>
            </w:pPr>
          </w:p>
        </w:tc>
      </w:tr>
      <w:tr w:rsidR="00285EF0" w:rsidRPr="00BE211F" w14:paraId="722A2A31" w14:textId="77777777" w:rsidTr="00285EF0">
        <w:trPr>
          <w:cantSplit/>
        </w:trPr>
        <w:tc>
          <w:tcPr>
            <w:tcW w:w="1560" w:type="dxa"/>
          </w:tcPr>
          <w:p w14:paraId="2F18052F" w14:textId="77777777" w:rsidR="00285EF0" w:rsidRPr="00BE211F" w:rsidRDefault="00285EF0" w:rsidP="00285EF0">
            <w:pPr>
              <w:rPr>
                <w:rFonts w:cs="Arial"/>
                <w:sz w:val="18"/>
                <w:szCs w:val="18"/>
              </w:rPr>
            </w:pPr>
            <w:r w:rsidRPr="00BE211F">
              <w:rPr>
                <w:rFonts w:cs="Arial"/>
                <w:sz w:val="18"/>
                <w:szCs w:val="18"/>
              </w:rPr>
              <w:t>Watermelon</w:t>
            </w:r>
          </w:p>
        </w:tc>
        <w:tc>
          <w:tcPr>
            <w:tcW w:w="2045" w:type="dxa"/>
          </w:tcPr>
          <w:p w14:paraId="478BA5E1" w14:textId="77777777" w:rsidR="00285EF0" w:rsidRPr="00BE211F" w:rsidRDefault="00285EF0" w:rsidP="00285EF0">
            <w:pPr>
              <w:rPr>
                <w:rFonts w:cs="Arial"/>
                <w:i/>
                <w:sz w:val="18"/>
                <w:szCs w:val="18"/>
              </w:rPr>
            </w:pPr>
            <w:r w:rsidRPr="00BE211F">
              <w:rPr>
                <w:rFonts w:cs="Arial"/>
                <w:i/>
                <w:sz w:val="18"/>
                <w:szCs w:val="18"/>
              </w:rPr>
              <w:t xml:space="preserve">Salmonella </w:t>
            </w:r>
            <w:r w:rsidRPr="00BE211F">
              <w:rPr>
                <w:rFonts w:cs="Arial"/>
                <w:sz w:val="18"/>
                <w:szCs w:val="18"/>
              </w:rPr>
              <w:t>Newport</w:t>
            </w:r>
          </w:p>
        </w:tc>
        <w:tc>
          <w:tcPr>
            <w:tcW w:w="850" w:type="dxa"/>
          </w:tcPr>
          <w:p w14:paraId="53677F5B" w14:textId="77777777" w:rsidR="00285EF0" w:rsidRPr="00BE211F" w:rsidRDefault="00285EF0" w:rsidP="00285EF0">
            <w:pPr>
              <w:rPr>
                <w:rFonts w:cs="Arial"/>
                <w:sz w:val="18"/>
                <w:szCs w:val="18"/>
              </w:rPr>
            </w:pPr>
            <w:r w:rsidRPr="00BE211F">
              <w:rPr>
                <w:rFonts w:cs="Arial"/>
                <w:sz w:val="18"/>
                <w:szCs w:val="18"/>
              </w:rPr>
              <w:t>2011-2012</w:t>
            </w:r>
          </w:p>
        </w:tc>
        <w:tc>
          <w:tcPr>
            <w:tcW w:w="1417" w:type="dxa"/>
          </w:tcPr>
          <w:p w14:paraId="448D9F00" w14:textId="77777777" w:rsidR="00285EF0" w:rsidRPr="00BE211F" w:rsidRDefault="00285EF0" w:rsidP="00285EF0">
            <w:pPr>
              <w:rPr>
                <w:rFonts w:cs="Arial"/>
                <w:sz w:val="18"/>
                <w:szCs w:val="18"/>
              </w:rPr>
            </w:pPr>
            <w:r w:rsidRPr="00BE211F">
              <w:rPr>
                <w:rFonts w:cs="Arial"/>
                <w:sz w:val="18"/>
                <w:szCs w:val="18"/>
              </w:rPr>
              <w:t>England, Wales, Northern Ireland, Scotland, Ireland, Germany</w:t>
            </w:r>
          </w:p>
        </w:tc>
        <w:tc>
          <w:tcPr>
            <w:tcW w:w="1500" w:type="dxa"/>
          </w:tcPr>
          <w:p w14:paraId="08198DC8" w14:textId="77777777" w:rsidR="00285EF0" w:rsidRPr="00BE211F" w:rsidRDefault="00285EF0" w:rsidP="00285EF0">
            <w:pPr>
              <w:rPr>
                <w:rFonts w:cs="Arial"/>
                <w:sz w:val="18"/>
                <w:szCs w:val="18"/>
              </w:rPr>
            </w:pPr>
            <w:r w:rsidRPr="00BE211F">
              <w:rPr>
                <w:rFonts w:cs="Arial"/>
                <w:sz w:val="18"/>
                <w:szCs w:val="18"/>
              </w:rPr>
              <w:t>Brazil</w:t>
            </w:r>
          </w:p>
        </w:tc>
        <w:tc>
          <w:tcPr>
            <w:tcW w:w="1134" w:type="dxa"/>
          </w:tcPr>
          <w:p w14:paraId="5760EFC5" w14:textId="77777777" w:rsidR="00285EF0" w:rsidRPr="00BE211F" w:rsidRDefault="00285EF0" w:rsidP="00285EF0">
            <w:pPr>
              <w:rPr>
                <w:rFonts w:cs="Arial"/>
                <w:sz w:val="18"/>
                <w:szCs w:val="18"/>
              </w:rPr>
            </w:pPr>
            <w:r w:rsidRPr="00BE211F">
              <w:rPr>
                <w:rFonts w:cs="Arial"/>
                <w:sz w:val="18"/>
                <w:szCs w:val="18"/>
              </w:rPr>
              <w:t>63 (3)</w:t>
            </w:r>
          </w:p>
        </w:tc>
        <w:tc>
          <w:tcPr>
            <w:tcW w:w="1417" w:type="dxa"/>
          </w:tcPr>
          <w:p w14:paraId="3CDB48A9" w14:textId="77777777" w:rsidR="00285EF0" w:rsidRPr="00BE211F" w:rsidRDefault="00285EF0" w:rsidP="00285EF0">
            <w:pPr>
              <w:rPr>
                <w:rFonts w:cs="Arial"/>
                <w:sz w:val="18"/>
                <w:szCs w:val="18"/>
              </w:rPr>
            </w:pPr>
            <w:r w:rsidRPr="00BE211F">
              <w:rPr>
                <w:rFonts w:cs="Arial"/>
                <w:sz w:val="18"/>
                <w:szCs w:val="18"/>
              </w:rPr>
              <w:t>E, L</w:t>
            </w:r>
          </w:p>
        </w:tc>
        <w:tc>
          <w:tcPr>
            <w:tcW w:w="2126" w:type="dxa"/>
          </w:tcPr>
          <w:p w14:paraId="437F4B0B"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056EC210" w14:textId="77777777" w:rsidR="00285EF0" w:rsidRPr="00BE211F" w:rsidRDefault="00285EF0" w:rsidP="00285EF0">
            <w:pPr>
              <w:rPr>
                <w:rFonts w:cs="Arial"/>
                <w:sz w:val="18"/>
                <w:szCs w:val="18"/>
              </w:rPr>
            </w:pPr>
            <w:r w:rsidRPr="00BE211F">
              <w:rPr>
                <w:rFonts w:cs="Arial"/>
                <w:sz w:val="18"/>
                <w:szCs w:val="18"/>
              </w:rPr>
              <w:t>(Byrne et al. 2014)</w:t>
            </w:r>
          </w:p>
          <w:p w14:paraId="051783DB" w14:textId="77777777" w:rsidR="00285EF0" w:rsidRPr="00BE211F" w:rsidRDefault="00285EF0" w:rsidP="00285EF0">
            <w:pPr>
              <w:rPr>
                <w:rFonts w:cs="Arial"/>
                <w:sz w:val="18"/>
                <w:szCs w:val="18"/>
              </w:rPr>
            </w:pPr>
          </w:p>
        </w:tc>
      </w:tr>
      <w:tr w:rsidR="00285EF0" w:rsidRPr="00BE211F" w14:paraId="152A0BC4" w14:textId="77777777" w:rsidTr="00285EF0">
        <w:trPr>
          <w:cantSplit/>
        </w:trPr>
        <w:tc>
          <w:tcPr>
            <w:tcW w:w="1560" w:type="dxa"/>
          </w:tcPr>
          <w:p w14:paraId="56A19E7F" w14:textId="77777777" w:rsidR="00285EF0" w:rsidRPr="00BE211F" w:rsidRDefault="00285EF0" w:rsidP="00285EF0">
            <w:pPr>
              <w:rPr>
                <w:rFonts w:cs="Arial"/>
                <w:sz w:val="18"/>
                <w:szCs w:val="18"/>
              </w:rPr>
            </w:pPr>
            <w:r w:rsidRPr="00BE211F">
              <w:rPr>
                <w:rFonts w:cs="Arial"/>
                <w:sz w:val="18"/>
                <w:szCs w:val="18"/>
              </w:rPr>
              <w:t>Rockmelon</w:t>
            </w:r>
          </w:p>
        </w:tc>
        <w:tc>
          <w:tcPr>
            <w:tcW w:w="2045" w:type="dxa"/>
          </w:tcPr>
          <w:p w14:paraId="114A625B" w14:textId="77777777" w:rsidR="00285EF0" w:rsidRPr="00BE211F" w:rsidRDefault="00285EF0" w:rsidP="00285EF0">
            <w:pPr>
              <w:rPr>
                <w:rFonts w:cs="Arial"/>
                <w:i/>
                <w:sz w:val="18"/>
                <w:szCs w:val="18"/>
              </w:rPr>
            </w:pPr>
            <w:r w:rsidRPr="00BE211F">
              <w:rPr>
                <w:rFonts w:cs="Arial"/>
                <w:i/>
                <w:sz w:val="18"/>
                <w:szCs w:val="18"/>
              </w:rPr>
              <w:t xml:space="preserve">Salmonella </w:t>
            </w:r>
            <w:r w:rsidRPr="00BE211F">
              <w:rPr>
                <w:rFonts w:cs="Arial"/>
                <w:sz w:val="18"/>
                <w:szCs w:val="18"/>
              </w:rPr>
              <w:t xml:space="preserve">Typhimurium, </w:t>
            </w:r>
            <w:r w:rsidRPr="00BE211F">
              <w:rPr>
                <w:rFonts w:cs="Arial"/>
                <w:i/>
                <w:sz w:val="18"/>
                <w:szCs w:val="18"/>
              </w:rPr>
              <w:t>Salmonella</w:t>
            </w:r>
            <w:r w:rsidRPr="00BE211F">
              <w:rPr>
                <w:rFonts w:cs="Arial"/>
                <w:sz w:val="18"/>
                <w:szCs w:val="18"/>
              </w:rPr>
              <w:t xml:space="preserve"> Newport</w:t>
            </w:r>
          </w:p>
        </w:tc>
        <w:tc>
          <w:tcPr>
            <w:tcW w:w="850" w:type="dxa"/>
          </w:tcPr>
          <w:p w14:paraId="6DABE5F8" w14:textId="77777777" w:rsidR="00285EF0" w:rsidRPr="00BE211F" w:rsidRDefault="00285EF0" w:rsidP="00285EF0">
            <w:pPr>
              <w:rPr>
                <w:rFonts w:cs="Arial"/>
                <w:sz w:val="18"/>
                <w:szCs w:val="18"/>
              </w:rPr>
            </w:pPr>
            <w:r w:rsidRPr="00BE211F">
              <w:rPr>
                <w:rFonts w:cs="Arial"/>
                <w:sz w:val="18"/>
                <w:szCs w:val="18"/>
              </w:rPr>
              <w:t>2012</w:t>
            </w:r>
          </w:p>
        </w:tc>
        <w:tc>
          <w:tcPr>
            <w:tcW w:w="1417" w:type="dxa"/>
          </w:tcPr>
          <w:p w14:paraId="76A23BAC"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48D83AEE"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2A59A9A2" w14:textId="77777777" w:rsidR="00285EF0" w:rsidRPr="00BE211F" w:rsidRDefault="00285EF0" w:rsidP="00285EF0">
            <w:pPr>
              <w:rPr>
                <w:rFonts w:cs="Arial"/>
                <w:sz w:val="18"/>
                <w:szCs w:val="18"/>
              </w:rPr>
            </w:pPr>
            <w:r w:rsidRPr="00BE211F">
              <w:rPr>
                <w:rFonts w:cs="Arial"/>
                <w:sz w:val="18"/>
                <w:szCs w:val="18"/>
              </w:rPr>
              <w:t>261 (3)</w:t>
            </w:r>
          </w:p>
        </w:tc>
        <w:tc>
          <w:tcPr>
            <w:tcW w:w="1417" w:type="dxa"/>
          </w:tcPr>
          <w:p w14:paraId="4CCD7847" w14:textId="77777777" w:rsidR="00285EF0" w:rsidRPr="00BE211F" w:rsidRDefault="00285EF0" w:rsidP="00285EF0">
            <w:pPr>
              <w:rPr>
                <w:rFonts w:cs="Arial"/>
                <w:sz w:val="18"/>
                <w:szCs w:val="18"/>
              </w:rPr>
            </w:pPr>
            <w:r w:rsidRPr="00BE211F">
              <w:rPr>
                <w:rFonts w:cs="Arial"/>
                <w:sz w:val="18"/>
                <w:szCs w:val="18"/>
              </w:rPr>
              <w:t>L</w:t>
            </w:r>
          </w:p>
        </w:tc>
        <w:tc>
          <w:tcPr>
            <w:tcW w:w="2126" w:type="dxa"/>
          </w:tcPr>
          <w:p w14:paraId="018C2020" w14:textId="77777777" w:rsidR="00285EF0" w:rsidRPr="00BE211F" w:rsidRDefault="00285EF0" w:rsidP="00285EF0">
            <w:pPr>
              <w:rPr>
                <w:rFonts w:cs="Arial"/>
                <w:sz w:val="18"/>
                <w:szCs w:val="18"/>
              </w:rPr>
            </w:pPr>
            <w:r w:rsidRPr="00BE211F">
              <w:rPr>
                <w:rFonts w:cs="Arial"/>
                <w:sz w:val="18"/>
                <w:szCs w:val="18"/>
              </w:rPr>
              <w:t>Multiple defects in GAP, facilities, hygiene, sanitation and process controls on farm and in product distribution.</w:t>
            </w:r>
          </w:p>
        </w:tc>
        <w:tc>
          <w:tcPr>
            <w:tcW w:w="2127" w:type="dxa"/>
          </w:tcPr>
          <w:p w14:paraId="77B9276A" w14:textId="7A652126" w:rsidR="00285EF0" w:rsidRPr="00BE211F" w:rsidRDefault="00911B49" w:rsidP="00285EF0">
            <w:pPr>
              <w:rPr>
                <w:rFonts w:cs="Arial"/>
                <w:sz w:val="18"/>
                <w:szCs w:val="18"/>
              </w:rPr>
            </w:pPr>
            <w:r>
              <w:rPr>
                <w:rFonts w:cs="Arial"/>
                <w:sz w:val="18"/>
                <w:szCs w:val="18"/>
              </w:rPr>
              <w:t>(CDC 2012a; FDA </w:t>
            </w:r>
            <w:r w:rsidR="00285EF0" w:rsidRPr="00BE211F">
              <w:rPr>
                <w:rFonts w:cs="Arial"/>
                <w:sz w:val="18"/>
                <w:szCs w:val="18"/>
              </w:rPr>
              <w:t>2013)</w:t>
            </w:r>
          </w:p>
        </w:tc>
      </w:tr>
      <w:tr w:rsidR="00285EF0" w:rsidRPr="00BE211F" w14:paraId="17597993" w14:textId="77777777" w:rsidTr="00285EF0">
        <w:trPr>
          <w:cantSplit/>
        </w:trPr>
        <w:tc>
          <w:tcPr>
            <w:tcW w:w="14176" w:type="dxa"/>
            <w:gridSpan w:val="9"/>
          </w:tcPr>
          <w:p w14:paraId="09121FC5" w14:textId="77777777" w:rsidR="00285EF0" w:rsidRPr="00BE211F" w:rsidRDefault="00285EF0" w:rsidP="00285EF0">
            <w:pPr>
              <w:rPr>
                <w:rFonts w:cs="Arial"/>
                <w:sz w:val="18"/>
                <w:szCs w:val="18"/>
              </w:rPr>
            </w:pPr>
          </w:p>
        </w:tc>
      </w:tr>
      <w:tr w:rsidR="00285EF0" w:rsidRPr="00BE211F" w14:paraId="47CC6A1E" w14:textId="77777777" w:rsidTr="00285EF0">
        <w:trPr>
          <w:cantSplit/>
        </w:trPr>
        <w:tc>
          <w:tcPr>
            <w:tcW w:w="14176" w:type="dxa"/>
            <w:gridSpan w:val="9"/>
            <w:shd w:val="clear" w:color="auto" w:fill="C6D9F1" w:themeFill="text2" w:themeFillTint="33"/>
          </w:tcPr>
          <w:p w14:paraId="5E99A7EF" w14:textId="77777777" w:rsidR="00285EF0" w:rsidRPr="00BE211F" w:rsidRDefault="00285EF0" w:rsidP="00285EF0">
            <w:pPr>
              <w:rPr>
                <w:rFonts w:cs="Arial"/>
                <w:sz w:val="18"/>
                <w:szCs w:val="18"/>
              </w:rPr>
            </w:pPr>
            <w:r w:rsidRPr="00BE211F">
              <w:rPr>
                <w:rFonts w:cs="Arial"/>
                <w:sz w:val="18"/>
                <w:szCs w:val="18"/>
              </w:rPr>
              <w:t>Berries</w:t>
            </w:r>
          </w:p>
        </w:tc>
      </w:tr>
      <w:tr w:rsidR="00285EF0" w:rsidRPr="00BE211F" w14:paraId="156E0197" w14:textId="77777777" w:rsidTr="00285EF0">
        <w:trPr>
          <w:cantSplit/>
        </w:trPr>
        <w:tc>
          <w:tcPr>
            <w:tcW w:w="1560" w:type="dxa"/>
          </w:tcPr>
          <w:p w14:paraId="080FE921" w14:textId="77777777" w:rsidR="00285EF0" w:rsidRPr="00BE211F" w:rsidRDefault="00285EF0" w:rsidP="00285EF0">
            <w:pPr>
              <w:rPr>
                <w:rFonts w:cs="Arial"/>
                <w:sz w:val="18"/>
                <w:szCs w:val="18"/>
              </w:rPr>
            </w:pPr>
            <w:r w:rsidRPr="00BE211F">
              <w:rPr>
                <w:rFonts w:cs="Arial"/>
                <w:sz w:val="18"/>
                <w:szCs w:val="18"/>
              </w:rPr>
              <w:t>Blueberries</w:t>
            </w:r>
          </w:p>
        </w:tc>
        <w:tc>
          <w:tcPr>
            <w:tcW w:w="2045" w:type="dxa"/>
          </w:tcPr>
          <w:p w14:paraId="656F3D80" w14:textId="77777777" w:rsidR="00285EF0" w:rsidRPr="00BE211F" w:rsidRDefault="00285EF0" w:rsidP="00285EF0">
            <w:pPr>
              <w:rPr>
                <w:rFonts w:cs="Arial"/>
                <w:sz w:val="18"/>
                <w:szCs w:val="18"/>
              </w:rPr>
            </w:pPr>
            <w:r w:rsidRPr="00BE211F">
              <w:rPr>
                <w:rFonts w:cs="Arial"/>
                <w:i/>
                <w:sz w:val="18"/>
                <w:szCs w:val="18"/>
              </w:rPr>
              <w:t xml:space="preserve">Salmonella </w:t>
            </w:r>
            <w:r w:rsidRPr="00BE211F">
              <w:rPr>
                <w:rFonts w:cs="Arial"/>
                <w:sz w:val="18"/>
                <w:szCs w:val="18"/>
              </w:rPr>
              <w:t>Newport</w:t>
            </w:r>
          </w:p>
        </w:tc>
        <w:tc>
          <w:tcPr>
            <w:tcW w:w="850" w:type="dxa"/>
          </w:tcPr>
          <w:p w14:paraId="77973F46" w14:textId="77777777" w:rsidR="00285EF0" w:rsidRPr="00BE211F" w:rsidRDefault="00285EF0" w:rsidP="00285EF0">
            <w:pPr>
              <w:rPr>
                <w:rFonts w:cs="Arial"/>
                <w:sz w:val="18"/>
                <w:szCs w:val="18"/>
              </w:rPr>
            </w:pPr>
            <w:r w:rsidRPr="00BE211F">
              <w:rPr>
                <w:rFonts w:cs="Arial"/>
                <w:sz w:val="18"/>
                <w:szCs w:val="18"/>
              </w:rPr>
              <w:t>2010</w:t>
            </w:r>
          </w:p>
        </w:tc>
        <w:tc>
          <w:tcPr>
            <w:tcW w:w="1417" w:type="dxa"/>
          </w:tcPr>
          <w:p w14:paraId="0063503A"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7D0974D8"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6ED47003" w14:textId="77777777" w:rsidR="00285EF0" w:rsidRPr="00BE211F" w:rsidRDefault="00285EF0" w:rsidP="00285EF0">
            <w:pPr>
              <w:rPr>
                <w:rFonts w:cs="Arial"/>
                <w:sz w:val="18"/>
                <w:szCs w:val="18"/>
              </w:rPr>
            </w:pPr>
            <w:r w:rsidRPr="00BE211F">
              <w:rPr>
                <w:rFonts w:cs="Arial"/>
                <w:sz w:val="18"/>
                <w:szCs w:val="18"/>
              </w:rPr>
              <w:t>6</w:t>
            </w:r>
          </w:p>
        </w:tc>
        <w:tc>
          <w:tcPr>
            <w:tcW w:w="1417" w:type="dxa"/>
          </w:tcPr>
          <w:p w14:paraId="66DA20BE"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59270A64"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49C67159" w14:textId="77777777" w:rsidR="00285EF0" w:rsidRPr="00BE211F" w:rsidRDefault="00285EF0" w:rsidP="00285EF0">
            <w:pPr>
              <w:rPr>
                <w:rFonts w:cs="Arial"/>
                <w:sz w:val="18"/>
                <w:szCs w:val="18"/>
              </w:rPr>
            </w:pPr>
            <w:r w:rsidRPr="00BE211F">
              <w:rPr>
                <w:rFonts w:cs="Arial"/>
                <w:sz w:val="18"/>
                <w:szCs w:val="18"/>
              </w:rPr>
              <w:t>(Miller et al. 2013)</w:t>
            </w:r>
          </w:p>
          <w:p w14:paraId="5CF7470F" w14:textId="77777777" w:rsidR="00285EF0" w:rsidRPr="00BE211F" w:rsidRDefault="00285EF0" w:rsidP="00285EF0">
            <w:pPr>
              <w:rPr>
                <w:rFonts w:cs="Arial"/>
                <w:sz w:val="18"/>
                <w:szCs w:val="18"/>
              </w:rPr>
            </w:pPr>
          </w:p>
        </w:tc>
      </w:tr>
      <w:tr w:rsidR="00285EF0" w:rsidRPr="00BE211F" w14:paraId="46262CF2" w14:textId="77777777" w:rsidTr="00285EF0">
        <w:trPr>
          <w:cantSplit/>
        </w:trPr>
        <w:tc>
          <w:tcPr>
            <w:tcW w:w="1560" w:type="dxa"/>
          </w:tcPr>
          <w:p w14:paraId="383FA9FD" w14:textId="77777777" w:rsidR="00285EF0" w:rsidRPr="00BE211F" w:rsidRDefault="00285EF0" w:rsidP="00285EF0">
            <w:pPr>
              <w:rPr>
                <w:rFonts w:cs="Arial"/>
                <w:sz w:val="18"/>
                <w:szCs w:val="18"/>
              </w:rPr>
            </w:pPr>
            <w:r w:rsidRPr="00BE211F">
              <w:rPr>
                <w:rFonts w:cs="Arial"/>
                <w:sz w:val="18"/>
                <w:szCs w:val="18"/>
              </w:rPr>
              <w:t>Raspberries, frozen</w:t>
            </w:r>
          </w:p>
        </w:tc>
        <w:tc>
          <w:tcPr>
            <w:tcW w:w="2045" w:type="dxa"/>
          </w:tcPr>
          <w:p w14:paraId="7D692839" w14:textId="77777777" w:rsidR="00285EF0" w:rsidRPr="00BE211F" w:rsidRDefault="00285EF0" w:rsidP="00285EF0">
            <w:pPr>
              <w:rPr>
                <w:rFonts w:cs="Arial"/>
                <w:sz w:val="18"/>
                <w:szCs w:val="18"/>
              </w:rPr>
            </w:pPr>
            <w:r w:rsidRPr="00BE211F">
              <w:rPr>
                <w:rFonts w:cs="Arial"/>
                <w:sz w:val="18"/>
                <w:szCs w:val="18"/>
              </w:rPr>
              <w:t>Norovirus</w:t>
            </w:r>
          </w:p>
        </w:tc>
        <w:tc>
          <w:tcPr>
            <w:tcW w:w="850" w:type="dxa"/>
          </w:tcPr>
          <w:p w14:paraId="46390054" w14:textId="77777777" w:rsidR="00285EF0" w:rsidRPr="00BE211F" w:rsidRDefault="00285EF0" w:rsidP="00285EF0">
            <w:pPr>
              <w:rPr>
                <w:rFonts w:cs="Arial"/>
                <w:sz w:val="18"/>
                <w:szCs w:val="18"/>
              </w:rPr>
            </w:pPr>
            <w:r w:rsidRPr="00BE211F">
              <w:rPr>
                <w:rFonts w:cs="Arial"/>
                <w:sz w:val="18"/>
                <w:szCs w:val="18"/>
              </w:rPr>
              <w:t>2010 - 2011</w:t>
            </w:r>
          </w:p>
        </w:tc>
        <w:tc>
          <w:tcPr>
            <w:tcW w:w="1417" w:type="dxa"/>
          </w:tcPr>
          <w:p w14:paraId="13CE6678" w14:textId="77777777" w:rsidR="00285EF0" w:rsidRPr="00BE211F" w:rsidRDefault="00285EF0" w:rsidP="00285EF0">
            <w:pPr>
              <w:rPr>
                <w:rFonts w:cs="Arial"/>
                <w:sz w:val="18"/>
                <w:szCs w:val="18"/>
              </w:rPr>
            </w:pPr>
            <w:r w:rsidRPr="00BE211F">
              <w:rPr>
                <w:rFonts w:cs="Arial"/>
                <w:sz w:val="18"/>
                <w:szCs w:val="18"/>
              </w:rPr>
              <w:t>Denmark</w:t>
            </w:r>
          </w:p>
        </w:tc>
        <w:tc>
          <w:tcPr>
            <w:tcW w:w="1500" w:type="dxa"/>
          </w:tcPr>
          <w:p w14:paraId="703DB5CD" w14:textId="77777777" w:rsidR="00285EF0" w:rsidRPr="00BE211F" w:rsidRDefault="00285EF0" w:rsidP="00285EF0">
            <w:pPr>
              <w:rPr>
                <w:rFonts w:cs="Arial"/>
                <w:sz w:val="18"/>
                <w:szCs w:val="18"/>
              </w:rPr>
            </w:pPr>
            <w:r w:rsidRPr="00BE211F">
              <w:rPr>
                <w:rFonts w:cs="Arial"/>
                <w:sz w:val="18"/>
                <w:szCs w:val="18"/>
              </w:rPr>
              <w:t>Serbia</w:t>
            </w:r>
          </w:p>
        </w:tc>
        <w:tc>
          <w:tcPr>
            <w:tcW w:w="1134" w:type="dxa"/>
          </w:tcPr>
          <w:p w14:paraId="0A7459C2" w14:textId="77777777" w:rsidR="00285EF0" w:rsidRPr="00BE211F" w:rsidRDefault="00285EF0" w:rsidP="00285EF0">
            <w:pPr>
              <w:rPr>
                <w:rFonts w:cs="Arial"/>
                <w:sz w:val="18"/>
                <w:szCs w:val="18"/>
              </w:rPr>
            </w:pPr>
            <w:r w:rsidRPr="00BE211F">
              <w:rPr>
                <w:rFonts w:cs="Arial"/>
                <w:sz w:val="18"/>
                <w:szCs w:val="18"/>
              </w:rPr>
              <w:t>242</w:t>
            </w:r>
          </w:p>
        </w:tc>
        <w:tc>
          <w:tcPr>
            <w:tcW w:w="1417" w:type="dxa"/>
          </w:tcPr>
          <w:p w14:paraId="2CA42AB0" w14:textId="77777777" w:rsidR="00285EF0" w:rsidRPr="00BE211F" w:rsidRDefault="00285EF0" w:rsidP="00285EF0">
            <w:pPr>
              <w:rPr>
                <w:rFonts w:cs="Arial"/>
                <w:sz w:val="18"/>
                <w:szCs w:val="18"/>
              </w:rPr>
            </w:pPr>
            <w:r w:rsidRPr="00BE211F">
              <w:rPr>
                <w:rFonts w:cs="Arial"/>
                <w:sz w:val="18"/>
                <w:szCs w:val="18"/>
              </w:rPr>
              <w:t>E, L</w:t>
            </w:r>
          </w:p>
        </w:tc>
        <w:tc>
          <w:tcPr>
            <w:tcW w:w="2126" w:type="dxa"/>
          </w:tcPr>
          <w:p w14:paraId="31067928"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6062B77D" w14:textId="77777777" w:rsidR="00285EF0" w:rsidRPr="00BE211F" w:rsidRDefault="00285EF0" w:rsidP="00285EF0">
            <w:pPr>
              <w:rPr>
                <w:rFonts w:cs="Arial"/>
                <w:sz w:val="18"/>
                <w:szCs w:val="18"/>
              </w:rPr>
            </w:pPr>
            <w:r w:rsidRPr="00BE211F">
              <w:rPr>
                <w:rFonts w:cs="Arial"/>
                <w:sz w:val="18"/>
                <w:szCs w:val="18"/>
              </w:rPr>
              <w:t>(Muller et al. 2015)</w:t>
            </w:r>
          </w:p>
        </w:tc>
      </w:tr>
      <w:tr w:rsidR="00285EF0" w:rsidRPr="00BE211F" w14:paraId="4F7EDE71" w14:textId="77777777" w:rsidTr="00285EF0">
        <w:trPr>
          <w:cantSplit/>
        </w:trPr>
        <w:tc>
          <w:tcPr>
            <w:tcW w:w="1560" w:type="dxa"/>
          </w:tcPr>
          <w:p w14:paraId="41972764" w14:textId="77777777" w:rsidR="00285EF0" w:rsidRPr="00BE211F" w:rsidRDefault="00285EF0" w:rsidP="00285EF0">
            <w:pPr>
              <w:rPr>
                <w:rFonts w:cs="Arial"/>
                <w:sz w:val="18"/>
                <w:szCs w:val="18"/>
              </w:rPr>
            </w:pPr>
            <w:r w:rsidRPr="00BE211F">
              <w:rPr>
                <w:rFonts w:cs="Arial"/>
                <w:sz w:val="18"/>
                <w:szCs w:val="18"/>
              </w:rPr>
              <w:t>Strawberries, fresh</w:t>
            </w:r>
          </w:p>
        </w:tc>
        <w:tc>
          <w:tcPr>
            <w:tcW w:w="2045" w:type="dxa"/>
          </w:tcPr>
          <w:p w14:paraId="5ECEFB3F" w14:textId="77777777" w:rsidR="00285EF0" w:rsidRPr="00BE211F" w:rsidRDefault="00285EF0" w:rsidP="00285EF0">
            <w:pPr>
              <w:rPr>
                <w:rFonts w:cs="Arial"/>
                <w:sz w:val="18"/>
                <w:szCs w:val="18"/>
              </w:rPr>
            </w:pPr>
            <w:r w:rsidRPr="00BE211F">
              <w:rPr>
                <w:rFonts w:cs="Arial"/>
                <w:i/>
                <w:sz w:val="18"/>
                <w:szCs w:val="18"/>
              </w:rPr>
              <w:t xml:space="preserve">E. coli </w:t>
            </w:r>
            <w:r w:rsidRPr="00BE211F">
              <w:rPr>
                <w:rFonts w:cs="Arial"/>
                <w:sz w:val="18"/>
                <w:szCs w:val="18"/>
              </w:rPr>
              <w:t>O157:H7</w:t>
            </w:r>
          </w:p>
        </w:tc>
        <w:tc>
          <w:tcPr>
            <w:tcW w:w="850" w:type="dxa"/>
          </w:tcPr>
          <w:p w14:paraId="45898A82" w14:textId="77777777" w:rsidR="00285EF0" w:rsidRPr="00BE211F" w:rsidRDefault="00285EF0" w:rsidP="00285EF0">
            <w:pPr>
              <w:rPr>
                <w:rFonts w:cs="Arial"/>
                <w:sz w:val="18"/>
                <w:szCs w:val="18"/>
              </w:rPr>
            </w:pPr>
            <w:r w:rsidRPr="00BE211F">
              <w:rPr>
                <w:rFonts w:cs="Arial"/>
                <w:sz w:val="18"/>
                <w:szCs w:val="18"/>
              </w:rPr>
              <w:t>2011</w:t>
            </w:r>
          </w:p>
        </w:tc>
        <w:tc>
          <w:tcPr>
            <w:tcW w:w="1417" w:type="dxa"/>
          </w:tcPr>
          <w:p w14:paraId="48938946"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5F06196B"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080A19A8" w14:textId="77777777" w:rsidR="00285EF0" w:rsidRPr="00BE211F" w:rsidRDefault="00285EF0" w:rsidP="00285EF0">
            <w:pPr>
              <w:rPr>
                <w:rFonts w:cs="Arial"/>
                <w:sz w:val="18"/>
                <w:szCs w:val="18"/>
              </w:rPr>
            </w:pPr>
            <w:r w:rsidRPr="00BE211F">
              <w:rPr>
                <w:rFonts w:cs="Arial"/>
                <w:sz w:val="18"/>
                <w:szCs w:val="18"/>
              </w:rPr>
              <w:t>15 (2)</w:t>
            </w:r>
          </w:p>
        </w:tc>
        <w:tc>
          <w:tcPr>
            <w:tcW w:w="1417" w:type="dxa"/>
          </w:tcPr>
          <w:p w14:paraId="0686F835"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02ECC93F" w14:textId="77777777" w:rsidR="00285EF0" w:rsidRPr="00BE211F" w:rsidRDefault="00285EF0" w:rsidP="00285EF0">
            <w:pPr>
              <w:rPr>
                <w:rFonts w:cs="Arial"/>
                <w:sz w:val="18"/>
                <w:szCs w:val="18"/>
              </w:rPr>
            </w:pPr>
            <w:r w:rsidRPr="00BE211F">
              <w:rPr>
                <w:rFonts w:cs="Arial"/>
                <w:sz w:val="18"/>
                <w:szCs w:val="18"/>
              </w:rPr>
              <w:t>Contamination by deer faeces; failures in GAP on farm.</w:t>
            </w:r>
          </w:p>
        </w:tc>
        <w:tc>
          <w:tcPr>
            <w:tcW w:w="2127" w:type="dxa"/>
          </w:tcPr>
          <w:p w14:paraId="50F12E02" w14:textId="77777777" w:rsidR="00285EF0" w:rsidRPr="00BE211F" w:rsidRDefault="00285EF0" w:rsidP="00285EF0">
            <w:pPr>
              <w:rPr>
                <w:rFonts w:cs="Arial"/>
                <w:sz w:val="18"/>
                <w:szCs w:val="18"/>
              </w:rPr>
            </w:pPr>
            <w:r w:rsidRPr="00BE211F">
              <w:rPr>
                <w:rFonts w:cs="Arial"/>
                <w:sz w:val="18"/>
                <w:szCs w:val="18"/>
              </w:rPr>
              <w:t>(Laidler et al. 2013)</w:t>
            </w:r>
          </w:p>
        </w:tc>
      </w:tr>
      <w:tr w:rsidR="00285EF0" w:rsidRPr="00BE211F" w14:paraId="54BE2C49" w14:textId="77777777" w:rsidTr="00285EF0">
        <w:trPr>
          <w:cantSplit/>
        </w:trPr>
        <w:tc>
          <w:tcPr>
            <w:tcW w:w="1560" w:type="dxa"/>
          </w:tcPr>
          <w:p w14:paraId="51286C1E" w14:textId="77777777" w:rsidR="00285EF0" w:rsidRPr="00BE211F" w:rsidRDefault="00285EF0" w:rsidP="00285EF0">
            <w:pPr>
              <w:rPr>
                <w:rFonts w:cs="Arial"/>
                <w:sz w:val="18"/>
                <w:szCs w:val="18"/>
              </w:rPr>
            </w:pPr>
            <w:r w:rsidRPr="00BE211F">
              <w:rPr>
                <w:rFonts w:cs="Arial"/>
                <w:sz w:val="18"/>
                <w:szCs w:val="18"/>
              </w:rPr>
              <w:t>Strawberries, frozen</w:t>
            </w:r>
          </w:p>
        </w:tc>
        <w:tc>
          <w:tcPr>
            <w:tcW w:w="2045" w:type="dxa"/>
          </w:tcPr>
          <w:p w14:paraId="16C8974A" w14:textId="77777777" w:rsidR="00285EF0" w:rsidRPr="00BE211F" w:rsidRDefault="00285EF0" w:rsidP="00285EF0">
            <w:pPr>
              <w:rPr>
                <w:rFonts w:cs="Arial"/>
                <w:sz w:val="18"/>
                <w:szCs w:val="18"/>
              </w:rPr>
            </w:pPr>
            <w:r w:rsidRPr="00BE211F">
              <w:rPr>
                <w:rFonts w:cs="Arial"/>
                <w:sz w:val="18"/>
                <w:szCs w:val="18"/>
              </w:rPr>
              <w:t>Norovirus</w:t>
            </w:r>
          </w:p>
        </w:tc>
        <w:tc>
          <w:tcPr>
            <w:tcW w:w="850" w:type="dxa"/>
          </w:tcPr>
          <w:p w14:paraId="2860A3F0" w14:textId="77777777" w:rsidR="00285EF0" w:rsidRPr="00BE211F" w:rsidRDefault="00285EF0" w:rsidP="00285EF0">
            <w:pPr>
              <w:rPr>
                <w:rFonts w:cs="Arial"/>
                <w:sz w:val="18"/>
                <w:szCs w:val="18"/>
              </w:rPr>
            </w:pPr>
            <w:r w:rsidRPr="00BE211F">
              <w:rPr>
                <w:rFonts w:cs="Arial"/>
                <w:sz w:val="18"/>
                <w:szCs w:val="18"/>
              </w:rPr>
              <w:t>2012</w:t>
            </w:r>
          </w:p>
        </w:tc>
        <w:tc>
          <w:tcPr>
            <w:tcW w:w="1417" w:type="dxa"/>
          </w:tcPr>
          <w:p w14:paraId="1E7DEE8E" w14:textId="77777777" w:rsidR="00285EF0" w:rsidRPr="00BE211F" w:rsidRDefault="00285EF0" w:rsidP="00285EF0">
            <w:pPr>
              <w:rPr>
                <w:rFonts w:cs="Arial"/>
                <w:sz w:val="18"/>
                <w:szCs w:val="18"/>
              </w:rPr>
            </w:pPr>
            <w:r w:rsidRPr="00BE211F">
              <w:rPr>
                <w:rFonts w:cs="Arial"/>
                <w:sz w:val="18"/>
                <w:szCs w:val="18"/>
              </w:rPr>
              <w:t>Germany</w:t>
            </w:r>
          </w:p>
        </w:tc>
        <w:tc>
          <w:tcPr>
            <w:tcW w:w="1500" w:type="dxa"/>
          </w:tcPr>
          <w:p w14:paraId="6035722F" w14:textId="77777777" w:rsidR="00285EF0" w:rsidRPr="00BE211F" w:rsidRDefault="00285EF0" w:rsidP="00285EF0">
            <w:pPr>
              <w:rPr>
                <w:rFonts w:cs="Arial"/>
                <w:sz w:val="18"/>
                <w:szCs w:val="18"/>
              </w:rPr>
            </w:pPr>
            <w:r w:rsidRPr="00BE211F">
              <w:rPr>
                <w:rFonts w:cs="Arial"/>
                <w:sz w:val="18"/>
                <w:szCs w:val="18"/>
              </w:rPr>
              <w:t>China</w:t>
            </w:r>
          </w:p>
        </w:tc>
        <w:tc>
          <w:tcPr>
            <w:tcW w:w="1134" w:type="dxa"/>
          </w:tcPr>
          <w:p w14:paraId="7D6A628B" w14:textId="77777777" w:rsidR="00285EF0" w:rsidRPr="00BE211F" w:rsidRDefault="00285EF0" w:rsidP="00285EF0">
            <w:pPr>
              <w:rPr>
                <w:rFonts w:cs="Arial"/>
                <w:sz w:val="18"/>
                <w:szCs w:val="18"/>
              </w:rPr>
            </w:pPr>
            <w:r w:rsidRPr="00BE211F">
              <w:rPr>
                <w:rFonts w:cs="Arial"/>
                <w:sz w:val="18"/>
                <w:szCs w:val="18"/>
              </w:rPr>
              <w:t>~11,000</w:t>
            </w:r>
          </w:p>
        </w:tc>
        <w:tc>
          <w:tcPr>
            <w:tcW w:w="1417" w:type="dxa"/>
          </w:tcPr>
          <w:p w14:paraId="755356CB" w14:textId="77777777" w:rsidR="00285EF0" w:rsidRPr="00BE211F" w:rsidRDefault="00285EF0" w:rsidP="00285EF0">
            <w:pPr>
              <w:rPr>
                <w:rFonts w:cs="Arial"/>
                <w:sz w:val="18"/>
                <w:szCs w:val="18"/>
              </w:rPr>
            </w:pPr>
            <w:r w:rsidRPr="00BE211F">
              <w:rPr>
                <w:rFonts w:cs="Arial"/>
                <w:sz w:val="18"/>
                <w:szCs w:val="18"/>
              </w:rPr>
              <w:t>E, L</w:t>
            </w:r>
          </w:p>
        </w:tc>
        <w:tc>
          <w:tcPr>
            <w:tcW w:w="2126" w:type="dxa"/>
          </w:tcPr>
          <w:p w14:paraId="1935A3F5"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39DFAB5F" w14:textId="77777777" w:rsidR="00285EF0" w:rsidRPr="00BE211F" w:rsidRDefault="00285EF0" w:rsidP="00285EF0">
            <w:pPr>
              <w:rPr>
                <w:rFonts w:cs="Arial"/>
                <w:sz w:val="18"/>
                <w:szCs w:val="18"/>
              </w:rPr>
            </w:pPr>
            <w:r w:rsidRPr="00BE211F">
              <w:rPr>
                <w:rFonts w:cs="Arial"/>
                <w:sz w:val="18"/>
                <w:szCs w:val="18"/>
              </w:rPr>
              <w:t>(Bernard et al. 2014; Made et al. 2013)</w:t>
            </w:r>
          </w:p>
        </w:tc>
      </w:tr>
      <w:tr w:rsidR="00285EF0" w:rsidRPr="00BE211F" w14:paraId="2E176061" w14:textId="77777777" w:rsidTr="00285EF0">
        <w:trPr>
          <w:cantSplit/>
        </w:trPr>
        <w:tc>
          <w:tcPr>
            <w:tcW w:w="1560" w:type="dxa"/>
          </w:tcPr>
          <w:p w14:paraId="1EB5BF05" w14:textId="77777777" w:rsidR="00285EF0" w:rsidRPr="00BE211F" w:rsidRDefault="00285EF0" w:rsidP="00285EF0">
            <w:pPr>
              <w:rPr>
                <w:rFonts w:cs="Arial"/>
                <w:sz w:val="18"/>
                <w:szCs w:val="18"/>
              </w:rPr>
            </w:pPr>
            <w:r w:rsidRPr="00BE211F">
              <w:rPr>
                <w:rFonts w:cs="Arial"/>
                <w:sz w:val="18"/>
                <w:szCs w:val="18"/>
              </w:rPr>
              <w:t>Strawberries, frozen</w:t>
            </w:r>
          </w:p>
        </w:tc>
        <w:tc>
          <w:tcPr>
            <w:tcW w:w="2045" w:type="dxa"/>
          </w:tcPr>
          <w:p w14:paraId="3D6DD5C5" w14:textId="77777777" w:rsidR="00285EF0" w:rsidRPr="00BE211F" w:rsidRDefault="00285EF0" w:rsidP="00285EF0">
            <w:pPr>
              <w:rPr>
                <w:rFonts w:cs="Arial"/>
                <w:sz w:val="18"/>
                <w:szCs w:val="18"/>
              </w:rPr>
            </w:pPr>
            <w:r w:rsidRPr="00BE211F">
              <w:rPr>
                <w:rFonts w:cs="Arial"/>
                <w:sz w:val="18"/>
                <w:szCs w:val="18"/>
              </w:rPr>
              <w:t>Hepatitis A</w:t>
            </w:r>
          </w:p>
        </w:tc>
        <w:tc>
          <w:tcPr>
            <w:tcW w:w="850" w:type="dxa"/>
          </w:tcPr>
          <w:p w14:paraId="39AEADD3" w14:textId="77777777" w:rsidR="00285EF0" w:rsidRPr="00BE211F" w:rsidRDefault="00285EF0" w:rsidP="00285EF0">
            <w:pPr>
              <w:rPr>
                <w:rFonts w:cs="Arial"/>
                <w:sz w:val="18"/>
                <w:szCs w:val="18"/>
              </w:rPr>
            </w:pPr>
            <w:r w:rsidRPr="00BE211F">
              <w:rPr>
                <w:rFonts w:cs="Arial"/>
                <w:sz w:val="18"/>
                <w:szCs w:val="18"/>
              </w:rPr>
              <w:t>2012 - 2013</w:t>
            </w:r>
          </w:p>
        </w:tc>
        <w:tc>
          <w:tcPr>
            <w:tcW w:w="1417" w:type="dxa"/>
          </w:tcPr>
          <w:p w14:paraId="7D4F4786" w14:textId="77777777" w:rsidR="00285EF0" w:rsidRPr="00BE211F" w:rsidRDefault="00285EF0" w:rsidP="00285EF0">
            <w:pPr>
              <w:rPr>
                <w:rFonts w:cs="Arial"/>
                <w:sz w:val="18"/>
                <w:szCs w:val="18"/>
              </w:rPr>
            </w:pPr>
            <w:r w:rsidRPr="00BE211F">
              <w:rPr>
                <w:rFonts w:cs="Arial"/>
                <w:sz w:val="18"/>
                <w:szCs w:val="18"/>
              </w:rPr>
              <w:t>Denmark, Finland, Norway, Sweden</w:t>
            </w:r>
          </w:p>
        </w:tc>
        <w:tc>
          <w:tcPr>
            <w:tcW w:w="1500" w:type="dxa"/>
          </w:tcPr>
          <w:p w14:paraId="6577D1A5" w14:textId="77777777" w:rsidR="00285EF0" w:rsidRPr="00BE211F" w:rsidRDefault="00285EF0" w:rsidP="00285EF0">
            <w:pPr>
              <w:rPr>
                <w:rFonts w:cs="Arial"/>
                <w:sz w:val="18"/>
                <w:szCs w:val="18"/>
              </w:rPr>
            </w:pPr>
            <w:r w:rsidRPr="00BE211F">
              <w:rPr>
                <w:rFonts w:cs="Arial"/>
                <w:sz w:val="18"/>
                <w:szCs w:val="18"/>
              </w:rPr>
              <w:t>Egypt, Morocco</w:t>
            </w:r>
          </w:p>
        </w:tc>
        <w:tc>
          <w:tcPr>
            <w:tcW w:w="1134" w:type="dxa"/>
          </w:tcPr>
          <w:p w14:paraId="40B28B6C" w14:textId="77777777" w:rsidR="00285EF0" w:rsidRPr="00BE211F" w:rsidRDefault="00285EF0" w:rsidP="00285EF0">
            <w:pPr>
              <w:rPr>
                <w:rFonts w:cs="Arial"/>
                <w:sz w:val="18"/>
                <w:szCs w:val="18"/>
              </w:rPr>
            </w:pPr>
            <w:r w:rsidRPr="00BE211F">
              <w:rPr>
                <w:rFonts w:cs="Arial"/>
                <w:sz w:val="18"/>
                <w:szCs w:val="18"/>
              </w:rPr>
              <w:t>106</w:t>
            </w:r>
          </w:p>
        </w:tc>
        <w:tc>
          <w:tcPr>
            <w:tcW w:w="1417" w:type="dxa"/>
          </w:tcPr>
          <w:p w14:paraId="1C9B77F7"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13560E62"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67727C4C" w14:textId="77777777" w:rsidR="00285EF0" w:rsidRPr="00BE211F" w:rsidRDefault="00285EF0" w:rsidP="00285EF0">
            <w:pPr>
              <w:rPr>
                <w:rFonts w:cs="Arial"/>
                <w:sz w:val="18"/>
                <w:szCs w:val="18"/>
              </w:rPr>
            </w:pPr>
            <w:r w:rsidRPr="00BE211F">
              <w:rPr>
                <w:rFonts w:cs="Arial"/>
                <w:sz w:val="18"/>
                <w:szCs w:val="18"/>
              </w:rPr>
              <w:t>(Gillesberg Lassen et al. 2013; Gossner and Severi 2014; Nordic Outbreak Investigation Team 2013)</w:t>
            </w:r>
          </w:p>
        </w:tc>
      </w:tr>
      <w:tr w:rsidR="00285EF0" w:rsidRPr="00BE211F" w14:paraId="0F03702F" w14:textId="77777777" w:rsidTr="00285EF0">
        <w:trPr>
          <w:cantSplit/>
        </w:trPr>
        <w:tc>
          <w:tcPr>
            <w:tcW w:w="1560" w:type="dxa"/>
          </w:tcPr>
          <w:p w14:paraId="51D92AE0" w14:textId="77777777" w:rsidR="00285EF0" w:rsidRPr="00BE211F" w:rsidRDefault="00285EF0" w:rsidP="00285EF0">
            <w:pPr>
              <w:rPr>
                <w:rFonts w:cs="Arial"/>
                <w:sz w:val="18"/>
                <w:szCs w:val="18"/>
              </w:rPr>
            </w:pPr>
            <w:r w:rsidRPr="00BE211F">
              <w:rPr>
                <w:rFonts w:cs="Arial"/>
                <w:sz w:val="18"/>
                <w:szCs w:val="18"/>
              </w:rPr>
              <w:t>Berries, mixed, frozen</w:t>
            </w:r>
          </w:p>
        </w:tc>
        <w:tc>
          <w:tcPr>
            <w:tcW w:w="2045" w:type="dxa"/>
          </w:tcPr>
          <w:p w14:paraId="134EB1B6" w14:textId="77777777" w:rsidR="00285EF0" w:rsidRPr="00BE211F" w:rsidRDefault="00285EF0" w:rsidP="00285EF0">
            <w:pPr>
              <w:rPr>
                <w:rFonts w:cs="Arial"/>
                <w:sz w:val="18"/>
                <w:szCs w:val="18"/>
              </w:rPr>
            </w:pPr>
            <w:r w:rsidRPr="00BE211F">
              <w:rPr>
                <w:rFonts w:cs="Arial"/>
                <w:sz w:val="18"/>
                <w:szCs w:val="18"/>
              </w:rPr>
              <w:t>Hepatitis A</w:t>
            </w:r>
          </w:p>
        </w:tc>
        <w:tc>
          <w:tcPr>
            <w:tcW w:w="850" w:type="dxa"/>
          </w:tcPr>
          <w:p w14:paraId="4D0460E4" w14:textId="77777777" w:rsidR="00285EF0" w:rsidRPr="00BE211F" w:rsidRDefault="00285EF0" w:rsidP="00285EF0">
            <w:pPr>
              <w:rPr>
                <w:rFonts w:cs="Arial"/>
                <w:sz w:val="18"/>
                <w:szCs w:val="18"/>
              </w:rPr>
            </w:pPr>
            <w:r w:rsidRPr="00BE211F">
              <w:rPr>
                <w:rFonts w:cs="Arial"/>
                <w:sz w:val="18"/>
                <w:szCs w:val="18"/>
              </w:rPr>
              <w:t>2013 - 2014</w:t>
            </w:r>
          </w:p>
        </w:tc>
        <w:tc>
          <w:tcPr>
            <w:tcW w:w="1417" w:type="dxa"/>
          </w:tcPr>
          <w:p w14:paraId="3C05F97F" w14:textId="77777777" w:rsidR="00285EF0" w:rsidRPr="00BE211F" w:rsidRDefault="00285EF0" w:rsidP="00285EF0">
            <w:pPr>
              <w:rPr>
                <w:rFonts w:cs="Arial"/>
                <w:sz w:val="18"/>
                <w:szCs w:val="18"/>
              </w:rPr>
            </w:pPr>
            <w:r w:rsidRPr="00BE211F">
              <w:rPr>
                <w:rFonts w:cs="Arial"/>
                <w:sz w:val="18"/>
                <w:szCs w:val="18"/>
              </w:rPr>
              <w:t>Italy &amp;</w:t>
            </w:r>
            <w:r w:rsidRPr="00BE211F">
              <w:rPr>
                <w:rFonts w:cs="Arial"/>
                <w:sz w:val="18"/>
                <w:szCs w:val="18"/>
              </w:rPr>
              <w:br/>
              <w:t>9 other countries</w:t>
            </w:r>
          </w:p>
        </w:tc>
        <w:tc>
          <w:tcPr>
            <w:tcW w:w="1500" w:type="dxa"/>
          </w:tcPr>
          <w:p w14:paraId="4C4161D7" w14:textId="77777777" w:rsidR="00285EF0" w:rsidRPr="00BE211F" w:rsidRDefault="00285EF0" w:rsidP="00285EF0">
            <w:pPr>
              <w:rPr>
                <w:rFonts w:cs="Arial"/>
                <w:sz w:val="18"/>
                <w:szCs w:val="18"/>
              </w:rPr>
            </w:pPr>
            <w:r w:rsidRPr="00BE211F">
              <w:rPr>
                <w:rFonts w:cs="Arial"/>
                <w:sz w:val="18"/>
                <w:szCs w:val="18"/>
              </w:rPr>
              <w:t>Suspected: Poland, Bulgaria</w:t>
            </w:r>
          </w:p>
        </w:tc>
        <w:tc>
          <w:tcPr>
            <w:tcW w:w="1134" w:type="dxa"/>
          </w:tcPr>
          <w:p w14:paraId="035353BE" w14:textId="77777777" w:rsidR="00285EF0" w:rsidRPr="00BE211F" w:rsidRDefault="00285EF0" w:rsidP="00285EF0">
            <w:pPr>
              <w:rPr>
                <w:rFonts w:cs="Arial"/>
                <w:sz w:val="18"/>
                <w:szCs w:val="18"/>
              </w:rPr>
            </w:pPr>
            <w:r w:rsidRPr="00BE211F">
              <w:rPr>
                <w:rFonts w:cs="Arial"/>
                <w:sz w:val="18"/>
                <w:szCs w:val="18"/>
              </w:rPr>
              <w:t>&gt;1400</w:t>
            </w:r>
          </w:p>
        </w:tc>
        <w:tc>
          <w:tcPr>
            <w:tcW w:w="1417" w:type="dxa"/>
          </w:tcPr>
          <w:p w14:paraId="2EC0634F" w14:textId="77777777" w:rsidR="00285EF0" w:rsidRPr="00BE211F" w:rsidRDefault="00285EF0" w:rsidP="00285EF0">
            <w:pPr>
              <w:rPr>
                <w:rFonts w:cs="Arial"/>
                <w:sz w:val="18"/>
                <w:szCs w:val="18"/>
              </w:rPr>
            </w:pPr>
            <w:r w:rsidRPr="00BE211F">
              <w:rPr>
                <w:rFonts w:cs="Arial"/>
                <w:sz w:val="18"/>
                <w:szCs w:val="18"/>
              </w:rPr>
              <w:t>E, L</w:t>
            </w:r>
          </w:p>
        </w:tc>
        <w:tc>
          <w:tcPr>
            <w:tcW w:w="2126" w:type="dxa"/>
          </w:tcPr>
          <w:p w14:paraId="25AEABE3"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3904FA4F" w14:textId="77777777" w:rsidR="00285EF0" w:rsidRPr="00BE211F" w:rsidRDefault="00285EF0" w:rsidP="00285EF0">
            <w:pPr>
              <w:rPr>
                <w:rFonts w:cs="Arial"/>
                <w:sz w:val="18"/>
                <w:szCs w:val="18"/>
              </w:rPr>
            </w:pPr>
            <w:r w:rsidRPr="00BE211F">
              <w:rPr>
                <w:rFonts w:cs="Arial"/>
                <w:sz w:val="18"/>
                <w:szCs w:val="18"/>
              </w:rPr>
              <w:t>(EFSA 2014; Guzman-Herrador et al. 2014; Guzman-Herrador et al. 2015; Scavia et al. 2017; Severi et al. 2015; Wenzel et al. 2014)</w:t>
            </w:r>
          </w:p>
        </w:tc>
      </w:tr>
      <w:tr w:rsidR="00285EF0" w:rsidRPr="00BE211F" w14:paraId="5DD27F78" w14:textId="77777777" w:rsidTr="00285EF0">
        <w:trPr>
          <w:cantSplit/>
        </w:trPr>
        <w:tc>
          <w:tcPr>
            <w:tcW w:w="1560" w:type="dxa"/>
          </w:tcPr>
          <w:p w14:paraId="11F3797E" w14:textId="77777777" w:rsidR="00285EF0" w:rsidRPr="00BE211F" w:rsidRDefault="00285EF0" w:rsidP="00285EF0">
            <w:pPr>
              <w:rPr>
                <w:rFonts w:cs="Arial"/>
                <w:sz w:val="18"/>
                <w:szCs w:val="18"/>
              </w:rPr>
            </w:pPr>
            <w:r w:rsidRPr="00BE211F">
              <w:rPr>
                <w:rFonts w:cs="Arial"/>
                <w:sz w:val="18"/>
                <w:szCs w:val="18"/>
              </w:rPr>
              <w:t>Strawberries, frozen</w:t>
            </w:r>
          </w:p>
        </w:tc>
        <w:tc>
          <w:tcPr>
            <w:tcW w:w="2045" w:type="dxa"/>
          </w:tcPr>
          <w:p w14:paraId="44889603" w14:textId="77777777" w:rsidR="00285EF0" w:rsidRPr="00BE211F" w:rsidRDefault="00285EF0" w:rsidP="00285EF0">
            <w:pPr>
              <w:rPr>
                <w:rFonts w:cs="Arial"/>
                <w:sz w:val="18"/>
                <w:szCs w:val="18"/>
              </w:rPr>
            </w:pPr>
            <w:r w:rsidRPr="00BE211F">
              <w:rPr>
                <w:rFonts w:cs="Arial"/>
                <w:sz w:val="18"/>
                <w:szCs w:val="18"/>
              </w:rPr>
              <w:t>Hepatitis A</w:t>
            </w:r>
          </w:p>
        </w:tc>
        <w:tc>
          <w:tcPr>
            <w:tcW w:w="850" w:type="dxa"/>
          </w:tcPr>
          <w:p w14:paraId="46EFD69E" w14:textId="77777777" w:rsidR="00285EF0" w:rsidRPr="00BE211F" w:rsidRDefault="00285EF0" w:rsidP="00285EF0">
            <w:pPr>
              <w:rPr>
                <w:rFonts w:cs="Arial"/>
                <w:sz w:val="18"/>
                <w:szCs w:val="18"/>
              </w:rPr>
            </w:pPr>
            <w:r w:rsidRPr="00BE211F">
              <w:rPr>
                <w:rFonts w:cs="Arial"/>
                <w:sz w:val="18"/>
                <w:szCs w:val="18"/>
              </w:rPr>
              <w:t>2016</w:t>
            </w:r>
          </w:p>
        </w:tc>
        <w:tc>
          <w:tcPr>
            <w:tcW w:w="1417" w:type="dxa"/>
          </w:tcPr>
          <w:p w14:paraId="7A0949F4"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51671EAF" w14:textId="77777777" w:rsidR="00285EF0" w:rsidRPr="00BE211F" w:rsidRDefault="00285EF0" w:rsidP="00285EF0">
            <w:pPr>
              <w:rPr>
                <w:rFonts w:cs="Arial"/>
                <w:sz w:val="18"/>
                <w:szCs w:val="18"/>
              </w:rPr>
            </w:pPr>
            <w:r w:rsidRPr="00BE211F">
              <w:rPr>
                <w:rFonts w:cs="Arial"/>
                <w:sz w:val="18"/>
                <w:szCs w:val="18"/>
              </w:rPr>
              <w:t>Egypt</w:t>
            </w:r>
          </w:p>
        </w:tc>
        <w:tc>
          <w:tcPr>
            <w:tcW w:w="1134" w:type="dxa"/>
          </w:tcPr>
          <w:p w14:paraId="7C1101F4" w14:textId="77777777" w:rsidR="00285EF0" w:rsidRPr="00BE211F" w:rsidRDefault="00285EF0" w:rsidP="00285EF0">
            <w:pPr>
              <w:rPr>
                <w:rFonts w:cs="Arial"/>
                <w:sz w:val="18"/>
                <w:szCs w:val="18"/>
              </w:rPr>
            </w:pPr>
            <w:r w:rsidRPr="00BE211F">
              <w:rPr>
                <w:rFonts w:cs="Arial"/>
                <w:sz w:val="18"/>
                <w:szCs w:val="18"/>
              </w:rPr>
              <w:t>143</w:t>
            </w:r>
          </w:p>
        </w:tc>
        <w:tc>
          <w:tcPr>
            <w:tcW w:w="1417" w:type="dxa"/>
          </w:tcPr>
          <w:p w14:paraId="3384DA70" w14:textId="77777777" w:rsidR="00285EF0" w:rsidRPr="00BE211F" w:rsidRDefault="00285EF0" w:rsidP="00285EF0">
            <w:pPr>
              <w:rPr>
                <w:rFonts w:cs="Arial"/>
                <w:sz w:val="18"/>
                <w:szCs w:val="18"/>
              </w:rPr>
            </w:pPr>
            <w:r w:rsidRPr="00BE211F">
              <w:rPr>
                <w:rFonts w:cs="Arial"/>
                <w:sz w:val="18"/>
                <w:szCs w:val="18"/>
              </w:rPr>
              <w:t>L</w:t>
            </w:r>
          </w:p>
        </w:tc>
        <w:tc>
          <w:tcPr>
            <w:tcW w:w="2126" w:type="dxa"/>
          </w:tcPr>
          <w:p w14:paraId="0ABCCAA4"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07B6A1CA" w14:textId="77777777" w:rsidR="00285EF0" w:rsidRPr="00BE211F" w:rsidRDefault="00285EF0" w:rsidP="00285EF0">
            <w:pPr>
              <w:rPr>
                <w:rFonts w:cs="Arial"/>
                <w:sz w:val="18"/>
                <w:szCs w:val="18"/>
              </w:rPr>
            </w:pPr>
            <w:r w:rsidRPr="00BE211F">
              <w:rPr>
                <w:rFonts w:cs="Arial"/>
                <w:sz w:val="18"/>
                <w:szCs w:val="18"/>
              </w:rPr>
              <w:t>(CDC 2016a)</w:t>
            </w:r>
          </w:p>
          <w:p w14:paraId="04697C4E" w14:textId="77777777" w:rsidR="00285EF0" w:rsidRPr="00BE211F" w:rsidRDefault="00285EF0" w:rsidP="00285EF0">
            <w:pPr>
              <w:rPr>
                <w:rFonts w:cs="Arial"/>
                <w:sz w:val="18"/>
                <w:szCs w:val="18"/>
              </w:rPr>
            </w:pPr>
          </w:p>
        </w:tc>
      </w:tr>
      <w:tr w:rsidR="00285EF0" w:rsidRPr="00BE211F" w14:paraId="42A09B48" w14:textId="77777777" w:rsidTr="00285EF0">
        <w:trPr>
          <w:cantSplit/>
        </w:trPr>
        <w:tc>
          <w:tcPr>
            <w:tcW w:w="1560" w:type="dxa"/>
          </w:tcPr>
          <w:p w14:paraId="6F711534" w14:textId="77777777" w:rsidR="00285EF0" w:rsidRPr="00BE211F" w:rsidRDefault="00285EF0" w:rsidP="00285EF0">
            <w:pPr>
              <w:rPr>
                <w:rFonts w:cs="Arial"/>
                <w:sz w:val="18"/>
                <w:szCs w:val="18"/>
              </w:rPr>
            </w:pPr>
            <w:r w:rsidRPr="00BE211F">
              <w:rPr>
                <w:rFonts w:cs="Arial"/>
                <w:sz w:val="18"/>
                <w:szCs w:val="18"/>
              </w:rPr>
              <w:t>Raspberries/ blueberries, mixed, frozen</w:t>
            </w:r>
          </w:p>
        </w:tc>
        <w:tc>
          <w:tcPr>
            <w:tcW w:w="2045" w:type="dxa"/>
          </w:tcPr>
          <w:p w14:paraId="60475A55" w14:textId="77777777" w:rsidR="00285EF0" w:rsidRPr="00BE211F" w:rsidRDefault="00285EF0" w:rsidP="00285EF0">
            <w:pPr>
              <w:rPr>
                <w:rFonts w:cs="Arial"/>
                <w:sz w:val="18"/>
                <w:szCs w:val="18"/>
              </w:rPr>
            </w:pPr>
            <w:r w:rsidRPr="00BE211F">
              <w:rPr>
                <w:rFonts w:cs="Arial"/>
                <w:sz w:val="18"/>
                <w:szCs w:val="18"/>
              </w:rPr>
              <w:t>Hepatitis A</w:t>
            </w:r>
          </w:p>
        </w:tc>
        <w:tc>
          <w:tcPr>
            <w:tcW w:w="850" w:type="dxa"/>
          </w:tcPr>
          <w:p w14:paraId="2C616531" w14:textId="77777777" w:rsidR="00285EF0" w:rsidRPr="00BE211F" w:rsidRDefault="00285EF0" w:rsidP="00285EF0">
            <w:pPr>
              <w:rPr>
                <w:rFonts w:cs="Arial"/>
                <w:sz w:val="18"/>
                <w:szCs w:val="18"/>
              </w:rPr>
            </w:pPr>
            <w:r w:rsidRPr="00BE211F">
              <w:rPr>
                <w:rFonts w:cs="Arial"/>
                <w:sz w:val="18"/>
                <w:szCs w:val="18"/>
              </w:rPr>
              <w:t>2017</w:t>
            </w:r>
          </w:p>
        </w:tc>
        <w:tc>
          <w:tcPr>
            <w:tcW w:w="1417" w:type="dxa"/>
          </w:tcPr>
          <w:p w14:paraId="2F73DB60" w14:textId="77777777" w:rsidR="00285EF0" w:rsidRPr="00BE211F" w:rsidRDefault="00285EF0" w:rsidP="00285EF0">
            <w:pPr>
              <w:rPr>
                <w:rFonts w:cs="Arial"/>
                <w:sz w:val="18"/>
                <w:szCs w:val="18"/>
              </w:rPr>
            </w:pPr>
            <w:r w:rsidRPr="00BE211F">
              <w:rPr>
                <w:rFonts w:cs="Arial"/>
                <w:sz w:val="18"/>
                <w:szCs w:val="18"/>
              </w:rPr>
              <w:t>Netherlands</w:t>
            </w:r>
          </w:p>
        </w:tc>
        <w:tc>
          <w:tcPr>
            <w:tcW w:w="1500" w:type="dxa"/>
          </w:tcPr>
          <w:p w14:paraId="0AB3ABCC" w14:textId="77777777" w:rsidR="00285EF0" w:rsidRPr="00BE211F" w:rsidRDefault="00285EF0" w:rsidP="00285EF0">
            <w:pPr>
              <w:rPr>
                <w:rFonts w:cs="Arial"/>
                <w:sz w:val="18"/>
                <w:szCs w:val="18"/>
              </w:rPr>
            </w:pPr>
            <w:r w:rsidRPr="00BE211F">
              <w:rPr>
                <w:rFonts w:cs="Arial"/>
                <w:sz w:val="18"/>
                <w:szCs w:val="18"/>
              </w:rPr>
              <w:t>Bulgaria</w:t>
            </w:r>
          </w:p>
        </w:tc>
        <w:tc>
          <w:tcPr>
            <w:tcW w:w="1134" w:type="dxa"/>
          </w:tcPr>
          <w:p w14:paraId="29D2743F" w14:textId="77777777" w:rsidR="00285EF0" w:rsidRPr="00BE211F" w:rsidRDefault="00285EF0" w:rsidP="00285EF0">
            <w:pPr>
              <w:rPr>
                <w:rFonts w:cs="Arial"/>
                <w:sz w:val="18"/>
                <w:szCs w:val="18"/>
              </w:rPr>
            </w:pPr>
            <w:r w:rsidRPr="00BE211F">
              <w:rPr>
                <w:rFonts w:cs="Arial"/>
                <w:sz w:val="18"/>
                <w:szCs w:val="18"/>
              </w:rPr>
              <w:t>14</w:t>
            </w:r>
          </w:p>
        </w:tc>
        <w:tc>
          <w:tcPr>
            <w:tcW w:w="1417" w:type="dxa"/>
          </w:tcPr>
          <w:p w14:paraId="09C26523"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01AEB7CD"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26CDDCE9" w14:textId="77777777" w:rsidR="00285EF0" w:rsidRPr="00BE211F" w:rsidRDefault="00285EF0" w:rsidP="00285EF0">
            <w:pPr>
              <w:rPr>
                <w:rFonts w:cs="Arial"/>
                <w:sz w:val="18"/>
                <w:szCs w:val="18"/>
              </w:rPr>
            </w:pPr>
            <w:r w:rsidRPr="00BE211F">
              <w:rPr>
                <w:rFonts w:cs="Arial"/>
                <w:sz w:val="18"/>
                <w:szCs w:val="18"/>
              </w:rPr>
              <w:t>(Mollers et al. 2018)</w:t>
            </w:r>
          </w:p>
        </w:tc>
      </w:tr>
      <w:tr w:rsidR="00285EF0" w:rsidRPr="00BE211F" w14:paraId="528F5B5F" w14:textId="77777777" w:rsidTr="00285EF0">
        <w:trPr>
          <w:cantSplit/>
        </w:trPr>
        <w:tc>
          <w:tcPr>
            <w:tcW w:w="1560" w:type="dxa"/>
          </w:tcPr>
          <w:p w14:paraId="2671F253" w14:textId="77777777" w:rsidR="00285EF0" w:rsidRPr="00BE211F" w:rsidRDefault="00285EF0" w:rsidP="00285EF0">
            <w:pPr>
              <w:rPr>
                <w:rFonts w:cs="Arial"/>
                <w:sz w:val="18"/>
                <w:szCs w:val="18"/>
              </w:rPr>
            </w:pPr>
            <w:r w:rsidRPr="00BE211F">
              <w:rPr>
                <w:rFonts w:cs="Arial"/>
                <w:sz w:val="18"/>
                <w:szCs w:val="18"/>
              </w:rPr>
              <w:t>Strawberries, frozen</w:t>
            </w:r>
          </w:p>
        </w:tc>
        <w:tc>
          <w:tcPr>
            <w:tcW w:w="2045" w:type="dxa"/>
          </w:tcPr>
          <w:p w14:paraId="7C6A1378" w14:textId="77777777" w:rsidR="00285EF0" w:rsidRPr="00BE211F" w:rsidRDefault="00285EF0" w:rsidP="00285EF0">
            <w:pPr>
              <w:rPr>
                <w:rFonts w:cs="Arial"/>
                <w:sz w:val="18"/>
                <w:szCs w:val="18"/>
              </w:rPr>
            </w:pPr>
            <w:r w:rsidRPr="00BE211F">
              <w:rPr>
                <w:rFonts w:cs="Arial"/>
                <w:sz w:val="18"/>
                <w:szCs w:val="18"/>
              </w:rPr>
              <w:t>Hepatitis A</w:t>
            </w:r>
          </w:p>
        </w:tc>
        <w:tc>
          <w:tcPr>
            <w:tcW w:w="850" w:type="dxa"/>
          </w:tcPr>
          <w:p w14:paraId="0C79E114" w14:textId="77777777" w:rsidR="00285EF0" w:rsidRPr="00BE211F" w:rsidRDefault="00285EF0" w:rsidP="00285EF0">
            <w:pPr>
              <w:rPr>
                <w:rFonts w:cs="Arial"/>
                <w:sz w:val="18"/>
                <w:szCs w:val="18"/>
              </w:rPr>
            </w:pPr>
            <w:r w:rsidRPr="00BE211F">
              <w:rPr>
                <w:rFonts w:cs="Arial"/>
                <w:sz w:val="18"/>
                <w:szCs w:val="18"/>
              </w:rPr>
              <w:t>2018</w:t>
            </w:r>
          </w:p>
        </w:tc>
        <w:tc>
          <w:tcPr>
            <w:tcW w:w="1417" w:type="dxa"/>
          </w:tcPr>
          <w:p w14:paraId="3ABC60C2" w14:textId="77777777" w:rsidR="00285EF0" w:rsidRPr="00BE211F" w:rsidRDefault="00285EF0" w:rsidP="00285EF0">
            <w:pPr>
              <w:rPr>
                <w:rFonts w:cs="Arial"/>
                <w:sz w:val="18"/>
                <w:szCs w:val="18"/>
              </w:rPr>
            </w:pPr>
            <w:r w:rsidRPr="00BE211F">
              <w:rPr>
                <w:rFonts w:cs="Arial"/>
                <w:sz w:val="18"/>
                <w:szCs w:val="18"/>
              </w:rPr>
              <w:t>Sweden, Austria</w:t>
            </w:r>
          </w:p>
        </w:tc>
        <w:tc>
          <w:tcPr>
            <w:tcW w:w="1500" w:type="dxa"/>
          </w:tcPr>
          <w:p w14:paraId="67D8B78F" w14:textId="77777777" w:rsidR="00285EF0" w:rsidRPr="00BE211F" w:rsidRDefault="00285EF0" w:rsidP="00285EF0">
            <w:pPr>
              <w:rPr>
                <w:rFonts w:cs="Arial"/>
                <w:sz w:val="18"/>
                <w:szCs w:val="18"/>
              </w:rPr>
            </w:pPr>
            <w:r w:rsidRPr="00BE211F">
              <w:rPr>
                <w:rFonts w:cs="Arial"/>
                <w:sz w:val="18"/>
                <w:szCs w:val="18"/>
              </w:rPr>
              <w:t>Poland</w:t>
            </w:r>
          </w:p>
        </w:tc>
        <w:tc>
          <w:tcPr>
            <w:tcW w:w="1134" w:type="dxa"/>
          </w:tcPr>
          <w:p w14:paraId="0006D4ED" w14:textId="77777777" w:rsidR="00285EF0" w:rsidRPr="00BE211F" w:rsidRDefault="00285EF0" w:rsidP="00285EF0">
            <w:pPr>
              <w:rPr>
                <w:rFonts w:cs="Arial"/>
                <w:sz w:val="18"/>
                <w:szCs w:val="18"/>
              </w:rPr>
            </w:pPr>
            <w:r w:rsidRPr="00BE211F">
              <w:rPr>
                <w:rFonts w:cs="Arial"/>
                <w:sz w:val="18"/>
                <w:szCs w:val="18"/>
              </w:rPr>
              <w:t>34</w:t>
            </w:r>
          </w:p>
        </w:tc>
        <w:tc>
          <w:tcPr>
            <w:tcW w:w="1417" w:type="dxa"/>
          </w:tcPr>
          <w:p w14:paraId="212331C3" w14:textId="77777777" w:rsidR="00285EF0" w:rsidRPr="00BE211F" w:rsidRDefault="00285EF0" w:rsidP="00285EF0">
            <w:pPr>
              <w:rPr>
                <w:rFonts w:cs="Arial"/>
                <w:sz w:val="18"/>
                <w:szCs w:val="18"/>
              </w:rPr>
            </w:pPr>
            <w:r w:rsidRPr="00BE211F">
              <w:rPr>
                <w:rFonts w:cs="Arial"/>
                <w:sz w:val="18"/>
                <w:szCs w:val="18"/>
              </w:rPr>
              <w:t>E, L</w:t>
            </w:r>
          </w:p>
        </w:tc>
        <w:tc>
          <w:tcPr>
            <w:tcW w:w="2126" w:type="dxa"/>
          </w:tcPr>
          <w:p w14:paraId="5E38B904"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411EB841" w14:textId="77777777" w:rsidR="00285EF0" w:rsidRPr="00BE211F" w:rsidRDefault="00285EF0" w:rsidP="00285EF0">
            <w:pPr>
              <w:rPr>
                <w:rFonts w:cs="Arial"/>
                <w:sz w:val="18"/>
                <w:szCs w:val="18"/>
              </w:rPr>
            </w:pPr>
            <w:r w:rsidRPr="00BE211F">
              <w:rPr>
                <w:rFonts w:cs="Arial"/>
                <w:sz w:val="18"/>
                <w:szCs w:val="18"/>
              </w:rPr>
              <w:t>(Enkirch et al. 2018)</w:t>
            </w:r>
          </w:p>
        </w:tc>
      </w:tr>
    </w:tbl>
    <w:p w14:paraId="60B12978" w14:textId="77777777" w:rsidR="00285EF0" w:rsidRDefault="00285EF0" w:rsidP="00285EF0">
      <w:r>
        <w:br w:type="page"/>
      </w:r>
    </w:p>
    <w:tbl>
      <w:tblPr>
        <w:tblStyle w:val="TableGrid"/>
        <w:tblW w:w="14176" w:type="dxa"/>
        <w:tblInd w:w="-147" w:type="dxa"/>
        <w:tblLayout w:type="fixed"/>
        <w:tblLook w:val="04A0" w:firstRow="1" w:lastRow="0" w:firstColumn="1" w:lastColumn="0" w:noHBand="0" w:noVBand="1"/>
        <w:tblCaption w:val="Summary of international outbreaks associated with fresh and minimally processed horticultural produce"/>
      </w:tblPr>
      <w:tblGrid>
        <w:gridCol w:w="1560"/>
        <w:gridCol w:w="2045"/>
        <w:gridCol w:w="850"/>
        <w:gridCol w:w="1417"/>
        <w:gridCol w:w="1500"/>
        <w:gridCol w:w="1134"/>
        <w:gridCol w:w="1417"/>
        <w:gridCol w:w="2126"/>
        <w:gridCol w:w="2127"/>
      </w:tblGrid>
      <w:tr w:rsidR="00285EF0" w:rsidRPr="00BE211F" w14:paraId="1B382A17" w14:textId="77777777" w:rsidTr="00285EF0">
        <w:trPr>
          <w:cantSplit/>
          <w:tblHeader/>
        </w:trPr>
        <w:tc>
          <w:tcPr>
            <w:tcW w:w="1560" w:type="dxa"/>
            <w:shd w:val="clear" w:color="auto" w:fill="C6D9F1" w:themeFill="text2" w:themeFillTint="33"/>
          </w:tcPr>
          <w:p w14:paraId="0790D842" w14:textId="77777777" w:rsidR="00285EF0" w:rsidRPr="00BE211F" w:rsidRDefault="00285EF0" w:rsidP="00285EF0">
            <w:pPr>
              <w:rPr>
                <w:rFonts w:cs="Arial"/>
                <w:b/>
                <w:sz w:val="18"/>
                <w:szCs w:val="18"/>
              </w:rPr>
            </w:pPr>
            <w:r w:rsidRPr="00BE211F">
              <w:rPr>
                <w:rFonts w:cs="Arial"/>
                <w:b/>
                <w:sz w:val="18"/>
                <w:szCs w:val="18"/>
              </w:rPr>
              <w:t>Commodity</w:t>
            </w:r>
          </w:p>
        </w:tc>
        <w:tc>
          <w:tcPr>
            <w:tcW w:w="2045" w:type="dxa"/>
            <w:shd w:val="clear" w:color="auto" w:fill="C6D9F1" w:themeFill="text2" w:themeFillTint="33"/>
          </w:tcPr>
          <w:p w14:paraId="5AC51286" w14:textId="77777777" w:rsidR="00285EF0" w:rsidRPr="00BE211F" w:rsidRDefault="00285EF0" w:rsidP="00285EF0">
            <w:pPr>
              <w:rPr>
                <w:rFonts w:cs="Arial"/>
                <w:b/>
                <w:sz w:val="18"/>
                <w:szCs w:val="18"/>
              </w:rPr>
            </w:pPr>
            <w:r w:rsidRPr="00BE211F">
              <w:rPr>
                <w:rFonts w:cs="Arial"/>
                <w:b/>
                <w:sz w:val="18"/>
                <w:szCs w:val="18"/>
              </w:rPr>
              <w:t>Pathogen</w:t>
            </w:r>
          </w:p>
        </w:tc>
        <w:tc>
          <w:tcPr>
            <w:tcW w:w="850" w:type="dxa"/>
            <w:shd w:val="clear" w:color="auto" w:fill="C6D9F1" w:themeFill="text2" w:themeFillTint="33"/>
          </w:tcPr>
          <w:p w14:paraId="55648182" w14:textId="77777777" w:rsidR="00285EF0" w:rsidRPr="00BE211F" w:rsidRDefault="00285EF0" w:rsidP="00285EF0">
            <w:pPr>
              <w:rPr>
                <w:rFonts w:cs="Arial"/>
                <w:b/>
                <w:sz w:val="18"/>
                <w:szCs w:val="18"/>
              </w:rPr>
            </w:pPr>
            <w:r w:rsidRPr="00BE211F">
              <w:rPr>
                <w:rFonts w:cs="Arial"/>
                <w:b/>
                <w:sz w:val="18"/>
                <w:szCs w:val="18"/>
              </w:rPr>
              <w:t>Year</w:t>
            </w:r>
          </w:p>
        </w:tc>
        <w:tc>
          <w:tcPr>
            <w:tcW w:w="1417" w:type="dxa"/>
            <w:shd w:val="clear" w:color="auto" w:fill="C6D9F1" w:themeFill="text2" w:themeFillTint="33"/>
          </w:tcPr>
          <w:p w14:paraId="0BC94879" w14:textId="77777777" w:rsidR="00285EF0" w:rsidRPr="00BE211F" w:rsidRDefault="00285EF0" w:rsidP="00285EF0">
            <w:pPr>
              <w:rPr>
                <w:rFonts w:cs="Arial"/>
                <w:b/>
                <w:sz w:val="18"/>
                <w:szCs w:val="18"/>
              </w:rPr>
            </w:pPr>
            <w:r w:rsidRPr="00BE211F">
              <w:rPr>
                <w:rFonts w:cs="Arial"/>
                <w:b/>
                <w:sz w:val="18"/>
                <w:szCs w:val="18"/>
              </w:rPr>
              <w:t>Location/s</w:t>
            </w:r>
          </w:p>
        </w:tc>
        <w:tc>
          <w:tcPr>
            <w:tcW w:w="1500" w:type="dxa"/>
            <w:shd w:val="clear" w:color="auto" w:fill="C6D9F1" w:themeFill="text2" w:themeFillTint="33"/>
          </w:tcPr>
          <w:p w14:paraId="43EE012E" w14:textId="77777777" w:rsidR="00285EF0" w:rsidRPr="00BE211F" w:rsidRDefault="00285EF0" w:rsidP="00285EF0">
            <w:pPr>
              <w:rPr>
                <w:rFonts w:cs="Arial"/>
                <w:b/>
                <w:sz w:val="18"/>
                <w:szCs w:val="18"/>
              </w:rPr>
            </w:pPr>
            <w:r w:rsidRPr="00BE211F">
              <w:rPr>
                <w:rFonts w:cs="Arial"/>
                <w:b/>
                <w:sz w:val="18"/>
                <w:szCs w:val="18"/>
              </w:rPr>
              <w:t>Commodity origin</w:t>
            </w:r>
          </w:p>
        </w:tc>
        <w:tc>
          <w:tcPr>
            <w:tcW w:w="1134" w:type="dxa"/>
            <w:shd w:val="clear" w:color="auto" w:fill="C6D9F1" w:themeFill="text2" w:themeFillTint="33"/>
          </w:tcPr>
          <w:p w14:paraId="1CB01688" w14:textId="77777777" w:rsidR="00285EF0" w:rsidRPr="00BE211F" w:rsidRDefault="00285EF0" w:rsidP="00285EF0">
            <w:pPr>
              <w:rPr>
                <w:rFonts w:cs="Arial"/>
                <w:b/>
                <w:sz w:val="18"/>
                <w:szCs w:val="18"/>
              </w:rPr>
            </w:pPr>
            <w:r w:rsidRPr="00BE211F">
              <w:rPr>
                <w:rFonts w:cs="Arial"/>
                <w:b/>
                <w:sz w:val="18"/>
                <w:szCs w:val="18"/>
              </w:rPr>
              <w:t>No. of cases (</w:t>
            </w:r>
            <w:r>
              <w:rPr>
                <w:rFonts w:cs="Arial"/>
                <w:b/>
                <w:sz w:val="18"/>
                <w:szCs w:val="18"/>
              </w:rPr>
              <w:t xml:space="preserve">No. </w:t>
            </w:r>
            <w:r w:rsidRPr="00BE211F">
              <w:rPr>
                <w:rFonts w:cs="Arial"/>
                <w:b/>
                <w:sz w:val="18"/>
                <w:szCs w:val="18"/>
              </w:rPr>
              <w:t>deaths)</w:t>
            </w:r>
          </w:p>
        </w:tc>
        <w:tc>
          <w:tcPr>
            <w:tcW w:w="1417" w:type="dxa"/>
            <w:shd w:val="clear" w:color="auto" w:fill="C6D9F1" w:themeFill="text2" w:themeFillTint="33"/>
          </w:tcPr>
          <w:p w14:paraId="2A5D2A90" w14:textId="77777777" w:rsidR="00285EF0" w:rsidRPr="00BE211F" w:rsidRDefault="00285EF0" w:rsidP="00285EF0">
            <w:pPr>
              <w:rPr>
                <w:rFonts w:cs="Arial"/>
                <w:b/>
                <w:sz w:val="18"/>
                <w:szCs w:val="18"/>
              </w:rPr>
            </w:pPr>
            <w:r w:rsidRPr="00BE211F">
              <w:rPr>
                <w:rFonts w:cs="Arial"/>
                <w:b/>
                <w:sz w:val="18"/>
                <w:szCs w:val="18"/>
              </w:rPr>
              <w:t>Epidemiology comments</w:t>
            </w:r>
            <w:r w:rsidRPr="00BE211F">
              <w:rPr>
                <w:rFonts w:cs="Arial"/>
                <w:b/>
                <w:sz w:val="18"/>
                <w:szCs w:val="18"/>
                <w:vertAlign w:val="superscript"/>
              </w:rPr>
              <w:t>1</w:t>
            </w:r>
          </w:p>
        </w:tc>
        <w:tc>
          <w:tcPr>
            <w:tcW w:w="2126" w:type="dxa"/>
            <w:shd w:val="clear" w:color="auto" w:fill="C6D9F1" w:themeFill="text2" w:themeFillTint="33"/>
          </w:tcPr>
          <w:p w14:paraId="533690E8" w14:textId="77777777" w:rsidR="00285EF0" w:rsidRPr="00BE211F" w:rsidRDefault="00285EF0" w:rsidP="00285EF0">
            <w:pPr>
              <w:rPr>
                <w:rFonts w:cs="Arial"/>
                <w:b/>
                <w:sz w:val="18"/>
                <w:szCs w:val="18"/>
              </w:rPr>
            </w:pPr>
            <w:r w:rsidRPr="00BE211F">
              <w:rPr>
                <w:rFonts w:cs="Arial"/>
                <w:b/>
                <w:sz w:val="18"/>
                <w:szCs w:val="18"/>
              </w:rPr>
              <w:t>Supply chain failure</w:t>
            </w:r>
            <w:r w:rsidRPr="00BE211F">
              <w:rPr>
                <w:rFonts w:cs="Arial"/>
                <w:b/>
                <w:sz w:val="18"/>
                <w:szCs w:val="18"/>
                <w:vertAlign w:val="superscript"/>
              </w:rPr>
              <w:t>2</w:t>
            </w:r>
          </w:p>
        </w:tc>
        <w:tc>
          <w:tcPr>
            <w:tcW w:w="2127" w:type="dxa"/>
            <w:shd w:val="clear" w:color="auto" w:fill="C6D9F1" w:themeFill="text2" w:themeFillTint="33"/>
          </w:tcPr>
          <w:p w14:paraId="6F61EFC4" w14:textId="77777777" w:rsidR="00285EF0" w:rsidRPr="00BE211F" w:rsidRDefault="00285EF0" w:rsidP="00285EF0">
            <w:pPr>
              <w:rPr>
                <w:rFonts w:cs="Arial"/>
                <w:b/>
                <w:sz w:val="18"/>
                <w:szCs w:val="18"/>
              </w:rPr>
            </w:pPr>
            <w:r w:rsidRPr="00BE211F">
              <w:rPr>
                <w:rFonts w:cs="Arial"/>
                <w:b/>
                <w:sz w:val="18"/>
                <w:szCs w:val="18"/>
              </w:rPr>
              <w:t>References</w:t>
            </w:r>
          </w:p>
        </w:tc>
      </w:tr>
      <w:tr w:rsidR="00285EF0" w:rsidRPr="00BE211F" w14:paraId="053AFEAC" w14:textId="77777777" w:rsidTr="00285EF0">
        <w:trPr>
          <w:cantSplit/>
        </w:trPr>
        <w:tc>
          <w:tcPr>
            <w:tcW w:w="14176" w:type="dxa"/>
            <w:gridSpan w:val="9"/>
          </w:tcPr>
          <w:p w14:paraId="54B37FCF" w14:textId="77777777" w:rsidR="00285EF0" w:rsidRPr="00BE211F" w:rsidRDefault="00285EF0" w:rsidP="00285EF0">
            <w:pPr>
              <w:rPr>
                <w:rFonts w:cs="Arial"/>
                <w:sz w:val="18"/>
                <w:szCs w:val="18"/>
              </w:rPr>
            </w:pPr>
          </w:p>
        </w:tc>
      </w:tr>
      <w:tr w:rsidR="00285EF0" w:rsidRPr="00BE211F" w14:paraId="56BFEBA5" w14:textId="77777777" w:rsidTr="00285EF0">
        <w:trPr>
          <w:cantSplit/>
        </w:trPr>
        <w:tc>
          <w:tcPr>
            <w:tcW w:w="14176" w:type="dxa"/>
            <w:gridSpan w:val="9"/>
            <w:shd w:val="clear" w:color="auto" w:fill="C6D9F1" w:themeFill="text2" w:themeFillTint="33"/>
          </w:tcPr>
          <w:p w14:paraId="4348B120" w14:textId="77777777" w:rsidR="00285EF0" w:rsidRPr="00BE211F" w:rsidRDefault="00285EF0" w:rsidP="00285EF0">
            <w:pPr>
              <w:rPr>
                <w:rFonts w:cs="Arial"/>
                <w:sz w:val="18"/>
                <w:szCs w:val="18"/>
              </w:rPr>
            </w:pPr>
            <w:r w:rsidRPr="00BE211F">
              <w:rPr>
                <w:rFonts w:cs="Arial"/>
                <w:sz w:val="18"/>
                <w:szCs w:val="18"/>
              </w:rPr>
              <w:t>Other fruit</w:t>
            </w:r>
          </w:p>
        </w:tc>
      </w:tr>
      <w:tr w:rsidR="00285EF0" w:rsidRPr="00BE211F" w14:paraId="3CEC0F29" w14:textId="77777777" w:rsidTr="00285EF0">
        <w:trPr>
          <w:cantSplit/>
        </w:trPr>
        <w:tc>
          <w:tcPr>
            <w:tcW w:w="1560" w:type="dxa"/>
          </w:tcPr>
          <w:p w14:paraId="1BBFFCAC" w14:textId="77777777" w:rsidR="00285EF0" w:rsidRPr="00BE211F" w:rsidRDefault="00285EF0" w:rsidP="00285EF0">
            <w:pPr>
              <w:rPr>
                <w:rFonts w:cs="Arial"/>
                <w:sz w:val="18"/>
                <w:szCs w:val="18"/>
              </w:rPr>
            </w:pPr>
            <w:r w:rsidRPr="00BE211F">
              <w:rPr>
                <w:rFonts w:cs="Arial"/>
                <w:sz w:val="18"/>
                <w:szCs w:val="18"/>
              </w:rPr>
              <w:t>Mamey</w:t>
            </w:r>
          </w:p>
        </w:tc>
        <w:tc>
          <w:tcPr>
            <w:tcW w:w="2045" w:type="dxa"/>
          </w:tcPr>
          <w:p w14:paraId="2F4D2342" w14:textId="77777777" w:rsidR="00285EF0" w:rsidRPr="00BE211F" w:rsidRDefault="00285EF0" w:rsidP="00285EF0">
            <w:pPr>
              <w:rPr>
                <w:rFonts w:cs="Arial"/>
                <w:i/>
                <w:sz w:val="18"/>
                <w:szCs w:val="18"/>
              </w:rPr>
            </w:pPr>
            <w:r w:rsidRPr="00BE211F">
              <w:rPr>
                <w:rFonts w:cs="Arial"/>
                <w:i/>
                <w:sz w:val="18"/>
                <w:szCs w:val="18"/>
              </w:rPr>
              <w:t xml:space="preserve">Salmonella </w:t>
            </w:r>
            <w:r w:rsidRPr="00BE211F">
              <w:rPr>
                <w:rFonts w:cs="Arial"/>
                <w:sz w:val="18"/>
                <w:szCs w:val="18"/>
              </w:rPr>
              <w:t>Typhi</w:t>
            </w:r>
          </w:p>
        </w:tc>
        <w:tc>
          <w:tcPr>
            <w:tcW w:w="850" w:type="dxa"/>
          </w:tcPr>
          <w:p w14:paraId="3D4E6D79" w14:textId="77777777" w:rsidR="00285EF0" w:rsidRPr="00BE211F" w:rsidRDefault="00285EF0" w:rsidP="00285EF0">
            <w:pPr>
              <w:rPr>
                <w:rFonts w:cs="Arial"/>
                <w:sz w:val="18"/>
                <w:szCs w:val="18"/>
              </w:rPr>
            </w:pPr>
            <w:r w:rsidRPr="00BE211F">
              <w:rPr>
                <w:rFonts w:cs="Arial"/>
                <w:sz w:val="18"/>
                <w:szCs w:val="18"/>
              </w:rPr>
              <w:t>2010</w:t>
            </w:r>
          </w:p>
        </w:tc>
        <w:tc>
          <w:tcPr>
            <w:tcW w:w="1417" w:type="dxa"/>
          </w:tcPr>
          <w:p w14:paraId="04CA9447"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6AA708AF" w14:textId="77777777" w:rsidR="00285EF0" w:rsidRPr="00BE211F" w:rsidRDefault="00285EF0" w:rsidP="00285EF0">
            <w:pPr>
              <w:rPr>
                <w:rFonts w:cs="Arial"/>
                <w:sz w:val="18"/>
                <w:szCs w:val="18"/>
              </w:rPr>
            </w:pPr>
            <w:r w:rsidRPr="00BE211F">
              <w:rPr>
                <w:rFonts w:cs="Arial"/>
                <w:sz w:val="18"/>
                <w:szCs w:val="18"/>
              </w:rPr>
              <w:t>Guatemala</w:t>
            </w:r>
          </w:p>
        </w:tc>
        <w:tc>
          <w:tcPr>
            <w:tcW w:w="1134" w:type="dxa"/>
          </w:tcPr>
          <w:p w14:paraId="250517D0" w14:textId="77777777" w:rsidR="00285EF0" w:rsidRPr="00BE211F" w:rsidRDefault="00285EF0" w:rsidP="00285EF0">
            <w:pPr>
              <w:rPr>
                <w:rFonts w:cs="Arial"/>
                <w:sz w:val="18"/>
                <w:szCs w:val="18"/>
              </w:rPr>
            </w:pPr>
            <w:r w:rsidRPr="00BE211F">
              <w:rPr>
                <w:rFonts w:cs="Arial"/>
                <w:sz w:val="18"/>
                <w:szCs w:val="18"/>
              </w:rPr>
              <w:t>12</w:t>
            </w:r>
          </w:p>
        </w:tc>
        <w:tc>
          <w:tcPr>
            <w:tcW w:w="1417" w:type="dxa"/>
          </w:tcPr>
          <w:p w14:paraId="4F6F522A" w14:textId="77777777" w:rsidR="00285EF0" w:rsidRPr="00BE211F" w:rsidRDefault="00285EF0" w:rsidP="00285EF0">
            <w:pPr>
              <w:rPr>
                <w:rFonts w:cs="Arial"/>
                <w:sz w:val="18"/>
                <w:szCs w:val="18"/>
              </w:rPr>
            </w:pPr>
            <w:r w:rsidRPr="00BE211F">
              <w:rPr>
                <w:rFonts w:cs="Arial"/>
                <w:sz w:val="18"/>
                <w:szCs w:val="18"/>
              </w:rPr>
              <w:t>E</w:t>
            </w:r>
          </w:p>
        </w:tc>
        <w:tc>
          <w:tcPr>
            <w:tcW w:w="2126" w:type="dxa"/>
          </w:tcPr>
          <w:p w14:paraId="7CAFF9A9" w14:textId="77777777" w:rsidR="00285EF0" w:rsidRPr="00BE211F" w:rsidRDefault="00285EF0" w:rsidP="00285EF0">
            <w:pPr>
              <w:rPr>
                <w:rFonts w:cs="Arial"/>
                <w:sz w:val="18"/>
                <w:szCs w:val="18"/>
              </w:rPr>
            </w:pPr>
            <w:r w:rsidRPr="00BE211F">
              <w:rPr>
                <w:rFonts w:cs="Arial"/>
                <w:sz w:val="18"/>
                <w:szCs w:val="18"/>
              </w:rPr>
              <w:t>Multiple defects in facilities, hygiene, sanitation and process controls in the produce processing facility.</w:t>
            </w:r>
          </w:p>
        </w:tc>
        <w:tc>
          <w:tcPr>
            <w:tcW w:w="2127" w:type="dxa"/>
          </w:tcPr>
          <w:p w14:paraId="0609B186" w14:textId="77777777" w:rsidR="00285EF0" w:rsidRPr="00BE211F" w:rsidRDefault="00285EF0" w:rsidP="00285EF0">
            <w:pPr>
              <w:rPr>
                <w:rFonts w:cs="Arial"/>
                <w:sz w:val="18"/>
                <w:szCs w:val="18"/>
              </w:rPr>
            </w:pPr>
            <w:r w:rsidRPr="00BE211F">
              <w:rPr>
                <w:rFonts w:cs="Arial"/>
                <w:sz w:val="18"/>
                <w:szCs w:val="18"/>
              </w:rPr>
              <w:t>(Loharikar et al. 2012)</w:t>
            </w:r>
          </w:p>
        </w:tc>
      </w:tr>
      <w:tr w:rsidR="00285EF0" w:rsidRPr="00BE211F" w14:paraId="59411FC0" w14:textId="77777777" w:rsidTr="00285EF0">
        <w:trPr>
          <w:cantSplit/>
        </w:trPr>
        <w:tc>
          <w:tcPr>
            <w:tcW w:w="1560" w:type="dxa"/>
          </w:tcPr>
          <w:p w14:paraId="470E7B8D" w14:textId="77777777" w:rsidR="00285EF0" w:rsidRPr="00BE211F" w:rsidRDefault="00285EF0" w:rsidP="00285EF0">
            <w:pPr>
              <w:rPr>
                <w:rFonts w:cs="Arial"/>
                <w:sz w:val="18"/>
                <w:szCs w:val="18"/>
              </w:rPr>
            </w:pPr>
            <w:r w:rsidRPr="00BE211F">
              <w:rPr>
                <w:rFonts w:cs="Arial"/>
                <w:sz w:val="18"/>
                <w:szCs w:val="18"/>
              </w:rPr>
              <w:t>Papaya</w:t>
            </w:r>
          </w:p>
        </w:tc>
        <w:tc>
          <w:tcPr>
            <w:tcW w:w="2045" w:type="dxa"/>
          </w:tcPr>
          <w:p w14:paraId="11A69A08" w14:textId="77777777" w:rsidR="00285EF0" w:rsidRPr="00BE211F" w:rsidRDefault="00285EF0" w:rsidP="00285EF0">
            <w:pPr>
              <w:rPr>
                <w:rFonts w:cs="Arial"/>
                <w:i/>
                <w:sz w:val="18"/>
                <w:szCs w:val="18"/>
              </w:rPr>
            </w:pPr>
            <w:r w:rsidRPr="00BE211F">
              <w:rPr>
                <w:rFonts w:cs="Arial"/>
                <w:i/>
                <w:sz w:val="18"/>
                <w:szCs w:val="18"/>
              </w:rPr>
              <w:t xml:space="preserve">Salmonella </w:t>
            </w:r>
            <w:r w:rsidRPr="00BE211F">
              <w:rPr>
                <w:rFonts w:cs="Arial"/>
                <w:sz w:val="18"/>
                <w:szCs w:val="18"/>
              </w:rPr>
              <w:t>Agona</w:t>
            </w:r>
          </w:p>
        </w:tc>
        <w:tc>
          <w:tcPr>
            <w:tcW w:w="850" w:type="dxa"/>
          </w:tcPr>
          <w:p w14:paraId="3F6FD529" w14:textId="77777777" w:rsidR="00285EF0" w:rsidRPr="00BE211F" w:rsidRDefault="00285EF0" w:rsidP="00285EF0">
            <w:pPr>
              <w:rPr>
                <w:rFonts w:cs="Arial"/>
                <w:sz w:val="18"/>
                <w:szCs w:val="18"/>
              </w:rPr>
            </w:pPr>
            <w:r w:rsidRPr="00BE211F">
              <w:rPr>
                <w:rFonts w:cs="Arial"/>
                <w:sz w:val="18"/>
                <w:szCs w:val="18"/>
              </w:rPr>
              <w:t>2011</w:t>
            </w:r>
          </w:p>
        </w:tc>
        <w:tc>
          <w:tcPr>
            <w:tcW w:w="1417" w:type="dxa"/>
          </w:tcPr>
          <w:p w14:paraId="40515ED6"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0CB00286" w14:textId="77777777" w:rsidR="00285EF0" w:rsidRPr="00BE211F" w:rsidRDefault="00285EF0" w:rsidP="00285EF0">
            <w:pPr>
              <w:rPr>
                <w:rFonts w:cs="Arial"/>
                <w:sz w:val="18"/>
                <w:szCs w:val="18"/>
              </w:rPr>
            </w:pPr>
            <w:r w:rsidRPr="00BE211F">
              <w:rPr>
                <w:rFonts w:cs="Arial"/>
                <w:sz w:val="18"/>
                <w:szCs w:val="18"/>
              </w:rPr>
              <w:t>Mexico</w:t>
            </w:r>
          </w:p>
        </w:tc>
        <w:tc>
          <w:tcPr>
            <w:tcW w:w="1134" w:type="dxa"/>
          </w:tcPr>
          <w:p w14:paraId="575D8CCB" w14:textId="77777777" w:rsidR="00285EF0" w:rsidRPr="00BE211F" w:rsidRDefault="00285EF0" w:rsidP="00285EF0">
            <w:pPr>
              <w:rPr>
                <w:rFonts w:cs="Arial"/>
                <w:sz w:val="18"/>
                <w:szCs w:val="18"/>
              </w:rPr>
            </w:pPr>
            <w:r w:rsidRPr="00BE211F">
              <w:rPr>
                <w:rFonts w:cs="Arial"/>
                <w:sz w:val="18"/>
                <w:szCs w:val="18"/>
              </w:rPr>
              <w:t>106</w:t>
            </w:r>
          </w:p>
        </w:tc>
        <w:tc>
          <w:tcPr>
            <w:tcW w:w="1417" w:type="dxa"/>
          </w:tcPr>
          <w:p w14:paraId="3AEF37D7" w14:textId="77777777" w:rsidR="00285EF0" w:rsidRPr="00BE211F" w:rsidRDefault="00285EF0" w:rsidP="00285EF0">
            <w:pPr>
              <w:rPr>
                <w:rFonts w:cs="Arial"/>
                <w:sz w:val="18"/>
                <w:szCs w:val="18"/>
              </w:rPr>
            </w:pPr>
            <w:r w:rsidRPr="00BE211F">
              <w:rPr>
                <w:rFonts w:cs="Arial"/>
                <w:sz w:val="18"/>
                <w:szCs w:val="18"/>
              </w:rPr>
              <w:t>E, L</w:t>
            </w:r>
          </w:p>
        </w:tc>
        <w:tc>
          <w:tcPr>
            <w:tcW w:w="2126" w:type="dxa"/>
          </w:tcPr>
          <w:p w14:paraId="063E02C2"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13FC832D" w14:textId="77777777" w:rsidR="00285EF0" w:rsidRPr="00BE211F" w:rsidRDefault="00285EF0" w:rsidP="00285EF0">
            <w:pPr>
              <w:rPr>
                <w:rFonts w:cs="Arial"/>
                <w:sz w:val="18"/>
                <w:szCs w:val="18"/>
              </w:rPr>
            </w:pPr>
            <w:r w:rsidRPr="00BE211F">
              <w:rPr>
                <w:rFonts w:cs="Arial"/>
                <w:sz w:val="18"/>
                <w:szCs w:val="18"/>
              </w:rPr>
              <w:t>(Mba-Jonas et al. 2018)</w:t>
            </w:r>
          </w:p>
        </w:tc>
      </w:tr>
      <w:tr w:rsidR="00285EF0" w:rsidRPr="00BE211F" w14:paraId="7309B022" w14:textId="77777777" w:rsidTr="00285EF0">
        <w:trPr>
          <w:cantSplit/>
        </w:trPr>
        <w:tc>
          <w:tcPr>
            <w:tcW w:w="1560" w:type="dxa"/>
          </w:tcPr>
          <w:p w14:paraId="326BF0C0" w14:textId="77777777" w:rsidR="00285EF0" w:rsidRPr="00BE211F" w:rsidRDefault="00285EF0" w:rsidP="00285EF0">
            <w:pPr>
              <w:rPr>
                <w:rFonts w:cs="Arial"/>
                <w:sz w:val="18"/>
                <w:szCs w:val="18"/>
              </w:rPr>
            </w:pPr>
            <w:r w:rsidRPr="00BE211F">
              <w:rPr>
                <w:rFonts w:cs="Arial"/>
                <w:sz w:val="18"/>
                <w:szCs w:val="18"/>
              </w:rPr>
              <w:t>Pomegranate arils</w:t>
            </w:r>
          </w:p>
        </w:tc>
        <w:tc>
          <w:tcPr>
            <w:tcW w:w="2045" w:type="dxa"/>
          </w:tcPr>
          <w:p w14:paraId="71FFD415" w14:textId="77777777" w:rsidR="00285EF0" w:rsidRPr="00BE211F" w:rsidRDefault="00285EF0" w:rsidP="00285EF0">
            <w:pPr>
              <w:rPr>
                <w:rFonts w:cs="Arial"/>
                <w:sz w:val="18"/>
                <w:szCs w:val="18"/>
              </w:rPr>
            </w:pPr>
            <w:r w:rsidRPr="00BE211F">
              <w:rPr>
                <w:rFonts w:cs="Arial"/>
                <w:sz w:val="18"/>
                <w:szCs w:val="18"/>
              </w:rPr>
              <w:t>Hepatitis A</w:t>
            </w:r>
          </w:p>
        </w:tc>
        <w:tc>
          <w:tcPr>
            <w:tcW w:w="850" w:type="dxa"/>
          </w:tcPr>
          <w:p w14:paraId="7E781DC4" w14:textId="77777777" w:rsidR="00285EF0" w:rsidRPr="00BE211F" w:rsidRDefault="00285EF0" w:rsidP="00285EF0">
            <w:pPr>
              <w:rPr>
                <w:rFonts w:cs="Arial"/>
                <w:sz w:val="18"/>
                <w:szCs w:val="18"/>
              </w:rPr>
            </w:pPr>
            <w:r w:rsidRPr="00BE211F">
              <w:rPr>
                <w:rFonts w:cs="Arial"/>
                <w:sz w:val="18"/>
                <w:szCs w:val="18"/>
              </w:rPr>
              <w:t>2012</w:t>
            </w:r>
          </w:p>
        </w:tc>
        <w:tc>
          <w:tcPr>
            <w:tcW w:w="1417" w:type="dxa"/>
          </w:tcPr>
          <w:p w14:paraId="611AD705" w14:textId="77777777" w:rsidR="00285EF0" w:rsidRPr="00BE211F" w:rsidRDefault="00285EF0" w:rsidP="00285EF0">
            <w:pPr>
              <w:rPr>
                <w:rFonts w:cs="Arial"/>
                <w:sz w:val="18"/>
                <w:szCs w:val="18"/>
              </w:rPr>
            </w:pPr>
            <w:r w:rsidRPr="00BE211F">
              <w:rPr>
                <w:rFonts w:cs="Arial"/>
                <w:sz w:val="18"/>
                <w:szCs w:val="18"/>
              </w:rPr>
              <w:t>Canada</w:t>
            </w:r>
          </w:p>
        </w:tc>
        <w:tc>
          <w:tcPr>
            <w:tcW w:w="1500" w:type="dxa"/>
          </w:tcPr>
          <w:p w14:paraId="5DB7CD88" w14:textId="77777777" w:rsidR="00285EF0" w:rsidRPr="00BE211F" w:rsidRDefault="00285EF0" w:rsidP="00285EF0">
            <w:pPr>
              <w:rPr>
                <w:rFonts w:cs="Arial"/>
                <w:sz w:val="18"/>
                <w:szCs w:val="18"/>
              </w:rPr>
            </w:pPr>
            <w:r w:rsidRPr="00BE211F">
              <w:rPr>
                <w:rFonts w:cs="Arial"/>
                <w:sz w:val="18"/>
                <w:szCs w:val="18"/>
              </w:rPr>
              <w:t>Egypt</w:t>
            </w:r>
          </w:p>
        </w:tc>
        <w:tc>
          <w:tcPr>
            <w:tcW w:w="1134" w:type="dxa"/>
          </w:tcPr>
          <w:p w14:paraId="6F54B7C4" w14:textId="77777777" w:rsidR="00285EF0" w:rsidRPr="00BE211F" w:rsidRDefault="00285EF0" w:rsidP="00285EF0">
            <w:pPr>
              <w:rPr>
                <w:rFonts w:cs="Arial"/>
                <w:sz w:val="18"/>
                <w:szCs w:val="18"/>
              </w:rPr>
            </w:pPr>
            <w:r w:rsidRPr="00BE211F">
              <w:rPr>
                <w:rFonts w:cs="Arial"/>
                <w:sz w:val="18"/>
                <w:szCs w:val="18"/>
              </w:rPr>
              <w:t>8</w:t>
            </w:r>
          </w:p>
        </w:tc>
        <w:tc>
          <w:tcPr>
            <w:tcW w:w="1417" w:type="dxa"/>
          </w:tcPr>
          <w:p w14:paraId="201AC07C" w14:textId="77777777" w:rsidR="00285EF0" w:rsidRPr="00BE211F" w:rsidRDefault="00285EF0" w:rsidP="00285EF0">
            <w:pPr>
              <w:rPr>
                <w:rFonts w:cs="Arial"/>
                <w:sz w:val="18"/>
                <w:szCs w:val="18"/>
              </w:rPr>
            </w:pPr>
            <w:r w:rsidRPr="00BE211F">
              <w:rPr>
                <w:rFonts w:cs="Arial"/>
                <w:sz w:val="18"/>
                <w:szCs w:val="18"/>
              </w:rPr>
              <w:t>E, L</w:t>
            </w:r>
          </w:p>
        </w:tc>
        <w:tc>
          <w:tcPr>
            <w:tcW w:w="2126" w:type="dxa"/>
          </w:tcPr>
          <w:p w14:paraId="3D570646"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4E98923B" w14:textId="77777777" w:rsidR="00285EF0" w:rsidRPr="00BE211F" w:rsidRDefault="00285EF0" w:rsidP="00285EF0">
            <w:pPr>
              <w:rPr>
                <w:rFonts w:cs="Arial"/>
                <w:sz w:val="18"/>
                <w:szCs w:val="18"/>
              </w:rPr>
            </w:pPr>
            <w:r w:rsidRPr="00BE211F">
              <w:rPr>
                <w:rFonts w:cs="Arial"/>
                <w:sz w:val="18"/>
                <w:szCs w:val="18"/>
              </w:rPr>
              <w:t>(Swinkels et al. 2014)</w:t>
            </w:r>
          </w:p>
          <w:p w14:paraId="4E2EC35D" w14:textId="77777777" w:rsidR="00285EF0" w:rsidRPr="00BE211F" w:rsidRDefault="00285EF0" w:rsidP="00285EF0">
            <w:pPr>
              <w:rPr>
                <w:rFonts w:cs="Arial"/>
                <w:sz w:val="18"/>
                <w:szCs w:val="18"/>
              </w:rPr>
            </w:pPr>
          </w:p>
        </w:tc>
      </w:tr>
      <w:tr w:rsidR="00285EF0" w:rsidRPr="00BE211F" w14:paraId="38EFEA88" w14:textId="77777777" w:rsidTr="00285EF0">
        <w:trPr>
          <w:cantSplit/>
        </w:trPr>
        <w:tc>
          <w:tcPr>
            <w:tcW w:w="1560" w:type="dxa"/>
          </w:tcPr>
          <w:p w14:paraId="55B6F107" w14:textId="77777777" w:rsidR="00285EF0" w:rsidRPr="00BE211F" w:rsidRDefault="00285EF0" w:rsidP="00285EF0">
            <w:pPr>
              <w:rPr>
                <w:rFonts w:cs="Arial"/>
                <w:sz w:val="18"/>
                <w:szCs w:val="18"/>
              </w:rPr>
            </w:pPr>
            <w:r w:rsidRPr="00BE211F">
              <w:rPr>
                <w:rFonts w:cs="Arial"/>
                <w:sz w:val="18"/>
                <w:szCs w:val="18"/>
              </w:rPr>
              <w:t>Apples, caramel apples</w:t>
            </w:r>
          </w:p>
        </w:tc>
        <w:tc>
          <w:tcPr>
            <w:tcW w:w="2045" w:type="dxa"/>
          </w:tcPr>
          <w:p w14:paraId="664969F0" w14:textId="77777777" w:rsidR="00285EF0" w:rsidRPr="00BE211F" w:rsidRDefault="00285EF0" w:rsidP="00285EF0">
            <w:pPr>
              <w:rPr>
                <w:rFonts w:cs="Arial"/>
                <w:i/>
                <w:sz w:val="18"/>
                <w:szCs w:val="18"/>
              </w:rPr>
            </w:pPr>
            <w:r w:rsidRPr="00BE211F">
              <w:rPr>
                <w:rFonts w:cs="Arial"/>
                <w:i/>
                <w:sz w:val="18"/>
                <w:szCs w:val="18"/>
              </w:rPr>
              <w:t>L. monocytogenes</w:t>
            </w:r>
          </w:p>
        </w:tc>
        <w:tc>
          <w:tcPr>
            <w:tcW w:w="850" w:type="dxa"/>
          </w:tcPr>
          <w:p w14:paraId="29721892" w14:textId="77777777" w:rsidR="00285EF0" w:rsidRPr="00BE211F" w:rsidRDefault="00285EF0" w:rsidP="00285EF0">
            <w:pPr>
              <w:rPr>
                <w:rFonts w:cs="Arial"/>
                <w:sz w:val="18"/>
                <w:szCs w:val="18"/>
              </w:rPr>
            </w:pPr>
            <w:r w:rsidRPr="00BE211F">
              <w:rPr>
                <w:rFonts w:cs="Arial"/>
                <w:sz w:val="18"/>
                <w:szCs w:val="18"/>
              </w:rPr>
              <w:t>2014–2015</w:t>
            </w:r>
          </w:p>
        </w:tc>
        <w:tc>
          <w:tcPr>
            <w:tcW w:w="1417" w:type="dxa"/>
          </w:tcPr>
          <w:p w14:paraId="19256099"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49F792F7" w14:textId="77777777" w:rsidR="00285EF0" w:rsidRPr="00BE211F" w:rsidRDefault="00285EF0" w:rsidP="00285EF0">
            <w:pPr>
              <w:rPr>
                <w:rFonts w:cs="Arial"/>
                <w:sz w:val="18"/>
                <w:szCs w:val="18"/>
              </w:rPr>
            </w:pPr>
            <w:r w:rsidRPr="00BE211F">
              <w:rPr>
                <w:rFonts w:cs="Arial"/>
                <w:sz w:val="18"/>
                <w:szCs w:val="18"/>
              </w:rPr>
              <w:t>USA</w:t>
            </w:r>
          </w:p>
        </w:tc>
        <w:tc>
          <w:tcPr>
            <w:tcW w:w="1134" w:type="dxa"/>
          </w:tcPr>
          <w:p w14:paraId="39CDEF36" w14:textId="77777777" w:rsidR="00285EF0" w:rsidRPr="00BE211F" w:rsidRDefault="00285EF0" w:rsidP="00285EF0">
            <w:pPr>
              <w:rPr>
                <w:rFonts w:cs="Arial"/>
                <w:sz w:val="18"/>
                <w:szCs w:val="18"/>
              </w:rPr>
            </w:pPr>
            <w:r w:rsidRPr="00BE211F">
              <w:rPr>
                <w:rFonts w:cs="Arial"/>
                <w:sz w:val="18"/>
                <w:szCs w:val="18"/>
              </w:rPr>
              <w:t>35 (7)</w:t>
            </w:r>
          </w:p>
        </w:tc>
        <w:tc>
          <w:tcPr>
            <w:tcW w:w="1417" w:type="dxa"/>
          </w:tcPr>
          <w:p w14:paraId="2C5ED085" w14:textId="77777777" w:rsidR="00285EF0" w:rsidRPr="00BE211F" w:rsidRDefault="00285EF0" w:rsidP="00285EF0">
            <w:pPr>
              <w:rPr>
                <w:rFonts w:cs="Arial"/>
                <w:sz w:val="18"/>
                <w:szCs w:val="18"/>
              </w:rPr>
            </w:pPr>
            <w:r w:rsidRPr="00BE211F">
              <w:rPr>
                <w:rFonts w:cs="Arial"/>
                <w:sz w:val="18"/>
                <w:szCs w:val="18"/>
              </w:rPr>
              <w:t>E, L</w:t>
            </w:r>
          </w:p>
        </w:tc>
        <w:tc>
          <w:tcPr>
            <w:tcW w:w="2126" w:type="dxa"/>
          </w:tcPr>
          <w:p w14:paraId="4C72595B" w14:textId="77777777" w:rsidR="00285EF0" w:rsidRPr="00BE211F" w:rsidRDefault="00285EF0" w:rsidP="00285EF0">
            <w:pPr>
              <w:rPr>
                <w:rFonts w:cs="Arial"/>
                <w:sz w:val="18"/>
                <w:szCs w:val="18"/>
              </w:rPr>
            </w:pPr>
            <w:r w:rsidRPr="00BE211F">
              <w:rPr>
                <w:rFonts w:cs="Arial"/>
                <w:sz w:val="18"/>
                <w:szCs w:val="18"/>
              </w:rPr>
              <w:t>n.d.</w:t>
            </w:r>
          </w:p>
        </w:tc>
        <w:tc>
          <w:tcPr>
            <w:tcW w:w="2127" w:type="dxa"/>
          </w:tcPr>
          <w:p w14:paraId="59DAC622" w14:textId="77777777" w:rsidR="00285EF0" w:rsidRPr="00BE211F" w:rsidRDefault="00285EF0" w:rsidP="00285EF0">
            <w:pPr>
              <w:rPr>
                <w:rFonts w:cs="Arial"/>
                <w:sz w:val="18"/>
                <w:szCs w:val="18"/>
              </w:rPr>
            </w:pPr>
            <w:r w:rsidRPr="00BE211F">
              <w:rPr>
                <w:rFonts w:cs="Arial"/>
                <w:sz w:val="18"/>
                <w:szCs w:val="18"/>
              </w:rPr>
              <w:t>(CDC 2015, 2019a)</w:t>
            </w:r>
          </w:p>
        </w:tc>
      </w:tr>
      <w:tr w:rsidR="00285EF0" w:rsidRPr="00BE211F" w14:paraId="30A8C51E" w14:textId="77777777" w:rsidTr="00285EF0">
        <w:trPr>
          <w:cantSplit/>
        </w:trPr>
        <w:tc>
          <w:tcPr>
            <w:tcW w:w="1560" w:type="dxa"/>
          </w:tcPr>
          <w:p w14:paraId="670537A0" w14:textId="77777777" w:rsidR="00285EF0" w:rsidRPr="00BE211F" w:rsidRDefault="00285EF0" w:rsidP="00285EF0">
            <w:pPr>
              <w:rPr>
                <w:rFonts w:cs="Arial"/>
                <w:sz w:val="18"/>
                <w:szCs w:val="18"/>
              </w:rPr>
            </w:pPr>
            <w:r w:rsidRPr="00BE211F">
              <w:rPr>
                <w:rFonts w:cs="Arial"/>
                <w:sz w:val="18"/>
                <w:szCs w:val="18"/>
              </w:rPr>
              <w:t>Papaya</w:t>
            </w:r>
          </w:p>
        </w:tc>
        <w:tc>
          <w:tcPr>
            <w:tcW w:w="2045" w:type="dxa"/>
          </w:tcPr>
          <w:p w14:paraId="4E33D542" w14:textId="77777777" w:rsidR="00285EF0" w:rsidRPr="00BE211F" w:rsidRDefault="00285EF0" w:rsidP="00285EF0">
            <w:pPr>
              <w:rPr>
                <w:rFonts w:cs="Arial"/>
                <w:i/>
                <w:sz w:val="18"/>
                <w:szCs w:val="18"/>
              </w:rPr>
            </w:pPr>
            <w:r w:rsidRPr="00BE211F">
              <w:rPr>
                <w:rFonts w:cs="Arial"/>
                <w:i/>
                <w:sz w:val="18"/>
                <w:szCs w:val="18"/>
              </w:rPr>
              <w:t xml:space="preserve">Salmonella </w:t>
            </w:r>
            <w:r w:rsidRPr="00BE211F">
              <w:rPr>
                <w:rFonts w:cs="Arial"/>
                <w:sz w:val="18"/>
                <w:szCs w:val="18"/>
              </w:rPr>
              <w:t>(multiple serotypes)</w:t>
            </w:r>
          </w:p>
        </w:tc>
        <w:tc>
          <w:tcPr>
            <w:tcW w:w="850" w:type="dxa"/>
          </w:tcPr>
          <w:p w14:paraId="3589208A" w14:textId="77777777" w:rsidR="00285EF0" w:rsidRPr="00BE211F" w:rsidRDefault="00285EF0" w:rsidP="00285EF0">
            <w:pPr>
              <w:rPr>
                <w:rFonts w:cs="Arial"/>
                <w:sz w:val="18"/>
                <w:szCs w:val="18"/>
              </w:rPr>
            </w:pPr>
            <w:r w:rsidRPr="00BE211F">
              <w:rPr>
                <w:rFonts w:cs="Arial"/>
                <w:sz w:val="18"/>
                <w:szCs w:val="18"/>
              </w:rPr>
              <w:t>2016–2017</w:t>
            </w:r>
          </w:p>
        </w:tc>
        <w:tc>
          <w:tcPr>
            <w:tcW w:w="1417" w:type="dxa"/>
          </w:tcPr>
          <w:p w14:paraId="68B2269F" w14:textId="77777777" w:rsidR="00285EF0" w:rsidRPr="00BE211F" w:rsidRDefault="00285EF0" w:rsidP="00285EF0">
            <w:pPr>
              <w:rPr>
                <w:rFonts w:cs="Arial"/>
                <w:sz w:val="18"/>
                <w:szCs w:val="18"/>
              </w:rPr>
            </w:pPr>
            <w:r w:rsidRPr="00BE211F">
              <w:rPr>
                <w:rFonts w:cs="Arial"/>
                <w:sz w:val="18"/>
                <w:szCs w:val="18"/>
              </w:rPr>
              <w:t>USA</w:t>
            </w:r>
          </w:p>
        </w:tc>
        <w:tc>
          <w:tcPr>
            <w:tcW w:w="1500" w:type="dxa"/>
          </w:tcPr>
          <w:p w14:paraId="15808F76" w14:textId="77777777" w:rsidR="00285EF0" w:rsidRPr="00BE211F" w:rsidRDefault="00285EF0" w:rsidP="00285EF0">
            <w:pPr>
              <w:rPr>
                <w:rFonts w:cs="Arial"/>
                <w:sz w:val="18"/>
                <w:szCs w:val="18"/>
              </w:rPr>
            </w:pPr>
            <w:r w:rsidRPr="00BE211F">
              <w:rPr>
                <w:rFonts w:cs="Arial"/>
                <w:sz w:val="18"/>
                <w:szCs w:val="18"/>
              </w:rPr>
              <w:t>Mexico</w:t>
            </w:r>
          </w:p>
        </w:tc>
        <w:tc>
          <w:tcPr>
            <w:tcW w:w="1134" w:type="dxa"/>
          </w:tcPr>
          <w:p w14:paraId="000C525A" w14:textId="77777777" w:rsidR="00285EF0" w:rsidRPr="00BE211F" w:rsidRDefault="00285EF0" w:rsidP="00285EF0">
            <w:pPr>
              <w:rPr>
                <w:rFonts w:cs="Arial"/>
                <w:sz w:val="18"/>
                <w:szCs w:val="18"/>
              </w:rPr>
            </w:pPr>
            <w:r w:rsidRPr="00BE211F">
              <w:rPr>
                <w:rFonts w:cs="Arial"/>
                <w:sz w:val="18"/>
                <w:szCs w:val="18"/>
              </w:rPr>
              <w:t>244</w:t>
            </w:r>
          </w:p>
        </w:tc>
        <w:tc>
          <w:tcPr>
            <w:tcW w:w="1417" w:type="dxa"/>
          </w:tcPr>
          <w:p w14:paraId="73BFE7D0" w14:textId="77777777" w:rsidR="00285EF0" w:rsidRPr="00BE211F" w:rsidRDefault="00285EF0" w:rsidP="00285EF0">
            <w:pPr>
              <w:rPr>
                <w:rFonts w:cs="Arial"/>
                <w:sz w:val="18"/>
                <w:szCs w:val="18"/>
              </w:rPr>
            </w:pPr>
            <w:r w:rsidRPr="00BE211F">
              <w:rPr>
                <w:rFonts w:cs="Arial"/>
                <w:sz w:val="18"/>
                <w:szCs w:val="18"/>
              </w:rPr>
              <w:t>E, L</w:t>
            </w:r>
          </w:p>
        </w:tc>
        <w:tc>
          <w:tcPr>
            <w:tcW w:w="2126" w:type="dxa"/>
          </w:tcPr>
          <w:p w14:paraId="242CFB58" w14:textId="77777777" w:rsidR="00285EF0" w:rsidRPr="00BE211F" w:rsidRDefault="00285EF0" w:rsidP="00285EF0">
            <w:pPr>
              <w:rPr>
                <w:rFonts w:cs="Arial"/>
                <w:sz w:val="18"/>
                <w:szCs w:val="18"/>
              </w:rPr>
            </w:pPr>
            <w:r w:rsidRPr="00BE211F">
              <w:rPr>
                <w:rFonts w:cs="Arial"/>
                <w:sz w:val="18"/>
                <w:szCs w:val="18"/>
              </w:rPr>
              <w:t>Produce prepared, packed or held under insanitary conditions.</w:t>
            </w:r>
          </w:p>
        </w:tc>
        <w:tc>
          <w:tcPr>
            <w:tcW w:w="2127" w:type="dxa"/>
          </w:tcPr>
          <w:p w14:paraId="6CB32BEB" w14:textId="77777777" w:rsidR="00285EF0" w:rsidRPr="00BE211F" w:rsidRDefault="00285EF0" w:rsidP="00285EF0">
            <w:pPr>
              <w:rPr>
                <w:rFonts w:cs="Arial"/>
                <w:sz w:val="18"/>
                <w:szCs w:val="18"/>
              </w:rPr>
            </w:pPr>
            <w:r w:rsidRPr="00BE211F">
              <w:rPr>
                <w:rFonts w:cs="Arial"/>
                <w:sz w:val="18"/>
                <w:szCs w:val="18"/>
              </w:rPr>
              <w:t>(Hassan et al. 2019)</w:t>
            </w:r>
          </w:p>
        </w:tc>
      </w:tr>
    </w:tbl>
    <w:p w14:paraId="559ED55B" w14:textId="77777777" w:rsidR="00285EF0" w:rsidRPr="00695602" w:rsidRDefault="00285EF0" w:rsidP="00285EF0">
      <w:pPr>
        <w:rPr>
          <w:sz w:val="20"/>
          <w:szCs w:val="20"/>
        </w:rPr>
      </w:pPr>
    </w:p>
    <w:p w14:paraId="496BEC82" w14:textId="77777777" w:rsidR="00285EF0" w:rsidRPr="009204D8" w:rsidRDefault="00285EF0" w:rsidP="00285EF0">
      <w:pPr>
        <w:rPr>
          <w:sz w:val="18"/>
          <w:szCs w:val="18"/>
        </w:rPr>
      </w:pPr>
      <w:r w:rsidRPr="009204D8">
        <w:rPr>
          <w:sz w:val="18"/>
          <w:szCs w:val="18"/>
          <w:vertAlign w:val="superscript"/>
        </w:rPr>
        <w:t xml:space="preserve">1 </w:t>
      </w:r>
      <w:r w:rsidRPr="009204D8">
        <w:rPr>
          <w:sz w:val="18"/>
          <w:szCs w:val="18"/>
        </w:rPr>
        <w:t>E—epidemiological study, L—laboratory confirmed link between outbreak strain and implicated commodity or farm</w:t>
      </w:r>
    </w:p>
    <w:p w14:paraId="4C5D1902" w14:textId="77777777" w:rsidR="00285EF0" w:rsidRPr="009204D8" w:rsidRDefault="00285EF0" w:rsidP="00285EF0">
      <w:pPr>
        <w:rPr>
          <w:sz w:val="18"/>
          <w:szCs w:val="18"/>
        </w:rPr>
      </w:pPr>
      <w:r w:rsidRPr="009204D8">
        <w:rPr>
          <w:sz w:val="18"/>
          <w:szCs w:val="18"/>
          <w:vertAlign w:val="superscript"/>
        </w:rPr>
        <w:t xml:space="preserve">2 </w:t>
      </w:r>
      <w:r w:rsidRPr="009204D8">
        <w:rPr>
          <w:sz w:val="18"/>
          <w:szCs w:val="18"/>
        </w:rPr>
        <w:t>n.d.—not determined</w:t>
      </w:r>
    </w:p>
    <w:p w14:paraId="2A953D24" w14:textId="77777777" w:rsidR="00285EF0" w:rsidRDefault="00285EF0" w:rsidP="00285EF0"/>
    <w:p w14:paraId="4ED45DDE" w14:textId="77777777" w:rsidR="001B4D3A" w:rsidRPr="00145A61" w:rsidRDefault="00285EF0" w:rsidP="00787E56">
      <w:pPr>
        <w:pStyle w:val="Heading3"/>
      </w:pPr>
      <w:bookmarkStart w:id="905" w:name="_Toc66881422"/>
      <w:bookmarkStart w:id="906" w:name="_Toc66882326"/>
      <w:bookmarkStart w:id="907" w:name="_Toc66883048"/>
      <w:bookmarkStart w:id="908" w:name="_Toc87614450"/>
      <w:bookmarkStart w:id="909" w:name="_Toc87860089"/>
      <w:r>
        <w:t>References</w:t>
      </w:r>
      <w:bookmarkStart w:id="910" w:name="_CTVL00188f39a2f320847bcb4efca8217fabd4e"/>
      <w:bookmarkEnd w:id="905"/>
      <w:bookmarkEnd w:id="906"/>
      <w:bookmarkEnd w:id="907"/>
      <w:bookmarkEnd w:id="908"/>
      <w:bookmarkEnd w:id="909"/>
    </w:p>
    <w:p w14:paraId="6618523D" w14:textId="7A579A54" w:rsidR="009B7095" w:rsidRPr="001B4D3A" w:rsidRDefault="00285EF0" w:rsidP="001B4D3A">
      <w:pPr>
        <w:spacing w:after="120"/>
        <w:rPr>
          <w:sz w:val="20"/>
          <w:szCs w:val="20"/>
        </w:rPr>
      </w:pPr>
      <w:r w:rsidRPr="001B4D3A">
        <w:rPr>
          <w:sz w:val="20"/>
          <w:szCs w:val="20"/>
        </w:rPr>
        <w:t xml:space="preserve">Abanyie F, Harvey RR, Harris JR, Wiegand RE, Gaul L, Desvignes-Kendrick M, Irvin K, Williams I, Hall RL, Herwaldt B, Gray EB, Qvarnstrom Y, Wise ME, Cantu V, Cantey PT, Bosch S, da Silva AJ, Fields A, Bishop H, Wellman A, Beal J, Wilson N, Fiore AE, Tauxe R, Lance S, Slutsker L, Parise M (2015) 2013 multistate outbreaks of </w:t>
      </w:r>
      <w:bookmarkEnd w:id="910"/>
      <w:r w:rsidRPr="001B4D3A">
        <w:rPr>
          <w:i/>
          <w:sz w:val="20"/>
          <w:szCs w:val="20"/>
        </w:rPr>
        <w:t xml:space="preserve">Cyclospora cayetanensis </w:t>
      </w:r>
      <w:r w:rsidRPr="001B4D3A">
        <w:rPr>
          <w:sz w:val="20"/>
          <w:szCs w:val="20"/>
        </w:rPr>
        <w:t>infections associated with fresh produce: Focus on the Texas investigations. Epidemiology and Infection 143:3451–3458</w:t>
      </w:r>
      <w:r w:rsidR="009B7095">
        <w:rPr>
          <w:sz w:val="20"/>
          <w:szCs w:val="20"/>
        </w:rPr>
        <w:t xml:space="preserve">. </w:t>
      </w:r>
      <w:hyperlink r:id="rId445" w:history="1">
        <w:r w:rsidR="009B7095" w:rsidRPr="00C72075">
          <w:rPr>
            <w:rStyle w:val="Hyperlink"/>
            <w:sz w:val="20"/>
            <w:szCs w:val="20"/>
          </w:rPr>
          <w:t>https://doi.org/10.1017/S0950268815000370</w:t>
        </w:r>
      </w:hyperlink>
    </w:p>
    <w:p w14:paraId="6B6641B0" w14:textId="77777777" w:rsidR="00285EF0" w:rsidRPr="002F5E51" w:rsidRDefault="00285EF0" w:rsidP="00285EF0">
      <w:pPr>
        <w:pStyle w:val="CitaviBibliographyEntry"/>
        <w:spacing w:after="120"/>
        <w:ind w:left="0" w:firstLine="0"/>
        <w:rPr>
          <w:rFonts w:cs="Arial"/>
          <w:sz w:val="20"/>
          <w:szCs w:val="20"/>
        </w:rPr>
      </w:pPr>
      <w:bookmarkStart w:id="911" w:name="_CTVL001220a170268d944e1a1bc9ee6328cd9d3"/>
      <w:r w:rsidRPr="002F5E51">
        <w:rPr>
          <w:rFonts w:cs="Arial"/>
          <w:sz w:val="20"/>
          <w:szCs w:val="20"/>
        </w:rPr>
        <w:t xml:space="preserve">Angelo KM, Chu A, Anand M, Nguyen T-A, Bottichio L, Wise M, Williams I, Seelman S, Bell R, Fatica M, Lance S, Baldwin D, Shannon K, Lee H, Trees E, Strain E, Gieraltowski L (2015) Outbreak of </w:t>
      </w:r>
      <w:r w:rsidRPr="00156B99">
        <w:rPr>
          <w:rFonts w:cs="Arial"/>
          <w:i/>
          <w:sz w:val="20"/>
          <w:szCs w:val="20"/>
        </w:rPr>
        <w:t>Salmonella</w:t>
      </w:r>
      <w:r w:rsidRPr="002F5E51">
        <w:rPr>
          <w:rFonts w:cs="Arial"/>
          <w:sz w:val="20"/>
          <w:szCs w:val="20"/>
        </w:rPr>
        <w:t xml:space="preserve"> Newport infections linked to cucumbers - United States, 2014. Morbidity and Mortality Weekly Report 64:144–147</w:t>
      </w:r>
    </w:p>
    <w:bookmarkEnd w:id="911"/>
    <w:p w14:paraId="4CF2F1D3" w14:textId="2FC89771" w:rsidR="00285EF0" w:rsidRPr="002F5E51" w:rsidRDefault="00285EF0" w:rsidP="00285EF0">
      <w:pPr>
        <w:pStyle w:val="CitaviBibliographyEntry"/>
        <w:spacing w:after="120"/>
        <w:ind w:left="0" w:firstLine="0"/>
        <w:rPr>
          <w:rFonts w:cs="Arial"/>
          <w:sz w:val="20"/>
          <w:szCs w:val="20"/>
        </w:rPr>
      </w:pPr>
      <w:r w:rsidRPr="002F5E51">
        <w:rPr>
          <w:rFonts w:cs="Arial"/>
          <w:sz w:val="20"/>
          <w:szCs w:val="20"/>
        </w:rPr>
        <w:t>Bernard H, Faber M, Wilking H, Haller S, Höhle M, Schielke A, Ducomble T, Siffczyk C, Merbecks SS, Fricke G, Hamouda O,</w:t>
      </w:r>
      <w:r w:rsidR="0071510D">
        <w:rPr>
          <w:rFonts w:cs="Arial"/>
          <w:sz w:val="20"/>
          <w:szCs w:val="20"/>
        </w:rPr>
        <w:t xml:space="preserve"> Stark K, Werber D (2014) Large </w:t>
      </w:r>
      <w:r w:rsidRPr="002F5E51">
        <w:rPr>
          <w:rFonts w:cs="Arial"/>
          <w:sz w:val="20"/>
          <w:szCs w:val="20"/>
        </w:rPr>
        <w:t>multistate outbreak of norovirus gastroenteritis associated with frozen str</w:t>
      </w:r>
      <w:r w:rsidR="00BE68BE">
        <w:rPr>
          <w:rFonts w:cs="Arial"/>
          <w:sz w:val="20"/>
          <w:szCs w:val="20"/>
        </w:rPr>
        <w:t>awberries, Germany, 2012. Euros</w:t>
      </w:r>
      <w:r w:rsidRPr="002F5E51">
        <w:rPr>
          <w:rFonts w:cs="Arial"/>
          <w:sz w:val="20"/>
          <w:szCs w:val="20"/>
        </w:rPr>
        <w:t xml:space="preserve">urveillance 19:20719. </w:t>
      </w:r>
      <w:hyperlink r:id="rId446" w:history="1">
        <w:r w:rsidRPr="002F5E51">
          <w:rPr>
            <w:rStyle w:val="Hyperlink"/>
            <w:rFonts w:cs="Arial"/>
            <w:sz w:val="20"/>
            <w:szCs w:val="20"/>
          </w:rPr>
          <w:t>https://doi.org/10.2807/1560-7917.ES2014.19.8.20719</w:t>
        </w:r>
      </w:hyperlink>
    </w:p>
    <w:p w14:paraId="50A6A9B1" w14:textId="5AA20EC6" w:rsidR="009B7095" w:rsidRPr="002F5E51" w:rsidRDefault="00285EF0" w:rsidP="00285EF0">
      <w:pPr>
        <w:pStyle w:val="CitaviBibliographyEntry"/>
        <w:spacing w:after="120"/>
        <w:ind w:left="0" w:firstLine="0"/>
        <w:rPr>
          <w:rFonts w:cs="Arial"/>
          <w:sz w:val="20"/>
          <w:szCs w:val="20"/>
        </w:rPr>
      </w:pPr>
      <w:bookmarkStart w:id="912" w:name="_CTVL001325d809091284c7aaf50de5dbea154a8"/>
      <w:r w:rsidRPr="002F5E51">
        <w:rPr>
          <w:rFonts w:cs="Arial"/>
          <w:sz w:val="20"/>
          <w:szCs w:val="20"/>
        </w:rPr>
        <w:t>Buchholz U, Bernard H, Werber D, Boehmer MM, Remschmidt C, Wilking H, Delere Y, der Heiden M an, Adlhoch C, Dreesman J, Ehlers J, Ethelberg S, Faber M, Frank C, Fricke G, Greiner M, Hoehle M, Ivarsson S, Jark U, Kirchner M, Koch J, Krause G, Luber P, Rosner B, Stark K, Kuehne M (2011) German</w:t>
      </w:r>
      <w:r w:rsidR="0071510D">
        <w:rPr>
          <w:rFonts w:cs="Arial"/>
          <w:sz w:val="20"/>
          <w:szCs w:val="20"/>
        </w:rPr>
        <w:t> </w:t>
      </w:r>
      <w:r w:rsidRPr="002F5E51">
        <w:rPr>
          <w:rFonts w:cs="Arial"/>
          <w:sz w:val="20"/>
          <w:szCs w:val="20"/>
        </w:rPr>
        <w:t xml:space="preserve">outbreak of </w:t>
      </w:r>
      <w:r w:rsidRPr="00FA76C9">
        <w:rPr>
          <w:rFonts w:cs="Arial"/>
          <w:i/>
          <w:sz w:val="20"/>
          <w:szCs w:val="20"/>
        </w:rPr>
        <w:t>Escherichia coli</w:t>
      </w:r>
      <w:r w:rsidRPr="002F5E51">
        <w:rPr>
          <w:rFonts w:cs="Arial"/>
          <w:sz w:val="20"/>
          <w:szCs w:val="20"/>
        </w:rPr>
        <w:t xml:space="preserve"> O104:H4 associated with sprouts. New England Journal of Medicine 365:1763–1770</w:t>
      </w:r>
      <w:r w:rsidR="009B7095">
        <w:rPr>
          <w:rFonts w:cs="Arial"/>
          <w:sz w:val="20"/>
          <w:szCs w:val="20"/>
        </w:rPr>
        <w:t xml:space="preserve">. </w:t>
      </w:r>
      <w:hyperlink r:id="rId447" w:history="1">
        <w:r w:rsidR="009B7095" w:rsidRPr="00C72075">
          <w:rPr>
            <w:rStyle w:val="Hyperlink"/>
            <w:rFonts w:cs="Arial"/>
            <w:sz w:val="20"/>
            <w:szCs w:val="20"/>
          </w:rPr>
          <w:t>https://doi.org/10.1056/NEJMoa1106482</w:t>
        </w:r>
      </w:hyperlink>
    </w:p>
    <w:p w14:paraId="258264F5" w14:textId="737BD1F2" w:rsidR="009B7095" w:rsidRPr="002F5E51" w:rsidRDefault="00285EF0" w:rsidP="00285EF0">
      <w:pPr>
        <w:pStyle w:val="CitaviBibliographyEntry"/>
        <w:spacing w:after="120"/>
        <w:ind w:left="0" w:firstLine="0"/>
        <w:rPr>
          <w:rFonts w:cs="Arial"/>
          <w:sz w:val="20"/>
          <w:szCs w:val="20"/>
        </w:rPr>
      </w:pPr>
      <w:bookmarkStart w:id="913" w:name="_CTVL0016464e2de41004bae9c44527d9db9b7ff"/>
      <w:bookmarkEnd w:id="912"/>
      <w:r w:rsidRPr="002F5E51">
        <w:rPr>
          <w:rFonts w:cs="Arial"/>
          <w:sz w:val="20"/>
          <w:szCs w:val="20"/>
        </w:rPr>
        <w:t>Buss BF, Joshi MV, O’Keefe AL, Allensworth CD, Garvey A, Obbink K, Mandernach S, Safranek TJ (2016) Regional investigation of a cyclosporiasis outbreak linked to imported romaine lettuce - Nebraska and Iowa, June-August 2013. Epidemiology and Infection 144:1807–1817</w:t>
      </w:r>
      <w:r w:rsidR="009B7095">
        <w:rPr>
          <w:rFonts w:cs="Arial"/>
          <w:sz w:val="20"/>
          <w:szCs w:val="20"/>
        </w:rPr>
        <w:t xml:space="preserve">. </w:t>
      </w:r>
      <w:hyperlink r:id="rId448" w:history="1">
        <w:r w:rsidR="009B7095" w:rsidRPr="00C72075">
          <w:rPr>
            <w:rStyle w:val="Hyperlink"/>
            <w:rFonts w:cs="Arial"/>
            <w:sz w:val="20"/>
            <w:szCs w:val="20"/>
          </w:rPr>
          <w:t>https://doi.org/10.1017/S0950268815002484</w:t>
        </w:r>
      </w:hyperlink>
    </w:p>
    <w:p w14:paraId="2D8613AC" w14:textId="44C65F0E" w:rsidR="009B7095" w:rsidRPr="002F5E51" w:rsidRDefault="00285EF0" w:rsidP="00285EF0">
      <w:pPr>
        <w:pStyle w:val="CitaviBibliographyEntry"/>
        <w:spacing w:after="120"/>
        <w:ind w:left="0" w:firstLine="0"/>
        <w:rPr>
          <w:rFonts w:cs="Arial"/>
          <w:sz w:val="20"/>
          <w:szCs w:val="20"/>
        </w:rPr>
      </w:pPr>
      <w:bookmarkStart w:id="914" w:name="_CTVL0010478ba1a8b6c494facbbc2287edc526a"/>
      <w:bookmarkEnd w:id="913"/>
      <w:r w:rsidRPr="002F5E51">
        <w:rPr>
          <w:rFonts w:cs="Arial"/>
          <w:sz w:val="20"/>
          <w:szCs w:val="20"/>
        </w:rPr>
        <w:t xml:space="preserve">Byrne L, Fisher I, Peters T, Mather A, Thomson N, Rosner B, Bernard H, McKeown P, Cormican M, Cowden J, Aiyedun V, Lane C (2014) A multi-country outbreak of </w:t>
      </w:r>
      <w:r w:rsidRPr="00156B99">
        <w:rPr>
          <w:rFonts w:cs="Arial"/>
          <w:i/>
          <w:sz w:val="20"/>
          <w:szCs w:val="20"/>
        </w:rPr>
        <w:t>Salmonella</w:t>
      </w:r>
      <w:r w:rsidRPr="002F5E51">
        <w:rPr>
          <w:rFonts w:cs="Arial"/>
          <w:sz w:val="20"/>
          <w:szCs w:val="20"/>
        </w:rPr>
        <w:t xml:space="preserve"> Newport gastroenteritis in Europe associated with watermelon from Brazil, confirmed by whole genome sequencing: October 2011 to January 2012. Eurosurveillance 19:6–13</w:t>
      </w:r>
      <w:r w:rsidR="009B7095">
        <w:rPr>
          <w:rFonts w:cs="Arial"/>
          <w:sz w:val="20"/>
          <w:szCs w:val="20"/>
        </w:rPr>
        <w:t xml:space="preserve">. </w:t>
      </w:r>
      <w:hyperlink r:id="rId449" w:history="1">
        <w:r w:rsidR="009B7095" w:rsidRPr="00C72075">
          <w:rPr>
            <w:rStyle w:val="Hyperlink"/>
            <w:rFonts w:cs="Arial"/>
            <w:sz w:val="20"/>
            <w:szCs w:val="20"/>
          </w:rPr>
          <w:t>https://doi.org/10.2807/1560-7917.es2014.19.31.20866</w:t>
        </w:r>
      </w:hyperlink>
    </w:p>
    <w:bookmarkEnd w:id="914"/>
    <w:p w14:paraId="642F6C5E" w14:textId="77777777" w:rsidR="00285EF0" w:rsidRPr="002F5E51" w:rsidRDefault="00285EF0" w:rsidP="00285EF0">
      <w:pPr>
        <w:pStyle w:val="CitaviBibliographyEntry"/>
        <w:spacing w:after="120"/>
        <w:ind w:left="0" w:firstLine="0"/>
        <w:rPr>
          <w:rFonts w:cs="Arial"/>
          <w:sz w:val="20"/>
          <w:szCs w:val="20"/>
        </w:rPr>
      </w:pPr>
      <w:r w:rsidRPr="002F5E51">
        <w:rPr>
          <w:rFonts w:cs="Arial"/>
          <w:sz w:val="20"/>
          <w:szCs w:val="20"/>
        </w:rPr>
        <w:t xml:space="preserve">CDC (2012a) Multistate outbreak of </w:t>
      </w:r>
      <w:r w:rsidRPr="002F5E51">
        <w:rPr>
          <w:rFonts w:cs="Arial"/>
          <w:i/>
          <w:sz w:val="20"/>
          <w:szCs w:val="20"/>
        </w:rPr>
        <w:t>Salmonella</w:t>
      </w:r>
      <w:r w:rsidRPr="002F5E51">
        <w:rPr>
          <w:rFonts w:cs="Arial"/>
          <w:sz w:val="20"/>
          <w:szCs w:val="20"/>
        </w:rPr>
        <w:t xml:space="preserve"> Typhimurium and </w:t>
      </w:r>
      <w:r w:rsidRPr="002F5E51">
        <w:rPr>
          <w:rFonts w:cs="Arial"/>
          <w:i/>
          <w:sz w:val="20"/>
          <w:szCs w:val="20"/>
        </w:rPr>
        <w:t xml:space="preserve">Salmonella </w:t>
      </w:r>
      <w:r w:rsidRPr="002F5E51">
        <w:rPr>
          <w:rFonts w:cs="Arial"/>
          <w:sz w:val="20"/>
          <w:szCs w:val="20"/>
        </w:rPr>
        <w:t xml:space="preserve">Newport infections linked to cantaloupe (Final Update). Centers for Disease Control and Prevention, Atlanta. </w:t>
      </w:r>
      <w:hyperlink r:id="rId450" w:history="1">
        <w:r w:rsidRPr="002F5E51">
          <w:rPr>
            <w:rStyle w:val="Hyperlink"/>
            <w:rFonts w:cs="Arial"/>
            <w:sz w:val="20"/>
            <w:szCs w:val="20"/>
          </w:rPr>
          <w:t>https://www.cdc.gov/salmonella/typhimurium-cantaloupe-08-12/index.html</w:t>
        </w:r>
      </w:hyperlink>
      <w:r w:rsidRPr="002F5E51">
        <w:rPr>
          <w:rFonts w:cs="Arial"/>
          <w:sz w:val="20"/>
          <w:szCs w:val="20"/>
        </w:rPr>
        <w:t>. Accessed 11 December 2019</w:t>
      </w:r>
    </w:p>
    <w:p w14:paraId="0A5D4877" w14:textId="77777777" w:rsidR="00285EF0" w:rsidRPr="002F5E51" w:rsidRDefault="00285EF0" w:rsidP="00285EF0">
      <w:pPr>
        <w:pStyle w:val="CitaviBibliographyEntry"/>
        <w:spacing w:after="120"/>
        <w:ind w:left="0" w:firstLine="0"/>
        <w:rPr>
          <w:rFonts w:cs="Arial"/>
          <w:sz w:val="20"/>
          <w:szCs w:val="20"/>
        </w:rPr>
      </w:pPr>
      <w:bookmarkStart w:id="915" w:name="_CTVL0013a161048e42c41248a24591b63f1c51d"/>
      <w:r w:rsidRPr="002F5E51">
        <w:rPr>
          <w:rFonts w:cs="Arial"/>
          <w:sz w:val="20"/>
          <w:szCs w:val="20"/>
        </w:rPr>
        <w:t xml:space="preserve">CDC (2012b) Multistate outbreak of Shiga toxin-producing </w:t>
      </w:r>
      <w:bookmarkEnd w:id="915"/>
      <w:r w:rsidRPr="002F5E51">
        <w:rPr>
          <w:rFonts w:cs="Arial"/>
          <w:i/>
          <w:sz w:val="20"/>
          <w:szCs w:val="20"/>
        </w:rPr>
        <w:t xml:space="preserve">Escherichia coli </w:t>
      </w:r>
      <w:r w:rsidRPr="002F5E51">
        <w:rPr>
          <w:rFonts w:cs="Arial"/>
          <w:sz w:val="20"/>
          <w:szCs w:val="20"/>
        </w:rPr>
        <w:t xml:space="preserve">O157:H7 infections linked to organic spinach and spring mix blend (final update). Centers for Disease Control and Prevention, Atlanta. </w:t>
      </w:r>
      <w:hyperlink r:id="rId451" w:history="1">
        <w:r w:rsidRPr="002F5E51">
          <w:rPr>
            <w:rStyle w:val="Hyperlink"/>
            <w:rFonts w:cs="Arial"/>
            <w:sz w:val="20"/>
            <w:szCs w:val="20"/>
          </w:rPr>
          <w:t>https://www.cdc.gov/ecoli/2012/o157h7-11-12/index.html</w:t>
        </w:r>
      </w:hyperlink>
      <w:r w:rsidRPr="002F5E51">
        <w:rPr>
          <w:rFonts w:cs="Arial"/>
          <w:sz w:val="20"/>
          <w:szCs w:val="20"/>
        </w:rPr>
        <w:t>. Accessed 11 December 2019</w:t>
      </w:r>
    </w:p>
    <w:p w14:paraId="37B1A970" w14:textId="77777777" w:rsidR="00285EF0" w:rsidRPr="002F5E51" w:rsidRDefault="00285EF0" w:rsidP="00285EF0">
      <w:pPr>
        <w:pStyle w:val="CitaviBibliographyEntry"/>
        <w:spacing w:after="120"/>
        <w:ind w:left="0" w:firstLine="0"/>
        <w:rPr>
          <w:rFonts w:cs="Arial"/>
          <w:sz w:val="20"/>
          <w:szCs w:val="20"/>
        </w:rPr>
      </w:pPr>
      <w:bookmarkStart w:id="916" w:name="_CTVL001acad25088f7847d3b9d26f67aed204c4"/>
      <w:r w:rsidRPr="002F5E51">
        <w:rPr>
          <w:rFonts w:cs="Arial"/>
          <w:sz w:val="20"/>
          <w:szCs w:val="20"/>
        </w:rPr>
        <w:t xml:space="preserve">CDC (2015) Multistate outbreak of listeriosis linked to commercially produced, prepackaged caramel apples made from Bidart Bros. apples (final update). Centers for Disease Control and Prevention, Atlanta. </w:t>
      </w:r>
      <w:hyperlink r:id="rId452" w:history="1">
        <w:r w:rsidRPr="002F5E51">
          <w:rPr>
            <w:rStyle w:val="Hyperlink"/>
            <w:rFonts w:cs="Arial"/>
            <w:sz w:val="20"/>
            <w:szCs w:val="20"/>
          </w:rPr>
          <w:t>https://www.cdc.gov/listeria/outbreaks/caramel-apples-12-14/index.html</w:t>
        </w:r>
      </w:hyperlink>
      <w:r w:rsidRPr="002F5E51">
        <w:rPr>
          <w:rFonts w:cs="Arial"/>
          <w:sz w:val="20"/>
          <w:szCs w:val="20"/>
        </w:rPr>
        <w:t>. Accessed 11 December 2019</w:t>
      </w:r>
    </w:p>
    <w:p w14:paraId="35BE0DF9" w14:textId="77777777" w:rsidR="00285EF0" w:rsidRPr="002F5E51" w:rsidRDefault="00285EF0" w:rsidP="00285EF0">
      <w:pPr>
        <w:pStyle w:val="CitaviBibliographyEntry"/>
        <w:spacing w:after="120"/>
        <w:ind w:left="0" w:firstLine="0"/>
        <w:rPr>
          <w:rFonts w:cs="Arial"/>
          <w:sz w:val="20"/>
          <w:szCs w:val="20"/>
        </w:rPr>
      </w:pPr>
      <w:bookmarkStart w:id="917" w:name="_CTVL001bf030900d33844f68a3043934f29259f"/>
      <w:bookmarkEnd w:id="916"/>
      <w:r w:rsidRPr="002F5E51">
        <w:rPr>
          <w:rFonts w:cs="Arial"/>
          <w:sz w:val="20"/>
          <w:szCs w:val="20"/>
        </w:rPr>
        <w:t xml:space="preserve">CDC (2016a) Multistate outbreak of hepatitis A linked to frozen strawberries (final update) - 2016. Centers for Disease Control and Prevention, Atlanta. </w:t>
      </w:r>
      <w:hyperlink r:id="rId453" w:history="1">
        <w:r w:rsidRPr="002F5E51">
          <w:rPr>
            <w:rStyle w:val="Hyperlink"/>
            <w:rFonts w:cs="Arial"/>
            <w:sz w:val="20"/>
            <w:szCs w:val="20"/>
          </w:rPr>
          <w:t>https://www.cdc.gov/hepatitis/outbreaks/2016/hav-strawberries.htm</w:t>
        </w:r>
      </w:hyperlink>
      <w:r w:rsidRPr="002F5E51">
        <w:rPr>
          <w:rFonts w:cs="Arial"/>
          <w:sz w:val="20"/>
          <w:szCs w:val="20"/>
        </w:rPr>
        <w:t>. Accessed 17 June 2019</w:t>
      </w:r>
    </w:p>
    <w:p w14:paraId="572ACC97" w14:textId="77777777" w:rsidR="00285EF0" w:rsidRPr="002F5E51" w:rsidRDefault="00285EF0" w:rsidP="00285EF0">
      <w:pPr>
        <w:pStyle w:val="CitaviBibliographyEntry"/>
        <w:spacing w:after="120"/>
        <w:ind w:left="0" w:firstLine="0"/>
        <w:rPr>
          <w:rFonts w:cs="Arial"/>
          <w:sz w:val="20"/>
          <w:szCs w:val="20"/>
        </w:rPr>
      </w:pPr>
      <w:bookmarkStart w:id="918" w:name="_CTVL0018951040c8908477ea5887f2ff221d470"/>
      <w:bookmarkEnd w:id="917"/>
      <w:r w:rsidRPr="002F5E51">
        <w:rPr>
          <w:rFonts w:cs="Arial"/>
          <w:sz w:val="20"/>
          <w:szCs w:val="20"/>
        </w:rPr>
        <w:t xml:space="preserve">CDC (2016b) Multistate outbreak of listeriosis linked to frozen vegetables (final update). Centers for Disease Control and Prevention, Atlanta. </w:t>
      </w:r>
      <w:hyperlink r:id="rId454" w:history="1">
        <w:r w:rsidRPr="002F5E51">
          <w:rPr>
            <w:rStyle w:val="Hyperlink"/>
            <w:rFonts w:cs="Arial"/>
            <w:sz w:val="20"/>
            <w:szCs w:val="20"/>
          </w:rPr>
          <w:t>https://www.cdc.gov/listeria/outbreaks/frozen-vegetables-05-16/index.html</w:t>
        </w:r>
      </w:hyperlink>
      <w:r w:rsidRPr="002F5E51">
        <w:rPr>
          <w:rFonts w:cs="Arial"/>
          <w:sz w:val="20"/>
          <w:szCs w:val="20"/>
        </w:rPr>
        <w:t>. Accessed 11 December 2019</w:t>
      </w:r>
    </w:p>
    <w:p w14:paraId="1FF7B378" w14:textId="77777777" w:rsidR="00285EF0" w:rsidRPr="002F5E51" w:rsidRDefault="00285EF0" w:rsidP="00285EF0">
      <w:pPr>
        <w:pStyle w:val="CitaviBibliographyEntry"/>
        <w:spacing w:after="120"/>
        <w:ind w:left="0" w:firstLine="0"/>
        <w:rPr>
          <w:rFonts w:cs="Arial"/>
          <w:sz w:val="20"/>
          <w:szCs w:val="20"/>
        </w:rPr>
      </w:pPr>
      <w:bookmarkStart w:id="919" w:name="_CTVL0011f74c09a32f4414bb2c9c631eb3b7bfd"/>
      <w:bookmarkEnd w:id="918"/>
      <w:r w:rsidRPr="002F5E51">
        <w:rPr>
          <w:rFonts w:cs="Arial"/>
          <w:sz w:val="20"/>
          <w:szCs w:val="20"/>
        </w:rPr>
        <w:t xml:space="preserve">CDC (2016c) Multistate outbreak of </w:t>
      </w:r>
      <w:bookmarkEnd w:id="919"/>
      <w:r w:rsidRPr="002F5E51">
        <w:rPr>
          <w:rFonts w:cs="Arial"/>
          <w:i/>
          <w:sz w:val="20"/>
          <w:szCs w:val="20"/>
        </w:rPr>
        <w:t xml:space="preserve">Salmonella </w:t>
      </w:r>
      <w:r w:rsidRPr="002F5E51">
        <w:rPr>
          <w:rFonts w:cs="Arial"/>
          <w:sz w:val="20"/>
          <w:szCs w:val="20"/>
        </w:rPr>
        <w:t xml:space="preserve">Poona infections linked to imported cucumbers (final update). Centers for Disease Control and Prevention, Atlanta. </w:t>
      </w:r>
      <w:hyperlink r:id="rId455" w:history="1">
        <w:r w:rsidRPr="002F5E51">
          <w:rPr>
            <w:rStyle w:val="Hyperlink"/>
            <w:rFonts w:cs="Arial"/>
            <w:sz w:val="20"/>
            <w:szCs w:val="20"/>
          </w:rPr>
          <w:t>https://www.cdc.gov/salmonella/poona-09-15/index.html</w:t>
        </w:r>
      </w:hyperlink>
      <w:r w:rsidRPr="002F5E51">
        <w:rPr>
          <w:rFonts w:cs="Arial"/>
          <w:sz w:val="20"/>
          <w:szCs w:val="20"/>
        </w:rPr>
        <w:t>. Accessed 11 December 2019</w:t>
      </w:r>
    </w:p>
    <w:p w14:paraId="7CACCAAC" w14:textId="77777777" w:rsidR="00285EF0" w:rsidRPr="002F5E51" w:rsidRDefault="00285EF0" w:rsidP="00285EF0">
      <w:pPr>
        <w:pStyle w:val="CitaviBibliographyEntry"/>
        <w:spacing w:after="120"/>
        <w:ind w:left="0" w:firstLine="0"/>
        <w:rPr>
          <w:rFonts w:cs="Arial"/>
          <w:sz w:val="20"/>
          <w:szCs w:val="20"/>
        </w:rPr>
      </w:pPr>
      <w:bookmarkStart w:id="920" w:name="_CTVL0010a8ac5c325944ad7b78548db505be94e"/>
      <w:r w:rsidRPr="002F5E51">
        <w:rPr>
          <w:rFonts w:cs="Arial"/>
          <w:sz w:val="20"/>
          <w:szCs w:val="20"/>
        </w:rPr>
        <w:t xml:space="preserve">CDC (2016d) Multistate outbreaks of </w:t>
      </w:r>
      <w:r w:rsidRPr="00156B99">
        <w:rPr>
          <w:rFonts w:cs="Arial"/>
          <w:i/>
          <w:sz w:val="20"/>
          <w:szCs w:val="20"/>
        </w:rPr>
        <w:t>Salmonella</w:t>
      </w:r>
      <w:r w:rsidRPr="002F5E51">
        <w:rPr>
          <w:rFonts w:cs="Arial"/>
          <w:sz w:val="20"/>
          <w:szCs w:val="20"/>
        </w:rPr>
        <w:t xml:space="preserve"> infections linked to alfalfa sprouts from one contaminated seed lot (final update). Centers for Disease Control and Prevention, Atlanta. </w:t>
      </w:r>
      <w:hyperlink r:id="rId456" w:history="1">
        <w:r w:rsidRPr="002F5E51">
          <w:rPr>
            <w:rStyle w:val="Hyperlink"/>
            <w:rFonts w:cs="Arial"/>
            <w:sz w:val="20"/>
            <w:szCs w:val="20"/>
          </w:rPr>
          <w:t>https://www.cdc.gov/salmonella/muenchen-02-16/index.html</w:t>
        </w:r>
      </w:hyperlink>
      <w:r w:rsidRPr="002F5E51">
        <w:rPr>
          <w:rFonts w:cs="Arial"/>
          <w:sz w:val="20"/>
          <w:szCs w:val="20"/>
        </w:rPr>
        <w:t>. Accessed 9 December 2019</w:t>
      </w:r>
    </w:p>
    <w:p w14:paraId="0BE81EA6" w14:textId="77777777" w:rsidR="00285EF0" w:rsidRPr="002F5E51" w:rsidRDefault="00285EF0" w:rsidP="00285EF0">
      <w:pPr>
        <w:pStyle w:val="CitaviBibliographyEntry"/>
        <w:spacing w:after="120"/>
        <w:ind w:left="0" w:firstLine="0"/>
        <w:rPr>
          <w:rFonts w:cs="Arial"/>
          <w:sz w:val="20"/>
          <w:szCs w:val="20"/>
        </w:rPr>
      </w:pPr>
      <w:bookmarkStart w:id="921" w:name="_CTVL001657fefc2867d4407b1a50e2cbbe1b102"/>
      <w:bookmarkEnd w:id="920"/>
      <w:r w:rsidRPr="002F5E51">
        <w:rPr>
          <w:rFonts w:cs="Arial"/>
          <w:sz w:val="20"/>
          <w:szCs w:val="20"/>
        </w:rPr>
        <w:t xml:space="preserve">CDC (2018a) Multistate outbreak of cyclosporiasis linked to Fresh Express salad mix sold at McDonald’s restaurants - United States, 2018: Final update. Centers for Disease Control and Prevention, Atlanta. </w:t>
      </w:r>
      <w:hyperlink r:id="rId457" w:history="1">
        <w:r w:rsidRPr="002F5E51">
          <w:rPr>
            <w:rStyle w:val="Hyperlink"/>
            <w:rFonts w:cs="Arial"/>
            <w:sz w:val="20"/>
            <w:szCs w:val="20"/>
          </w:rPr>
          <w:t>https://www.cdc.gov/parasites/cyclosporiasis/outbreaks/2018/b-071318/index.html</w:t>
        </w:r>
      </w:hyperlink>
      <w:r>
        <w:rPr>
          <w:rFonts w:cs="Arial"/>
          <w:sz w:val="20"/>
          <w:szCs w:val="20"/>
        </w:rPr>
        <w:t>. Accessed 6 </w:t>
      </w:r>
      <w:r w:rsidRPr="002F5E51">
        <w:rPr>
          <w:rFonts w:cs="Arial"/>
          <w:sz w:val="20"/>
          <w:szCs w:val="20"/>
        </w:rPr>
        <w:t>December 2019</w:t>
      </w:r>
    </w:p>
    <w:p w14:paraId="62EC8B03" w14:textId="77777777" w:rsidR="00285EF0" w:rsidRPr="002F5E51" w:rsidRDefault="00285EF0" w:rsidP="00285EF0">
      <w:pPr>
        <w:pStyle w:val="CitaviBibliographyEntry"/>
        <w:spacing w:after="120"/>
        <w:ind w:left="0" w:firstLine="0"/>
        <w:rPr>
          <w:rFonts w:cs="Arial"/>
          <w:sz w:val="20"/>
          <w:szCs w:val="20"/>
        </w:rPr>
      </w:pPr>
      <w:bookmarkStart w:id="922" w:name="_CTVL0010cbbd0ead5184588a75c5862f09c8b74"/>
      <w:bookmarkEnd w:id="921"/>
      <w:r w:rsidRPr="002F5E51">
        <w:rPr>
          <w:rFonts w:cs="Arial"/>
          <w:sz w:val="20"/>
          <w:szCs w:val="20"/>
        </w:rPr>
        <w:t xml:space="preserve">CDC (2018b) Multistate outbreak of </w:t>
      </w:r>
      <w:bookmarkEnd w:id="922"/>
      <w:r w:rsidRPr="002F5E51">
        <w:rPr>
          <w:rFonts w:cs="Arial"/>
          <w:i/>
          <w:sz w:val="20"/>
          <w:szCs w:val="20"/>
        </w:rPr>
        <w:t xml:space="preserve">E. coli </w:t>
      </w:r>
      <w:r w:rsidRPr="002F5E51">
        <w:rPr>
          <w:rFonts w:cs="Arial"/>
          <w:sz w:val="20"/>
          <w:szCs w:val="20"/>
        </w:rPr>
        <w:t xml:space="preserve">O157:H7 infections linked to romaine lettuce (final update). Centers for Disease Control and Prevention, Atlanta. </w:t>
      </w:r>
      <w:hyperlink r:id="rId458" w:history="1">
        <w:r w:rsidRPr="002F5E51">
          <w:rPr>
            <w:rStyle w:val="Hyperlink"/>
            <w:rFonts w:cs="Arial"/>
            <w:sz w:val="20"/>
            <w:szCs w:val="20"/>
          </w:rPr>
          <w:t>https://www.cdc.gov/ecoli/2018/o157h7-04-18/</w:t>
        </w:r>
      </w:hyperlink>
      <w:r w:rsidRPr="002F5E51">
        <w:rPr>
          <w:rFonts w:cs="Arial"/>
          <w:sz w:val="20"/>
          <w:szCs w:val="20"/>
        </w:rPr>
        <w:t>. Accessed 13 November 2019</w:t>
      </w:r>
    </w:p>
    <w:p w14:paraId="279DE196" w14:textId="77777777" w:rsidR="00285EF0" w:rsidRPr="002F5E51" w:rsidRDefault="00285EF0" w:rsidP="00285EF0">
      <w:pPr>
        <w:pStyle w:val="CitaviBibliographyEntry"/>
        <w:spacing w:after="120"/>
        <w:ind w:left="0" w:firstLine="0"/>
        <w:rPr>
          <w:rFonts w:cs="Arial"/>
          <w:sz w:val="20"/>
          <w:szCs w:val="20"/>
        </w:rPr>
      </w:pPr>
      <w:bookmarkStart w:id="923" w:name="_CTVL001922e6c10b7174d9b9d9addd4b71e0f93"/>
      <w:r w:rsidRPr="002F5E51">
        <w:rPr>
          <w:rFonts w:cs="Arial"/>
          <w:sz w:val="20"/>
          <w:szCs w:val="20"/>
        </w:rPr>
        <w:t>CDC (2019a) Notes from the field: Outbreak of listeriosis likely associated with prepackaged caramel apples - United States, 2017. Morbidity and Mortality Weekly Report 68:76–77</w:t>
      </w:r>
    </w:p>
    <w:p w14:paraId="6EE3F5C1" w14:textId="77777777" w:rsidR="00285EF0" w:rsidRPr="002F5E51" w:rsidRDefault="00285EF0" w:rsidP="00285EF0">
      <w:pPr>
        <w:pStyle w:val="CitaviBibliographyEntry"/>
        <w:spacing w:after="120"/>
        <w:ind w:left="0" w:firstLine="0"/>
        <w:rPr>
          <w:rFonts w:cs="Arial"/>
          <w:sz w:val="20"/>
          <w:szCs w:val="20"/>
        </w:rPr>
      </w:pPr>
      <w:bookmarkStart w:id="924" w:name="_CTVL00133e80f1f68924f0596cfa0a0eb959cb5"/>
      <w:bookmarkEnd w:id="923"/>
      <w:r w:rsidRPr="002F5E51">
        <w:rPr>
          <w:rFonts w:cs="Arial"/>
          <w:sz w:val="20"/>
          <w:szCs w:val="20"/>
        </w:rPr>
        <w:t xml:space="preserve">CDC (2019b) Outbreak of </w:t>
      </w:r>
      <w:bookmarkEnd w:id="924"/>
      <w:r w:rsidRPr="002F5E51">
        <w:rPr>
          <w:rFonts w:cs="Arial"/>
          <w:i/>
          <w:sz w:val="20"/>
          <w:szCs w:val="20"/>
        </w:rPr>
        <w:t xml:space="preserve">E. coli </w:t>
      </w:r>
      <w:r w:rsidRPr="002F5E51">
        <w:rPr>
          <w:rFonts w:cs="Arial"/>
          <w:sz w:val="20"/>
          <w:szCs w:val="20"/>
        </w:rPr>
        <w:t xml:space="preserve">infections linked to romaine lettuce: Final update. Centers for Disease Control and Prevention, Atlanta. </w:t>
      </w:r>
      <w:hyperlink r:id="rId459" w:history="1">
        <w:r w:rsidRPr="002F5E51">
          <w:rPr>
            <w:rStyle w:val="Hyperlink"/>
            <w:rFonts w:cs="Arial"/>
            <w:sz w:val="20"/>
            <w:szCs w:val="20"/>
          </w:rPr>
          <w:t>https://www.cdc.gov/ecoli/2018/o157h7-11-18/</w:t>
        </w:r>
      </w:hyperlink>
      <w:r w:rsidRPr="002F5E51">
        <w:rPr>
          <w:rFonts w:cs="Arial"/>
          <w:sz w:val="20"/>
          <w:szCs w:val="20"/>
        </w:rPr>
        <w:t>. Accessed 13 November 2019</w:t>
      </w:r>
    </w:p>
    <w:p w14:paraId="3E7BB43D" w14:textId="5906BFF8" w:rsidR="006603BD" w:rsidRPr="002F5E51" w:rsidRDefault="00285EF0" w:rsidP="00285EF0">
      <w:pPr>
        <w:pStyle w:val="CitaviBibliographyEntry"/>
        <w:spacing w:after="120"/>
        <w:ind w:left="0" w:firstLine="0"/>
        <w:rPr>
          <w:rFonts w:cs="Arial"/>
          <w:sz w:val="20"/>
          <w:szCs w:val="20"/>
        </w:rPr>
      </w:pPr>
      <w:bookmarkStart w:id="925" w:name="_CTVL001f711dd01ba344ba49adcf8a5738cc382"/>
      <w:r w:rsidRPr="002F5E51">
        <w:rPr>
          <w:rFonts w:cs="Arial"/>
          <w:sz w:val="20"/>
          <w:szCs w:val="20"/>
        </w:rPr>
        <w:t>EFSA (2011) Shiga toxin-producing</w:t>
      </w:r>
      <w:bookmarkEnd w:id="925"/>
      <w:r w:rsidRPr="002F5E51">
        <w:rPr>
          <w:rFonts w:cs="Arial"/>
          <w:i/>
          <w:sz w:val="20"/>
          <w:szCs w:val="20"/>
        </w:rPr>
        <w:t xml:space="preserve"> E. coli </w:t>
      </w:r>
      <w:r w:rsidRPr="002F5E51">
        <w:rPr>
          <w:rFonts w:cs="Arial"/>
          <w:sz w:val="20"/>
          <w:szCs w:val="20"/>
        </w:rPr>
        <w:t>(STEC) O104:H4 2011 outbreaks in Europe: Taking stock. EFSA Journal 9:2390</w:t>
      </w:r>
      <w:r w:rsidR="006603BD">
        <w:rPr>
          <w:rFonts w:cs="Arial"/>
          <w:sz w:val="20"/>
          <w:szCs w:val="20"/>
        </w:rPr>
        <w:t xml:space="preserve">. </w:t>
      </w:r>
      <w:hyperlink r:id="rId460" w:history="1">
        <w:r w:rsidR="006603BD" w:rsidRPr="00C72075">
          <w:rPr>
            <w:rStyle w:val="Hyperlink"/>
            <w:rFonts w:cs="Arial"/>
            <w:sz w:val="20"/>
            <w:szCs w:val="20"/>
          </w:rPr>
          <w:t>https://doi.org/10.2903/j.efsa.2011.2390</w:t>
        </w:r>
      </w:hyperlink>
    </w:p>
    <w:p w14:paraId="0F15871C" w14:textId="77777777" w:rsidR="00DD6999" w:rsidRDefault="00DD6999">
      <w:pPr>
        <w:widowControl/>
        <w:rPr>
          <w:rFonts w:cs="Arial"/>
          <w:color w:val="000000" w:themeColor="text1"/>
          <w:sz w:val="20"/>
          <w:szCs w:val="20"/>
        </w:rPr>
      </w:pPr>
      <w:bookmarkStart w:id="926" w:name="_CTVL00195f6b4747efb44939930cba67412a1fe"/>
      <w:r>
        <w:rPr>
          <w:rFonts w:cs="Arial"/>
          <w:sz w:val="20"/>
          <w:szCs w:val="20"/>
        </w:rPr>
        <w:br w:type="page"/>
      </w:r>
    </w:p>
    <w:p w14:paraId="3A515D2A" w14:textId="653DCE05" w:rsidR="006603BD" w:rsidRPr="002F5E51" w:rsidRDefault="00285EF0" w:rsidP="00285EF0">
      <w:pPr>
        <w:pStyle w:val="CitaviBibliographyEntry"/>
        <w:spacing w:after="120"/>
        <w:ind w:left="0" w:firstLine="0"/>
        <w:rPr>
          <w:rFonts w:cs="Arial"/>
          <w:sz w:val="20"/>
          <w:szCs w:val="20"/>
        </w:rPr>
      </w:pPr>
      <w:r w:rsidRPr="002F5E51">
        <w:rPr>
          <w:rFonts w:cs="Arial"/>
          <w:sz w:val="20"/>
          <w:szCs w:val="20"/>
        </w:rPr>
        <w:t>EFSA (2014) Tracing of food items in connection to the multinational hepatitis A virus outbreak in Europe. EFSA Journal 12:3821</w:t>
      </w:r>
      <w:r w:rsidR="006603BD">
        <w:rPr>
          <w:rFonts w:cs="Arial"/>
          <w:sz w:val="20"/>
          <w:szCs w:val="20"/>
        </w:rPr>
        <w:t xml:space="preserve">. </w:t>
      </w:r>
      <w:hyperlink r:id="rId461" w:history="1">
        <w:r w:rsidR="006603BD" w:rsidRPr="00C72075">
          <w:rPr>
            <w:rStyle w:val="Hyperlink"/>
            <w:rFonts w:cs="Arial"/>
            <w:sz w:val="20"/>
            <w:szCs w:val="20"/>
          </w:rPr>
          <w:t>https://doi.org/10.2903/j.efsa.2014.3821</w:t>
        </w:r>
      </w:hyperlink>
    </w:p>
    <w:p w14:paraId="0DF6E416" w14:textId="77777777" w:rsidR="00285EF0" w:rsidRPr="002F5E51" w:rsidRDefault="00285EF0" w:rsidP="00285EF0">
      <w:pPr>
        <w:pStyle w:val="CitaviBibliographyEntry"/>
        <w:spacing w:after="120"/>
        <w:ind w:left="0" w:firstLine="0"/>
        <w:rPr>
          <w:rFonts w:cs="Arial"/>
          <w:sz w:val="20"/>
          <w:szCs w:val="20"/>
        </w:rPr>
      </w:pPr>
      <w:bookmarkStart w:id="927" w:name="_CTVL001f5f4a5e5a06b4b1eac7d9d6a06b69b23"/>
      <w:bookmarkEnd w:id="926"/>
      <w:r w:rsidRPr="002F5E51">
        <w:rPr>
          <w:rFonts w:cs="Arial"/>
          <w:sz w:val="20"/>
          <w:szCs w:val="20"/>
        </w:rPr>
        <w:t xml:space="preserve">EFSA (2018a) </w:t>
      </w:r>
      <w:r w:rsidRPr="00156B99">
        <w:rPr>
          <w:rFonts w:cs="Arial"/>
          <w:i/>
          <w:sz w:val="20"/>
          <w:szCs w:val="20"/>
        </w:rPr>
        <w:t>Listeria monocytogenes</w:t>
      </w:r>
      <w:r w:rsidRPr="002F5E51">
        <w:rPr>
          <w:rFonts w:cs="Arial"/>
          <w:sz w:val="20"/>
          <w:szCs w:val="20"/>
        </w:rPr>
        <w:t xml:space="preserve">: Update on foodborne outbreak. European Food Safety Authority, Parma. </w:t>
      </w:r>
      <w:hyperlink r:id="rId462" w:history="1">
        <w:r w:rsidRPr="002F5E51">
          <w:rPr>
            <w:rStyle w:val="Hyperlink"/>
            <w:rFonts w:cs="Arial"/>
            <w:sz w:val="20"/>
            <w:szCs w:val="20"/>
          </w:rPr>
          <w:t>https://www.efsa.europa.eu/en/press/news/180703</w:t>
        </w:r>
      </w:hyperlink>
      <w:r w:rsidRPr="002F5E51">
        <w:rPr>
          <w:rFonts w:cs="Arial"/>
          <w:sz w:val="20"/>
          <w:szCs w:val="20"/>
        </w:rPr>
        <w:t>. Accessed 3 December 2019</w:t>
      </w:r>
    </w:p>
    <w:p w14:paraId="5398DF88" w14:textId="77777777" w:rsidR="00285EF0" w:rsidRPr="002F5E51" w:rsidRDefault="00285EF0" w:rsidP="00285EF0">
      <w:pPr>
        <w:pStyle w:val="CitaviBibliographyEntry"/>
        <w:spacing w:after="120"/>
        <w:ind w:left="0" w:firstLine="0"/>
        <w:rPr>
          <w:rFonts w:cs="Arial"/>
          <w:sz w:val="20"/>
          <w:szCs w:val="20"/>
        </w:rPr>
      </w:pPr>
      <w:bookmarkStart w:id="928" w:name="_CTVL0012c828409ced144ab894ceb8cc5d149eb"/>
      <w:bookmarkEnd w:id="927"/>
      <w:r w:rsidRPr="002F5E51">
        <w:rPr>
          <w:rFonts w:cs="Arial"/>
          <w:sz w:val="20"/>
          <w:szCs w:val="20"/>
        </w:rPr>
        <w:t xml:space="preserve">EFSA (2018b) Multi-country outbreak of </w:t>
      </w:r>
      <w:r w:rsidRPr="00156B99">
        <w:rPr>
          <w:rFonts w:cs="Arial"/>
          <w:i/>
          <w:sz w:val="20"/>
          <w:szCs w:val="20"/>
        </w:rPr>
        <w:t>Listeria monocytogenes</w:t>
      </w:r>
      <w:r w:rsidRPr="002F5E51">
        <w:rPr>
          <w:rFonts w:cs="Arial"/>
          <w:sz w:val="20"/>
          <w:szCs w:val="20"/>
        </w:rPr>
        <w:t xml:space="preserve"> serogroup IVb, multi-locus sequence type 6, infections linked to frozen corn and possibly to other frozen vegetables – first update. European Food Safety Authority, Parma. </w:t>
      </w:r>
      <w:hyperlink r:id="rId463" w:history="1">
        <w:r w:rsidRPr="002F5E51">
          <w:rPr>
            <w:rStyle w:val="Hyperlink"/>
            <w:rFonts w:cs="Arial"/>
            <w:sz w:val="20"/>
            <w:szCs w:val="20"/>
          </w:rPr>
          <w:t>https://efsa.onlinelibrary.wiley.com/doi/epdf/10.2903/sp.efsa.2018.EN-1448</w:t>
        </w:r>
      </w:hyperlink>
      <w:r w:rsidRPr="002F5E51">
        <w:rPr>
          <w:rFonts w:cs="Arial"/>
          <w:sz w:val="20"/>
          <w:szCs w:val="20"/>
        </w:rPr>
        <w:t>. Accessed 3 December 2019</w:t>
      </w:r>
    </w:p>
    <w:p w14:paraId="1BFB4F56" w14:textId="341F99F8" w:rsidR="006603BD" w:rsidRPr="002F5E51" w:rsidRDefault="00285EF0" w:rsidP="00285EF0">
      <w:pPr>
        <w:pStyle w:val="CitaviBibliographyEntry"/>
        <w:spacing w:after="120"/>
        <w:ind w:left="0" w:firstLine="0"/>
        <w:rPr>
          <w:rFonts w:cs="Arial"/>
          <w:sz w:val="20"/>
          <w:szCs w:val="20"/>
        </w:rPr>
      </w:pPr>
      <w:bookmarkStart w:id="929" w:name="_CTVL001fbc3bbfe18d14c09882d4ea5ba6a3106"/>
      <w:bookmarkEnd w:id="928"/>
      <w:r w:rsidRPr="002F5E51">
        <w:rPr>
          <w:rFonts w:cs="Arial"/>
          <w:sz w:val="20"/>
          <w:szCs w:val="20"/>
        </w:rPr>
        <w:t>Enkirch T, Eriksson R, Persson S, Schmid D, Aberle SW, Lof E, Wittesjo B, Holmgren B, Johnzon C, Gustafsson EX, Svensson LM, Sandelin LL, Richter L, Lindblad M, Brytting M, Maritschnik S, Tallo T, Malm T, Sundqvist L, Ederth JL (2018) Hepatitis A outbreak linked to imported frozen strawberries by sequencing, Sweden and Austria, June to September 2018. Eurosurveillance 23:1800528</w:t>
      </w:r>
      <w:r w:rsidR="006603BD">
        <w:rPr>
          <w:rFonts w:cs="Arial"/>
          <w:sz w:val="20"/>
          <w:szCs w:val="20"/>
        </w:rPr>
        <w:t xml:space="preserve">. </w:t>
      </w:r>
      <w:hyperlink r:id="rId464" w:history="1">
        <w:r w:rsidR="006603BD" w:rsidRPr="00C72075">
          <w:rPr>
            <w:rStyle w:val="Hyperlink"/>
            <w:rFonts w:cs="Arial"/>
            <w:sz w:val="20"/>
            <w:szCs w:val="20"/>
          </w:rPr>
          <w:t>https://doi.org/10.2807/1560-7917.ES.2018.23.41.1800528</w:t>
        </w:r>
      </w:hyperlink>
    </w:p>
    <w:p w14:paraId="0E9E835E" w14:textId="646618A9" w:rsidR="006603BD" w:rsidRPr="002F5E51" w:rsidRDefault="00285EF0" w:rsidP="00285EF0">
      <w:pPr>
        <w:pStyle w:val="CitaviBibliographyEntry"/>
        <w:spacing w:after="120"/>
        <w:ind w:left="0" w:firstLine="0"/>
        <w:rPr>
          <w:rFonts w:cs="Arial"/>
          <w:sz w:val="20"/>
          <w:szCs w:val="20"/>
        </w:rPr>
      </w:pPr>
      <w:bookmarkStart w:id="930" w:name="_CTVL0015ffe001df5b949c093cbce6bcc15045e"/>
      <w:bookmarkEnd w:id="929"/>
      <w:r w:rsidRPr="002F5E51">
        <w:rPr>
          <w:rFonts w:cs="Arial"/>
          <w:sz w:val="20"/>
          <w:szCs w:val="20"/>
        </w:rPr>
        <w:t xml:space="preserve">Espenhain L, Riess M, Müller L, Colombe S, Ethelberg S, Litrup E, Jernberg C, Kühlmann-Berenzon S, Lindblad M, Hove NK, Torpdahl M, Mörk MJ (2019) Cross-border outbreak of </w:t>
      </w:r>
      <w:r w:rsidRPr="00156B99">
        <w:rPr>
          <w:rFonts w:cs="Arial"/>
          <w:i/>
          <w:sz w:val="20"/>
          <w:szCs w:val="20"/>
        </w:rPr>
        <w:t>Yersinia enterocolitica</w:t>
      </w:r>
      <w:r w:rsidRPr="002F5E51">
        <w:rPr>
          <w:rFonts w:cs="Arial"/>
          <w:sz w:val="20"/>
          <w:szCs w:val="20"/>
        </w:rPr>
        <w:t xml:space="preserve"> O3 associated with imported fresh spinach, Sweden and Denmark, March 2019. Eurosurveillance 24:1900368</w:t>
      </w:r>
      <w:r w:rsidR="006603BD">
        <w:rPr>
          <w:rFonts w:cs="Arial"/>
          <w:sz w:val="20"/>
          <w:szCs w:val="20"/>
        </w:rPr>
        <w:t xml:space="preserve">. </w:t>
      </w:r>
      <w:hyperlink r:id="rId465" w:history="1">
        <w:r w:rsidR="006603BD" w:rsidRPr="00C72075">
          <w:rPr>
            <w:rStyle w:val="Hyperlink"/>
            <w:rFonts w:cs="Arial"/>
            <w:sz w:val="20"/>
            <w:szCs w:val="20"/>
          </w:rPr>
          <w:t>https://doi.org/10.2807/1560-7917.ES.2019.24.24.1900368</w:t>
        </w:r>
      </w:hyperlink>
    </w:p>
    <w:p w14:paraId="5C458D96" w14:textId="77777777" w:rsidR="00285EF0" w:rsidRPr="002F5E51" w:rsidRDefault="00285EF0" w:rsidP="00285EF0">
      <w:pPr>
        <w:pStyle w:val="CitaviBibliographyEntry"/>
        <w:spacing w:after="120"/>
        <w:ind w:left="0" w:firstLine="0"/>
        <w:rPr>
          <w:rFonts w:cs="Arial"/>
          <w:sz w:val="20"/>
          <w:szCs w:val="20"/>
        </w:rPr>
      </w:pPr>
      <w:bookmarkStart w:id="931" w:name="_CTVL0017cd4034e20fb42ec96d3f439b25dd45a"/>
      <w:bookmarkEnd w:id="930"/>
      <w:r w:rsidRPr="002F5E51">
        <w:rPr>
          <w:rFonts w:cs="Arial"/>
          <w:sz w:val="20"/>
          <w:szCs w:val="20"/>
        </w:rPr>
        <w:t xml:space="preserve">FDA (2012) Sprouts: FDA investigation summary - multistate outbreak of </w:t>
      </w:r>
      <w:bookmarkEnd w:id="931"/>
      <w:r w:rsidRPr="002F5E51">
        <w:rPr>
          <w:rFonts w:cs="Arial"/>
          <w:i/>
          <w:sz w:val="20"/>
          <w:szCs w:val="20"/>
        </w:rPr>
        <w:t>Salmonella</w:t>
      </w:r>
      <w:r w:rsidRPr="002F5E51">
        <w:rPr>
          <w:rFonts w:cs="Arial"/>
          <w:sz w:val="20"/>
          <w:szCs w:val="20"/>
        </w:rPr>
        <w:t xml:space="preserve"> Cubana infections associated with sprou</w:t>
      </w:r>
      <w:r>
        <w:rPr>
          <w:rFonts w:cs="Arial"/>
          <w:sz w:val="20"/>
          <w:szCs w:val="20"/>
        </w:rPr>
        <w:t>ts from an Arizona sprouter. US </w:t>
      </w:r>
      <w:r w:rsidRPr="002F5E51">
        <w:rPr>
          <w:rFonts w:cs="Arial"/>
          <w:sz w:val="20"/>
          <w:szCs w:val="20"/>
        </w:rPr>
        <w:t xml:space="preserve">Food and Drug Administration, Silver Spring. </w:t>
      </w:r>
      <w:hyperlink r:id="rId466" w:history="1">
        <w:r w:rsidRPr="002F5E51">
          <w:rPr>
            <w:rStyle w:val="Hyperlink"/>
            <w:rFonts w:cs="Arial"/>
            <w:sz w:val="20"/>
            <w:szCs w:val="20"/>
          </w:rPr>
          <w:t>http://wayback.archive-it.org/7993/20171114154939/https:/www.fda.gov/Food/RecallsOutbreaksEmergencies/Outbreaks/ucm369067.htm</w:t>
        </w:r>
      </w:hyperlink>
      <w:r w:rsidRPr="002F5E51">
        <w:rPr>
          <w:rFonts w:cs="Arial"/>
          <w:sz w:val="20"/>
          <w:szCs w:val="20"/>
        </w:rPr>
        <w:t>. Accessed 11 December 2019</w:t>
      </w:r>
    </w:p>
    <w:p w14:paraId="7355AE12" w14:textId="77777777" w:rsidR="00285EF0" w:rsidRPr="002F5E51" w:rsidRDefault="00285EF0" w:rsidP="00285EF0">
      <w:pPr>
        <w:pStyle w:val="CitaviBibliographyEntry"/>
        <w:spacing w:after="120"/>
        <w:ind w:left="0" w:firstLine="0"/>
        <w:rPr>
          <w:rFonts w:cs="Arial"/>
          <w:sz w:val="20"/>
          <w:szCs w:val="20"/>
        </w:rPr>
      </w:pPr>
      <w:r w:rsidRPr="002F5E51">
        <w:rPr>
          <w:rFonts w:cs="Arial"/>
          <w:sz w:val="20"/>
          <w:szCs w:val="20"/>
        </w:rPr>
        <w:t xml:space="preserve">FDA (2013) Environmental Assessment: Factors potentially contributing to the contamination of fresh whole cantaloupe Implicated in a multi-state outbreak of salmonellosis. US Food and Drug Administration, Silver Spring. </w:t>
      </w:r>
      <w:hyperlink r:id="rId467" w:history="1">
        <w:r w:rsidRPr="002F5E51">
          <w:rPr>
            <w:rStyle w:val="Hyperlink"/>
            <w:rFonts w:cs="Arial"/>
            <w:sz w:val="20"/>
            <w:szCs w:val="20"/>
          </w:rPr>
          <w:t>http://wayback.archive-it.org/7993/20171114155057/https://www.fda.gov/Food/RecallsOutbreaksEmergencies/Outbreaks/ucm341476.htm</w:t>
        </w:r>
      </w:hyperlink>
      <w:r w:rsidRPr="002F5E51">
        <w:rPr>
          <w:rFonts w:cs="Arial"/>
          <w:sz w:val="20"/>
          <w:szCs w:val="20"/>
        </w:rPr>
        <w:t>. Accessed 11 December 2019</w:t>
      </w:r>
    </w:p>
    <w:p w14:paraId="3903EF09" w14:textId="77777777" w:rsidR="00285EF0" w:rsidRPr="002F5E51" w:rsidRDefault="00285EF0" w:rsidP="00285EF0">
      <w:pPr>
        <w:pStyle w:val="CitaviBibliographyEntry"/>
        <w:spacing w:after="120"/>
        <w:ind w:left="0" w:firstLine="0"/>
        <w:rPr>
          <w:rFonts w:cs="Arial"/>
          <w:sz w:val="20"/>
          <w:szCs w:val="20"/>
        </w:rPr>
      </w:pPr>
      <w:bookmarkStart w:id="932" w:name="_CTVL0014fa7e96dd61d4b49977be511e253799d"/>
      <w:r w:rsidRPr="002F5E51">
        <w:rPr>
          <w:rFonts w:cs="Arial"/>
          <w:sz w:val="20"/>
          <w:szCs w:val="20"/>
        </w:rPr>
        <w:t xml:space="preserve">FDA (2015) FDA investigated </w:t>
      </w:r>
      <w:bookmarkEnd w:id="932"/>
      <w:r w:rsidRPr="002F5E51">
        <w:rPr>
          <w:rFonts w:cs="Arial"/>
          <w:i/>
          <w:sz w:val="20"/>
          <w:szCs w:val="20"/>
        </w:rPr>
        <w:t xml:space="preserve">Listeria monocytogenes </w:t>
      </w:r>
      <w:r w:rsidRPr="002F5E51">
        <w:rPr>
          <w:rFonts w:cs="Arial"/>
          <w:sz w:val="20"/>
          <w:szCs w:val="20"/>
        </w:rPr>
        <w:t xml:space="preserve">in sprouts from Wholesome Soy Products, Inc. US Food and Drug Administration, Silver Spring. </w:t>
      </w:r>
      <w:hyperlink r:id="rId468" w:history="1">
        <w:r w:rsidRPr="002F5E51">
          <w:rPr>
            <w:rStyle w:val="Hyperlink"/>
            <w:rFonts w:cs="Arial"/>
            <w:sz w:val="20"/>
            <w:szCs w:val="20"/>
          </w:rPr>
          <w:t>http://wayback.archive-it.org/7993/20171114154907/https:/www.fda.gov/Food/RecallsOutbreaksEmergencies/Outbreaks/ucm422562.htm</w:t>
        </w:r>
      </w:hyperlink>
      <w:r>
        <w:rPr>
          <w:rFonts w:cs="Arial"/>
          <w:sz w:val="20"/>
          <w:szCs w:val="20"/>
        </w:rPr>
        <w:t>. Accessed 11 </w:t>
      </w:r>
      <w:r w:rsidRPr="002F5E51">
        <w:rPr>
          <w:rFonts w:cs="Arial"/>
          <w:sz w:val="20"/>
          <w:szCs w:val="20"/>
        </w:rPr>
        <w:t>December 2019</w:t>
      </w:r>
    </w:p>
    <w:p w14:paraId="66F607E8" w14:textId="77777777" w:rsidR="00285EF0" w:rsidRPr="002F5E51" w:rsidRDefault="00285EF0" w:rsidP="00285EF0">
      <w:pPr>
        <w:pStyle w:val="CitaviBibliographyEntry"/>
        <w:spacing w:after="120"/>
        <w:ind w:left="0" w:firstLine="0"/>
        <w:rPr>
          <w:rFonts w:cs="Arial"/>
          <w:sz w:val="20"/>
          <w:szCs w:val="20"/>
        </w:rPr>
      </w:pPr>
      <w:bookmarkStart w:id="933" w:name="_CTVL001cfa0d64e9e0f4dd093106b527dbbe1e6"/>
      <w:r w:rsidRPr="002F5E51">
        <w:rPr>
          <w:rFonts w:cs="Arial"/>
          <w:sz w:val="20"/>
          <w:szCs w:val="20"/>
        </w:rPr>
        <w:t xml:space="preserve">FDA (2016) FDA investigated multistate outbreak of </w:t>
      </w:r>
      <w:r w:rsidRPr="00156B99">
        <w:rPr>
          <w:rFonts w:cs="Arial"/>
          <w:i/>
          <w:sz w:val="20"/>
          <w:szCs w:val="20"/>
        </w:rPr>
        <w:t>Salmonella</w:t>
      </w:r>
      <w:r w:rsidRPr="002F5E51">
        <w:rPr>
          <w:rFonts w:cs="Arial"/>
          <w:sz w:val="20"/>
          <w:szCs w:val="20"/>
        </w:rPr>
        <w:t xml:space="preserve"> infections linked to alfalfa sprouts. US Food and Drug Administration, Silver Spring. </w:t>
      </w:r>
      <w:hyperlink r:id="rId469" w:history="1">
        <w:r w:rsidRPr="002F5E51">
          <w:rPr>
            <w:rStyle w:val="Hyperlink"/>
            <w:rFonts w:cs="Arial"/>
            <w:sz w:val="20"/>
            <w:szCs w:val="20"/>
          </w:rPr>
          <w:t>https://www.fda.gov/food/outbreaks-foodborne-illness/fda-investigated-multistate-outbreak-salmonella-infections-linked-alfalfa-sprouts</w:t>
        </w:r>
      </w:hyperlink>
      <w:r>
        <w:rPr>
          <w:rFonts w:cs="Arial"/>
          <w:sz w:val="20"/>
          <w:szCs w:val="20"/>
        </w:rPr>
        <w:t>. Accessed 9 December </w:t>
      </w:r>
      <w:r w:rsidRPr="002F5E51">
        <w:rPr>
          <w:rFonts w:cs="Arial"/>
          <w:sz w:val="20"/>
          <w:szCs w:val="20"/>
        </w:rPr>
        <w:t>2019</w:t>
      </w:r>
    </w:p>
    <w:bookmarkEnd w:id="933"/>
    <w:p w14:paraId="079A2EBE" w14:textId="77777777" w:rsidR="00285EF0" w:rsidRPr="002F5E51" w:rsidRDefault="00285EF0" w:rsidP="00285EF0">
      <w:pPr>
        <w:pStyle w:val="CitaviBibliographyEntry"/>
        <w:spacing w:after="120"/>
        <w:ind w:left="0" w:firstLine="0"/>
        <w:rPr>
          <w:rFonts w:cs="Arial"/>
          <w:sz w:val="20"/>
          <w:szCs w:val="20"/>
        </w:rPr>
      </w:pPr>
      <w:r w:rsidRPr="002F5E51">
        <w:rPr>
          <w:rFonts w:cs="Arial"/>
          <w:sz w:val="20"/>
          <w:szCs w:val="20"/>
        </w:rPr>
        <w:t xml:space="preserve">FDA (2018a) Environmental assessment of factors potentially contributing to the contamination of romaine lettuce implicated in a multi-state outbreak of </w:t>
      </w:r>
      <w:r>
        <w:rPr>
          <w:rFonts w:cs="Arial"/>
          <w:i/>
          <w:sz w:val="20"/>
          <w:szCs w:val="20"/>
        </w:rPr>
        <w:t>E. coli </w:t>
      </w:r>
      <w:r w:rsidRPr="002F5E51">
        <w:rPr>
          <w:rFonts w:cs="Arial"/>
          <w:sz w:val="20"/>
          <w:szCs w:val="20"/>
        </w:rPr>
        <w:t xml:space="preserve">O157:H7. US Food and Drug Administration, Silver Spring. </w:t>
      </w:r>
      <w:hyperlink r:id="rId470" w:history="1">
        <w:r w:rsidRPr="002F5E51">
          <w:rPr>
            <w:rStyle w:val="Hyperlink"/>
            <w:rFonts w:cs="Arial"/>
            <w:sz w:val="20"/>
            <w:szCs w:val="20"/>
          </w:rPr>
          <w:t>https://www.fda.gov/food/outbreaks-foodborne-illness/environmental-assessment-factors-potentially-contributing-contamination-romaine-lettuce-implicated</w:t>
        </w:r>
      </w:hyperlink>
      <w:r w:rsidRPr="002F5E51">
        <w:rPr>
          <w:rFonts w:cs="Arial"/>
          <w:sz w:val="20"/>
          <w:szCs w:val="20"/>
        </w:rPr>
        <w:t>. Accessed 13 November 2019</w:t>
      </w:r>
    </w:p>
    <w:p w14:paraId="40FFF23C" w14:textId="77777777" w:rsidR="00285EF0" w:rsidRPr="002F5E51" w:rsidRDefault="00285EF0" w:rsidP="00285EF0">
      <w:pPr>
        <w:pStyle w:val="CitaviBibliographyEntry"/>
        <w:spacing w:after="120"/>
        <w:ind w:left="0" w:firstLine="0"/>
        <w:rPr>
          <w:rFonts w:cs="Arial"/>
          <w:sz w:val="20"/>
          <w:szCs w:val="20"/>
        </w:rPr>
      </w:pPr>
      <w:bookmarkStart w:id="934" w:name="_CTVL0013234ac203126432484f67565d1f0ecb5"/>
      <w:r w:rsidRPr="002F5E51">
        <w:rPr>
          <w:rFonts w:cs="Arial"/>
          <w:sz w:val="20"/>
          <w:szCs w:val="20"/>
        </w:rPr>
        <w:t xml:space="preserve">FDA (2018b) FDA investigation of a multistate outbreak of </w:t>
      </w:r>
      <w:r w:rsidRPr="00156B99">
        <w:rPr>
          <w:rFonts w:cs="Arial"/>
          <w:i/>
          <w:sz w:val="20"/>
          <w:szCs w:val="20"/>
        </w:rPr>
        <w:t>Cyclospora</w:t>
      </w:r>
      <w:r w:rsidRPr="002F5E51">
        <w:rPr>
          <w:rFonts w:cs="Arial"/>
          <w:sz w:val="20"/>
          <w:szCs w:val="20"/>
        </w:rPr>
        <w:t xml:space="preserve"> illnesses linked to Fresh Express salad mix served at McDonald’s ends. US Food and Drug Administration, Silver Spring. </w:t>
      </w:r>
      <w:hyperlink r:id="rId471" w:history="1">
        <w:r w:rsidRPr="002F5E51">
          <w:rPr>
            <w:rStyle w:val="Hyperlink"/>
            <w:rFonts w:cs="Arial"/>
            <w:sz w:val="20"/>
            <w:szCs w:val="20"/>
          </w:rPr>
          <w:t>https://www.fda.gov/food/outbreaks-foodborne-illness/fda-investigation-multistate-outbreak-cyclospora-illnesses-linked-fresh-express-salad-mix-served</w:t>
        </w:r>
      </w:hyperlink>
      <w:r w:rsidRPr="002F5E51">
        <w:rPr>
          <w:rFonts w:cs="Arial"/>
          <w:sz w:val="20"/>
          <w:szCs w:val="20"/>
        </w:rPr>
        <w:t>. Accessed 6 December 2019</w:t>
      </w:r>
    </w:p>
    <w:p w14:paraId="09BEF234" w14:textId="77777777" w:rsidR="00DD6999" w:rsidRDefault="00DD6999">
      <w:pPr>
        <w:widowControl/>
        <w:rPr>
          <w:rFonts w:cs="Arial"/>
          <w:color w:val="000000" w:themeColor="text1"/>
          <w:sz w:val="20"/>
          <w:szCs w:val="20"/>
        </w:rPr>
      </w:pPr>
      <w:bookmarkStart w:id="935" w:name="_CTVL001abdc3e5e49764108af50fb7113034a95"/>
      <w:bookmarkEnd w:id="934"/>
      <w:r>
        <w:rPr>
          <w:rFonts w:cs="Arial"/>
          <w:sz w:val="20"/>
          <w:szCs w:val="20"/>
        </w:rPr>
        <w:br w:type="page"/>
      </w:r>
    </w:p>
    <w:p w14:paraId="35FCBF04" w14:textId="71EF7095" w:rsidR="00285EF0" w:rsidRPr="002F5E51" w:rsidRDefault="00285EF0" w:rsidP="00285EF0">
      <w:pPr>
        <w:pStyle w:val="CitaviBibliographyEntry"/>
        <w:spacing w:after="120"/>
        <w:ind w:left="0" w:firstLine="0"/>
        <w:rPr>
          <w:rFonts w:cs="Arial"/>
          <w:sz w:val="20"/>
          <w:szCs w:val="20"/>
        </w:rPr>
      </w:pPr>
      <w:r w:rsidRPr="002F5E51">
        <w:rPr>
          <w:rFonts w:cs="Arial"/>
          <w:sz w:val="20"/>
          <w:szCs w:val="20"/>
        </w:rPr>
        <w:t xml:space="preserve">FDA (2019) Investigation summary: Factors potentially contributing to the contamination of romaine lettuce implicated in the fall 2018 multi-state outbreak of </w:t>
      </w:r>
      <w:bookmarkEnd w:id="935"/>
      <w:r w:rsidRPr="002F5E51">
        <w:rPr>
          <w:rFonts w:cs="Arial"/>
          <w:i/>
          <w:sz w:val="20"/>
          <w:szCs w:val="20"/>
        </w:rPr>
        <w:t xml:space="preserve">E. coli </w:t>
      </w:r>
      <w:r w:rsidRPr="002F5E51">
        <w:rPr>
          <w:rFonts w:cs="Arial"/>
          <w:sz w:val="20"/>
          <w:szCs w:val="20"/>
        </w:rPr>
        <w:t xml:space="preserve">O157:H7. US Food and Drug Administration, Silver Spring. </w:t>
      </w:r>
      <w:hyperlink r:id="rId472" w:history="1">
        <w:r w:rsidRPr="002F5E51">
          <w:rPr>
            <w:rStyle w:val="Hyperlink"/>
            <w:rFonts w:cs="Arial"/>
            <w:sz w:val="20"/>
            <w:szCs w:val="20"/>
          </w:rPr>
          <w:t>https://www.fda.gov/food/outbreaks-foodborne-illness/investigation-summary-factors-potentially-contributing-contamination-romaine-lettuce-implicated-fall</w:t>
        </w:r>
      </w:hyperlink>
      <w:r w:rsidRPr="002F5E51">
        <w:rPr>
          <w:rFonts w:cs="Arial"/>
          <w:sz w:val="20"/>
          <w:szCs w:val="20"/>
        </w:rPr>
        <w:t>. Accessed 13 November 2019</w:t>
      </w:r>
    </w:p>
    <w:p w14:paraId="683A72AE" w14:textId="28C99A79" w:rsidR="00285EF0" w:rsidRPr="002F5E51" w:rsidRDefault="00285EF0" w:rsidP="00285EF0">
      <w:pPr>
        <w:pStyle w:val="CitaviBibliographyEntry"/>
        <w:spacing w:after="120"/>
        <w:ind w:left="0" w:firstLine="0"/>
        <w:rPr>
          <w:rFonts w:cs="Arial"/>
          <w:sz w:val="20"/>
          <w:szCs w:val="20"/>
        </w:rPr>
      </w:pPr>
      <w:bookmarkStart w:id="936" w:name="_CTVL0017775e34197a34f66afba16f43ba0020a"/>
      <w:r w:rsidRPr="002F5E51">
        <w:rPr>
          <w:rFonts w:cs="Arial"/>
          <w:sz w:val="20"/>
          <w:szCs w:val="20"/>
        </w:rPr>
        <w:t xml:space="preserve">Foley C, Harvey E, Bidol SA, Henderson T, Njord R, Salvo T de, Haupt T, Mba-Jonas A, Bailey C, Bopp C, Bosch SA, Gerner-Smidt P, Mody RK, </w:t>
      </w:r>
      <w:r w:rsidR="00DD6999">
        <w:rPr>
          <w:rFonts w:cs="Arial"/>
          <w:sz w:val="20"/>
          <w:szCs w:val="20"/>
        </w:rPr>
        <w:t>Nguyen T</w:t>
      </w:r>
      <w:r w:rsidRPr="002F5E51">
        <w:rPr>
          <w:rFonts w:cs="Arial"/>
          <w:sz w:val="20"/>
          <w:szCs w:val="20"/>
        </w:rPr>
        <w:t xml:space="preserve">A, Stockbine N, Tauxe RV (2013) Outbreak of </w:t>
      </w:r>
      <w:bookmarkEnd w:id="936"/>
      <w:r w:rsidRPr="002F5E51">
        <w:rPr>
          <w:rFonts w:cs="Arial"/>
          <w:i/>
          <w:sz w:val="20"/>
          <w:szCs w:val="20"/>
        </w:rPr>
        <w:t xml:space="preserve">Escherichia coli </w:t>
      </w:r>
      <w:r w:rsidRPr="002F5E51">
        <w:rPr>
          <w:rFonts w:cs="Arial"/>
          <w:sz w:val="20"/>
          <w:szCs w:val="20"/>
        </w:rPr>
        <w:t>O104:H4 infections associated with sprout consumption: Eur</w:t>
      </w:r>
      <w:r w:rsidR="0071510D">
        <w:rPr>
          <w:rFonts w:cs="Arial"/>
          <w:sz w:val="20"/>
          <w:szCs w:val="20"/>
        </w:rPr>
        <w:t>ope and North America, May-July </w:t>
      </w:r>
      <w:r w:rsidRPr="002F5E51">
        <w:rPr>
          <w:rFonts w:cs="Arial"/>
          <w:sz w:val="20"/>
          <w:szCs w:val="20"/>
        </w:rPr>
        <w:t>2011. Morbidity and Mortality Weekly Report 62:1029–1031</w:t>
      </w:r>
    </w:p>
    <w:p w14:paraId="161DAA33" w14:textId="48D117EC" w:rsidR="00FA6344" w:rsidRPr="002F5E51" w:rsidRDefault="00285EF0" w:rsidP="00285EF0">
      <w:pPr>
        <w:pStyle w:val="CitaviBibliographyEntry"/>
        <w:spacing w:after="120"/>
        <w:ind w:left="0" w:firstLine="0"/>
        <w:rPr>
          <w:rFonts w:cs="Arial"/>
          <w:sz w:val="20"/>
          <w:szCs w:val="20"/>
        </w:rPr>
      </w:pPr>
      <w:bookmarkStart w:id="937" w:name="_CTVL001f54d0f2ad916480d9e9186181496e7eb"/>
      <w:r w:rsidRPr="002F5E51">
        <w:rPr>
          <w:rFonts w:cs="Arial"/>
          <w:sz w:val="20"/>
          <w:szCs w:val="20"/>
        </w:rPr>
        <w:t>Frank C, Werber D, Cramer JP, Askar M, Faber M, der Heiden M an, Bernard H, Fruth A, Prager R, Spode A, Wadl M, Zoufaly</w:t>
      </w:r>
      <w:r>
        <w:rPr>
          <w:rFonts w:cs="Arial"/>
          <w:sz w:val="20"/>
          <w:szCs w:val="20"/>
        </w:rPr>
        <w:t xml:space="preserve"> A, Jordan S, Kemper MJ, Follin </w:t>
      </w:r>
      <w:r w:rsidRPr="002F5E51">
        <w:rPr>
          <w:rFonts w:cs="Arial"/>
          <w:sz w:val="20"/>
          <w:szCs w:val="20"/>
        </w:rPr>
        <w:t xml:space="preserve">P, Müller L, King LA, Rosner B, Buchholz U, Stark K, Krause G (2011a) Epidemic profile of Shiga-toxin-producing </w:t>
      </w:r>
      <w:bookmarkEnd w:id="937"/>
      <w:r w:rsidRPr="002F5E51">
        <w:rPr>
          <w:rFonts w:cs="Arial"/>
          <w:i/>
          <w:sz w:val="20"/>
          <w:szCs w:val="20"/>
        </w:rPr>
        <w:t xml:space="preserve">Escherichia coli </w:t>
      </w:r>
      <w:r w:rsidRPr="002F5E51">
        <w:rPr>
          <w:rFonts w:cs="Arial"/>
          <w:sz w:val="20"/>
          <w:szCs w:val="20"/>
        </w:rPr>
        <w:t>O104:H4 outbreak in Germany. The New England Journal of Medicine 365:1771–1780</w:t>
      </w:r>
      <w:r w:rsidR="00FA6344">
        <w:rPr>
          <w:rFonts w:cs="Arial"/>
          <w:sz w:val="20"/>
          <w:szCs w:val="20"/>
        </w:rPr>
        <w:t xml:space="preserve">. </w:t>
      </w:r>
      <w:hyperlink r:id="rId473" w:history="1">
        <w:r w:rsidR="00FA6344" w:rsidRPr="00C72075">
          <w:rPr>
            <w:rStyle w:val="Hyperlink"/>
            <w:rFonts w:cs="Arial"/>
            <w:sz w:val="20"/>
            <w:szCs w:val="20"/>
          </w:rPr>
          <w:t>https://doi.org/10.1056/NEJMoa1106483</w:t>
        </w:r>
      </w:hyperlink>
    </w:p>
    <w:p w14:paraId="483B10F5" w14:textId="3CF98F14" w:rsidR="00FA6344" w:rsidRPr="002F5E51" w:rsidRDefault="00285EF0" w:rsidP="00285EF0">
      <w:pPr>
        <w:pStyle w:val="CitaviBibliographyEntry"/>
        <w:spacing w:after="120"/>
        <w:ind w:left="0" w:firstLine="0"/>
        <w:rPr>
          <w:rFonts w:cs="Arial"/>
          <w:sz w:val="20"/>
          <w:szCs w:val="20"/>
        </w:rPr>
      </w:pPr>
      <w:bookmarkStart w:id="938" w:name="_CTVL001fbba1160ea724c2999a0ec324f23ec4b"/>
      <w:r w:rsidRPr="002F5E51">
        <w:rPr>
          <w:rFonts w:cs="Arial"/>
          <w:sz w:val="20"/>
          <w:szCs w:val="20"/>
        </w:rPr>
        <w:t>Frank C, Faber MS, Askar M, Bernard H, Fruth A, Gilsdorf A, Hohle M, Karch H, Krause G, Prager R, Spode A, Stark K, Werber D (2011b) Large and ongoing outbreak of haemolytic uraemic syndrome, Germany, May 2011. Eurosurveillance 16:19878</w:t>
      </w:r>
    </w:p>
    <w:p w14:paraId="1DBEA4EB" w14:textId="6E2B1CA2" w:rsidR="00FA6344" w:rsidRPr="002F5E51" w:rsidRDefault="00285EF0" w:rsidP="00285EF0">
      <w:pPr>
        <w:pStyle w:val="CitaviBibliographyEntry"/>
        <w:spacing w:after="120"/>
        <w:ind w:left="0" w:firstLine="0"/>
        <w:rPr>
          <w:rFonts w:cs="Arial"/>
          <w:sz w:val="20"/>
          <w:szCs w:val="20"/>
        </w:rPr>
      </w:pPr>
      <w:bookmarkStart w:id="939" w:name="_CTVL00150bc4a759155498686f2919aca516dd3"/>
      <w:bookmarkEnd w:id="938"/>
      <w:r w:rsidRPr="002F5E51">
        <w:rPr>
          <w:rFonts w:cs="Arial"/>
          <w:sz w:val="20"/>
          <w:szCs w:val="20"/>
        </w:rPr>
        <w:t>Gaul LK, Farag NH, Shim T, Kingsley MA, Silk BJ, Hyytia-Trees E (2013) Hospital-acquired listeriosis outbreak caused by co</w:t>
      </w:r>
      <w:r w:rsidR="00DD6999">
        <w:rPr>
          <w:rFonts w:cs="Arial"/>
          <w:sz w:val="20"/>
          <w:szCs w:val="20"/>
        </w:rPr>
        <w:t>ntaminated diced celery – Texas </w:t>
      </w:r>
      <w:r w:rsidRPr="002F5E51">
        <w:rPr>
          <w:rFonts w:cs="Arial"/>
          <w:sz w:val="20"/>
          <w:szCs w:val="20"/>
        </w:rPr>
        <w:t>2010. Clinical Infectious Diseases 56:20–26</w:t>
      </w:r>
      <w:r w:rsidR="00FA6344">
        <w:rPr>
          <w:rFonts w:cs="Arial"/>
          <w:sz w:val="20"/>
          <w:szCs w:val="20"/>
        </w:rPr>
        <w:t xml:space="preserve">. </w:t>
      </w:r>
      <w:hyperlink r:id="rId474" w:history="1">
        <w:r w:rsidR="00FA6344" w:rsidRPr="00C72075">
          <w:rPr>
            <w:rStyle w:val="Hyperlink"/>
            <w:rFonts w:cs="Arial"/>
            <w:sz w:val="20"/>
            <w:szCs w:val="20"/>
          </w:rPr>
          <w:t>https://doi.org/10.1093/cid/cis817</w:t>
        </w:r>
      </w:hyperlink>
    </w:p>
    <w:p w14:paraId="78AF1BC1" w14:textId="68229083" w:rsidR="00285EF0" w:rsidRPr="002F5E51" w:rsidRDefault="00285EF0" w:rsidP="00285EF0">
      <w:pPr>
        <w:pStyle w:val="CitaviBibliographyEntry"/>
        <w:spacing w:after="120"/>
        <w:ind w:left="0" w:firstLine="0"/>
        <w:rPr>
          <w:rFonts w:cs="Arial"/>
          <w:sz w:val="20"/>
          <w:szCs w:val="20"/>
        </w:rPr>
      </w:pPr>
      <w:bookmarkStart w:id="940" w:name="_CTVL0011f3c0e843aec43b8884a398b125e34dd"/>
      <w:bookmarkEnd w:id="939"/>
      <w:r w:rsidRPr="002F5E51">
        <w:rPr>
          <w:rFonts w:cs="Arial"/>
          <w:sz w:val="20"/>
          <w:szCs w:val="20"/>
        </w:rPr>
        <w:t>Gillesberg Lassen S, Soborg B, Midgley SE, Steens A, Vold L, Stene-Johansen K, Rimhanen-Finne R, Kontio M, Löfdahl M, S</w:t>
      </w:r>
      <w:r w:rsidR="00DD6999">
        <w:rPr>
          <w:rFonts w:cs="Arial"/>
          <w:sz w:val="20"/>
          <w:szCs w:val="20"/>
        </w:rPr>
        <w:t>undqvist L, Edelstein M, Jensen </w:t>
      </w:r>
      <w:r w:rsidRPr="002F5E51">
        <w:rPr>
          <w:rFonts w:cs="Arial"/>
          <w:sz w:val="20"/>
          <w:szCs w:val="20"/>
        </w:rPr>
        <w:t>T, Vestergaard HT, Fischer TK, Mølbak K, Ethelberg S (2013) Ongoing multi-strain food-borne hepatitis A outbreak with frozen berries as suspected vehicle: Four Nordic countries affected, October 2012 to April 2013. Eurosurveillance 18:20467</w:t>
      </w:r>
    </w:p>
    <w:p w14:paraId="3BDAC372" w14:textId="244009B5" w:rsidR="00FA6344" w:rsidRPr="002F5E51" w:rsidRDefault="00285EF0" w:rsidP="00285EF0">
      <w:pPr>
        <w:pStyle w:val="CitaviBibliographyEntry"/>
        <w:spacing w:after="120"/>
        <w:ind w:left="0" w:firstLine="0"/>
        <w:rPr>
          <w:rFonts w:cs="Arial"/>
          <w:sz w:val="20"/>
          <w:szCs w:val="20"/>
        </w:rPr>
      </w:pPr>
      <w:bookmarkStart w:id="941" w:name="_CTVL0017f808a9e093c44f0b552cc8968e5ffd0"/>
      <w:bookmarkEnd w:id="940"/>
      <w:r w:rsidRPr="002F5E51">
        <w:rPr>
          <w:rFonts w:cs="Arial"/>
          <w:sz w:val="20"/>
          <w:szCs w:val="20"/>
        </w:rPr>
        <w:t>Gossner CM, Severi E (2014) Three simultaneous, food-borne, multi-country outbreaks of hepatitis A virus infection rep</w:t>
      </w:r>
      <w:r w:rsidR="0071510D">
        <w:rPr>
          <w:rFonts w:cs="Arial"/>
          <w:sz w:val="20"/>
          <w:szCs w:val="20"/>
        </w:rPr>
        <w:t>orted in EPIS-FWD in 2013: What </w:t>
      </w:r>
      <w:r w:rsidRPr="002F5E51">
        <w:rPr>
          <w:rFonts w:cs="Arial"/>
          <w:sz w:val="20"/>
          <w:szCs w:val="20"/>
        </w:rPr>
        <w:t>does it mean for the European Union? Eurosurveillance 19:20941</w:t>
      </w:r>
      <w:r w:rsidR="00FA6344">
        <w:rPr>
          <w:rFonts w:cs="Arial"/>
          <w:sz w:val="20"/>
          <w:szCs w:val="20"/>
        </w:rPr>
        <w:t xml:space="preserve">. </w:t>
      </w:r>
      <w:hyperlink r:id="rId475" w:history="1">
        <w:r w:rsidR="00FA6344" w:rsidRPr="00C72075">
          <w:rPr>
            <w:rStyle w:val="Hyperlink"/>
            <w:rFonts w:cs="Arial"/>
            <w:sz w:val="20"/>
            <w:szCs w:val="20"/>
          </w:rPr>
          <w:t>https://doi.org/10.2807/1560-7917.es2014.19.43.20941</w:t>
        </w:r>
      </w:hyperlink>
    </w:p>
    <w:p w14:paraId="5F59A916" w14:textId="77777777" w:rsidR="00285EF0" w:rsidRPr="002F5E51" w:rsidRDefault="00285EF0" w:rsidP="00285EF0">
      <w:pPr>
        <w:pStyle w:val="CitaviBibliographyEntry"/>
        <w:spacing w:after="120"/>
        <w:ind w:left="0" w:firstLine="0"/>
        <w:rPr>
          <w:rFonts w:cs="Arial"/>
          <w:sz w:val="20"/>
          <w:szCs w:val="20"/>
        </w:rPr>
      </w:pPr>
      <w:bookmarkStart w:id="942" w:name="_CTVL0019170ec00ef594f738ae03b8d867688db"/>
      <w:bookmarkEnd w:id="941"/>
      <w:r w:rsidRPr="002F5E51">
        <w:rPr>
          <w:rFonts w:cs="Arial"/>
          <w:sz w:val="20"/>
          <w:szCs w:val="20"/>
        </w:rPr>
        <w:t xml:space="preserve">Guzman-Herrador B, Vold L, Comelli H, MacDonald E, Heier BT, Wester AL, Stavnes TL, Jensvoll L, Lindegard Aanstad A, Severinsen G, Aasgaard Grini J, Werner Johansen Ø, Cudjoe K, Nygard K (2011) Outbreak of </w:t>
      </w:r>
      <w:r w:rsidRPr="00FA76C9">
        <w:rPr>
          <w:rFonts w:cs="Arial"/>
          <w:i/>
          <w:sz w:val="20"/>
          <w:szCs w:val="20"/>
        </w:rPr>
        <w:t>Shigella sonnei</w:t>
      </w:r>
      <w:r w:rsidRPr="002F5E51">
        <w:rPr>
          <w:rFonts w:cs="Arial"/>
          <w:sz w:val="20"/>
          <w:szCs w:val="20"/>
        </w:rPr>
        <w:t xml:space="preserve"> infection in Norway linked to consumption of fresh basil, October 2011. Eurosurveillance 16:20007</w:t>
      </w:r>
    </w:p>
    <w:p w14:paraId="437FC8CE" w14:textId="2C5C202B" w:rsidR="00FA6344" w:rsidRPr="002F5E51" w:rsidRDefault="00285EF0" w:rsidP="00285EF0">
      <w:pPr>
        <w:pStyle w:val="CitaviBibliographyEntry"/>
        <w:spacing w:after="120"/>
        <w:ind w:left="0" w:firstLine="0"/>
        <w:rPr>
          <w:rFonts w:cs="Arial"/>
          <w:sz w:val="20"/>
          <w:szCs w:val="20"/>
        </w:rPr>
      </w:pPr>
      <w:bookmarkStart w:id="943" w:name="_CTVL001935500160722486a93aa99c0b0d74713"/>
      <w:bookmarkEnd w:id="942"/>
      <w:r w:rsidRPr="002F5E51">
        <w:rPr>
          <w:rFonts w:cs="Arial"/>
          <w:sz w:val="20"/>
          <w:szCs w:val="20"/>
        </w:rPr>
        <w:t>Guzman-Herrador B, Jensvoll L, Einoder-Moreno M, Lange H, Myking S, Nygard K, Stene-Johansen K, Vold L (2014) Ongoing hepatitis A outbreak in Europe 2013 to 2014: Imported berry mix cake suspected to be the source of infection in Norway. Eurosurveillance 19:20775</w:t>
      </w:r>
      <w:r w:rsidR="00FA6344">
        <w:rPr>
          <w:rFonts w:cs="Arial"/>
          <w:sz w:val="20"/>
          <w:szCs w:val="20"/>
        </w:rPr>
        <w:t xml:space="preserve">. </w:t>
      </w:r>
      <w:hyperlink r:id="rId476" w:history="1">
        <w:r w:rsidR="00FA6344" w:rsidRPr="00C72075">
          <w:rPr>
            <w:rStyle w:val="Hyperlink"/>
            <w:rFonts w:cs="Arial"/>
            <w:sz w:val="20"/>
            <w:szCs w:val="20"/>
          </w:rPr>
          <w:t>https://doi.org/10.2807/1560-7917.es2014.19.15.20775</w:t>
        </w:r>
      </w:hyperlink>
    </w:p>
    <w:p w14:paraId="074949F6" w14:textId="61D4ACDF" w:rsidR="004D4AD7" w:rsidRPr="002F5E51" w:rsidRDefault="00285EF0" w:rsidP="00285EF0">
      <w:pPr>
        <w:pStyle w:val="CitaviBibliographyEntry"/>
        <w:spacing w:after="120"/>
        <w:ind w:left="0" w:firstLine="0"/>
        <w:rPr>
          <w:rFonts w:cs="Arial"/>
          <w:sz w:val="20"/>
          <w:szCs w:val="20"/>
        </w:rPr>
      </w:pPr>
      <w:bookmarkStart w:id="944" w:name="_CTVL001ddf39188cf2247fe8dce1edc4fa432c8"/>
      <w:bookmarkEnd w:id="943"/>
      <w:r w:rsidRPr="002F5E51">
        <w:rPr>
          <w:rFonts w:cs="Arial"/>
          <w:sz w:val="20"/>
          <w:szCs w:val="20"/>
        </w:rPr>
        <w:t xml:space="preserve">Guzman-Herrador BR, Nilsen E, Cudjoe KS, Jensvoll L, Kvamme JM, Lindegård Aanstad A, Lindstedt BA, Nygård K, Severinsen G, Werner-Johansen Ø, Wester AL, Wiklund M, Vold L (2013) A </w:t>
      </w:r>
      <w:r w:rsidRPr="00156B99">
        <w:rPr>
          <w:rFonts w:cs="Arial"/>
          <w:i/>
          <w:sz w:val="20"/>
          <w:szCs w:val="20"/>
        </w:rPr>
        <w:t>Shigella sonnei</w:t>
      </w:r>
      <w:r w:rsidRPr="002F5E51">
        <w:rPr>
          <w:rFonts w:cs="Arial"/>
          <w:sz w:val="20"/>
          <w:szCs w:val="20"/>
        </w:rPr>
        <w:t xml:space="preserve"> outbr</w:t>
      </w:r>
      <w:r w:rsidR="00156B99">
        <w:rPr>
          <w:rFonts w:cs="Arial"/>
          <w:sz w:val="20"/>
          <w:szCs w:val="20"/>
        </w:rPr>
        <w:t>eak traced to imported basil - T</w:t>
      </w:r>
      <w:r w:rsidRPr="002F5E51">
        <w:rPr>
          <w:rFonts w:cs="Arial"/>
          <w:sz w:val="20"/>
          <w:szCs w:val="20"/>
        </w:rPr>
        <w:t>he importance of good typing tools and produce traceability systems, Norway, 2011. Eurosurveillance 18:20650</w:t>
      </w:r>
      <w:r w:rsidR="004D4AD7">
        <w:rPr>
          <w:rFonts w:cs="Arial"/>
          <w:sz w:val="20"/>
          <w:szCs w:val="20"/>
        </w:rPr>
        <w:t xml:space="preserve">. </w:t>
      </w:r>
      <w:hyperlink r:id="rId477" w:history="1">
        <w:r w:rsidR="004D4AD7" w:rsidRPr="00C72075">
          <w:rPr>
            <w:rStyle w:val="Hyperlink"/>
            <w:rFonts w:cs="Arial"/>
            <w:sz w:val="20"/>
            <w:szCs w:val="20"/>
          </w:rPr>
          <w:t>https://doi.org/10.2807/1560-7917.es2013.18.49.20650</w:t>
        </w:r>
      </w:hyperlink>
    </w:p>
    <w:p w14:paraId="7E51E2EA" w14:textId="1DD575A8" w:rsidR="004D4AD7" w:rsidRPr="002F5E51" w:rsidRDefault="00285EF0" w:rsidP="00285EF0">
      <w:pPr>
        <w:pStyle w:val="CitaviBibliographyEntry"/>
        <w:spacing w:after="120"/>
        <w:ind w:left="0" w:firstLine="0"/>
        <w:rPr>
          <w:rFonts w:cs="Arial"/>
          <w:sz w:val="20"/>
          <w:szCs w:val="20"/>
        </w:rPr>
      </w:pPr>
      <w:bookmarkStart w:id="945" w:name="_CTVL00167f00b0d8a8c4ded8758b1f2055e0d50"/>
      <w:bookmarkEnd w:id="944"/>
      <w:r w:rsidRPr="002F5E51">
        <w:rPr>
          <w:rFonts w:cs="Arial"/>
          <w:sz w:val="20"/>
          <w:szCs w:val="20"/>
        </w:rPr>
        <w:t>Guzman-Herrador BR, Panning M, Stene-Johansen K, Borgen K, Einoder-Moreno M, Huzly D, Jensvoll L, Lange H, Maassen S, Myking S, Myrmel M, Neumann-Haefelin C, Nygard K, Wenzel JJ, Oye AK, Vold L (2015) Importance of molecular typing in confirmation of the source of a national hepatitis A virus outbreak in Norway and the detection of a related cluster in Germany. Archives of Virology 160:2823–2826</w:t>
      </w:r>
      <w:r w:rsidR="004D4AD7">
        <w:rPr>
          <w:rFonts w:cs="Arial"/>
          <w:sz w:val="20"/>
          <w:szCs w:val="20"/>
        </w:rPr>
        <w:t xml:space="preserve">. </w:t>
      </w:r>
      <w:hyperlink r:id="rId478" w:history="1">
        <w:r w:rsidR="004D4AD7" w:rsidRPr="00C72075">
          <w:rPr>
            <w:rStyle w:val="Hyperlink"/>
            <w:rFonts w:cs="Arial"/>
            <w:sz w:val="20"/>
            <w:szCs w:val="20"/>
          </w:rPr>
          <w:t>https://doi.org/10.1007/s00705-015-2531-y</w:t>
        </w:r>
      </w:hyperlink>
    </w:p>
    <w:p w14:paraId="43BFBB64" w14:textId="77BE4097" w:rsidR="0037267B" w:rsidRPr="0037267B" w:rsidRDefault="00285EF0" w:rsidP="00285EF0">
      <w:pPr>
        <w:pStyle w:val="CitaviBibliographyEntry"/>
        <w:spacing w:after="120"/>
        <w:ind w:left="0" w:firstLine="0"/>
        <w:rPr>
          <w:rFonts w:cs="Arial"/>
          <w:sz w:val="20"/>
          <w:szCs w:val="20"/>
          <w:lang w:val="en-AU" w:eastAsia="en-GB" w:bidi="ar-SA"/>
        </w:rPr>
      </w:pPr>
      <w:bookmarkStart w:id="946" w:name="_CTVL00106972735301c4edd92a1b349cb0b64b8"/>
      <w:bookmarkEnd w:id="945"/>
      <w:r w:rsidRPr="002F5E51">
        <w:rPr>
          <w:rFonts w:cs="Arial"/>
          <w:sz w:val="20"/>
          <w:szCs w:val="20"/>
        </w:rPr>
        <w:t xml:space="preserve">Hassan R, Whitney B, Williams DL, Holloman K, Grady D, Thomas D, Omoregie E, Lamba K, Leeper M, Gieraltowski L (2019) Multistate outbreaks of </w:t>
      </w:r>
      <w:r w:rsidRPr="00156B99">
        <w:rPr>
          <w:rFonts w:cs="Arial"/>
          <w:i/>
          <w:sz w:val="20"/>
          <w:szCs w:val="20"/>
        </w:rPr>
        <w:t>Salmonella</w:t>
      </w:r>
      <w:r w:rsidRPr="002F5E51">
        <w:rPr>
          <w:rFonts w:cs="Arial"/>
          <w:sz w:val="20"/>
          <w:szCs w:val="20"/>
        </w:rPr>
        <w:t xml:space="preserve"> infections linked to imported Maradol papayas - United States, December 2016-September 2017. Epidemiology and Infection 147:e265</w:t>
      </w:r>
      <w:r w:rsidR="0037267B">
        <w:rPr>
          <w:rFonts w:cs="Arial"/>
          <w:sz w:val="20"/>
          <w:szCs w:val="20"/>
        </w:rPr>
        <w:t xml:space="preserve">. </w:t>
      </w:r>
      <w:hyperlink r:id="rId479" w:history="1">
        <w:r w:rsidR="0037267B" w:rsidRPr="00923DD1">
          <w:rPr>
            <w:rStyle w:val="Hyperlink"/>
            <w:rFonts w:cs="Arial"/>
            <w:sz w:val="20"/>
            <w:szCs w:val="20"/>
          </w:rPr>
          <w:t>https://doi.org/</w:t>
        </w:r>
        <w:r w:rsidR="0037267B" w:rsidRPr="00923DD1">
          <w:rPr>
            <w:rStyle w:val="Hyperlink"/>
            <w:rFonts w:cs="Arial"/>
            <w:sz w:val="20"/>
            <w:szCs w:val="20"/>
            <w:lang w:val="en-AU" w:eastAsia="en-GB" w:bidi="ar-SA"/>
          </w:rPr>
          <w:t>10.1017/S0950268819001547</w:t>
        </w:r>
      </w:hyperlink>
    </w:p>
    <w:p w14:paraId="27F5B79D" w14:textId="0C390561" w:rsidR="0037267B" w:rsidRPr="002F5E51" w:rsidRDefault="00285EF0" w:rsidP="00285EF0">
      <w:pPr>
        <w:pStyle w:val="CitaviBibliographyEntry"/>
        <w:spacing w:after="120"/>
        <w:ind w:left="0" w:firstLine="0"/>
        <w:rPr>
          <w:rFonts w:cs="Arial"/>
          <w:sz w:val="20"/>
          <w:szCs w:val="20"/>
        </w:rPr>
      </w:pPr>
      <w:bookmarkStart w:id="947" w:name="_CTVL0011ca641bc3da14a17ad8610a9d8501b58"/>
      <w:bookmarkEnd w:id="946"/>
      <w:r w:rsidRPr="002F5E51">
        <w:rPr>
          <w:rFonts w:cs="Arial"/>
          <w:sz w:val="20"/>
          <w:szCs w:val="20"/>
        </w:rPr>
        <w:t>Jenkins C, Dallman TJ, Launders N, Willis C, Byrne L, Jorgensen F, Eppinger M, Adak GK, Aird H, Elviss N, Grant KA, Morga</w:t>
      </w:r>
      <w:r w:rsidR="00DD6999">
        <w:rPr>
          <w:rFonts w:cs="Arial"/>
          <w:sz w:val="20"/>
          <w:szCs w:val="20"/>
        </w:rPr>
        <w:t>n D, McLauchlin J (2015) Public </w:t>
      </w:r>
      <w:r w:rsidRPr="002F5E51">
        <w:rPr>
          <w:rFonts w:cs="Arial"/>
          <w:sz w:val="20"/>
          <w:szCs w:val="20"/>
        </w:rPr>
        <w:t xml:space="preserve">health investigation of two outbreaks of Shiga toxin-producing </w:t>
      </w:r>
      <w:r w:rsidRPr="0037267B">
        <w:rPr>
          <w:rFonts w:cs="Arial"/>
          <w:i/>
          <w:sz w:val="20"/>
          <w:szCs w:val="20"/>
        </w:rPr>
        <w:t>Escherichia coli</w:t>
      </w:r>
      <w:r w:rsidRPr="002F5E51">
        <w:rPr>
          <w:rFonts w:cs="Arial"/>
          <w:sz w:val="20"/>
          <w:szCs w:val="20"/>
        </w:rPr>
        <w:t xml:space="preserve"> O157 associated with consumption of watercress. Applied and Environmental Microbiology 81:3946–3952</w:t>
      </w:r>
      <w:r w:rsidR="0037267B">
        <w:rPr>
          <w:rFonts w:cs="Arial"/>
          <w:sz w:val="20"/>
          <w:szCs w:val="20"/>
        </w:rPr>
        <w:t xml:space="preserve">. </w:t>
      </w:r>
      <w:hyperlink r:id="rId480" w:history="1">
        <w:r w:rsidR="0037267B" w:rsidRPr="00923DD1">
          <w:rPr>
            <w:rStyle w:val="Hyperlink"/>
            <w:rFonts w:cs="Arial"/>
            <w:sz w:val="20"/>
            <w:szCs w:val="20"/>
          </w:rPr>
          <w:t>https://doi.org/10.1128/AEM.04188-14</w:t>
        </w:r>
      </w:hyperlink>
    </w:p>
    <w:p w14:paraId="7D71F399" w14:textId="649F9146" w:rsidR="0037267B" w:rsidRPr="002F5E51" w:rsidRDefault="00285EF0" w:rsidP="00285EF0">
      <w:pPr>
        <w:pStyle w:val="CitaviBibliographyEntry"/>
        <w:spacing w:after="120"/>
        <w:ind w:left="0" w:firstLine="0"/>
        <w:rPr>
          <w:rFonts w:cs="Arial"/>
          <w:sz w:val="20"/>
          <w:szCs w:val="20"/>
        </w:rPr>
      </w:pPr>
      <w:bookmarkStart w:id="948" w:name="_CTVL00148568689762b411e9169f291b1dd9348"/>
      <w:bookmarkEnd w:id="947"/>
      <w:r w:rsidRPr="002F5E51">
        <w:rPr>
          <w:rFonts w:cs="Arial"/>
          <w:sz w:val="20"/>
          <w:szCs w:val="20"/>
        </w:rPr>
        <w:t>King LA, Nogareda F, Weill F-X, Mariani-Kurkdjian P, Loukiadis E, Gault G, Jourdan-DaSilva N, Bingen E, Macé M, Thevenot D, Ong N, Castor C, Noël H, van Cauteren D, Charron M, Vaillant V, Aldabe B, Goulet V, Delmas G, Couturier E, Le Strat Y, Combe C, Delmas Y, Terrier F</w:t>
      </w:r>
      <w:r>
        <w:rPr>
          <w:rFonts w:cs="Arial"/>
          <w:sz w:val="20"/>
          <w:szCs w:val="20"/>
        </w:rPr>
        <w:t>, Vendrely B, Rolland P, Valk H </w:t>
      </w:r>
      <w:r w:rsidRPr="002F5E51">
        <w:rPr>
          <w:rFonts w:cs="Arial"/>
          <w:sz w:val="20"/>
          <w:szCs w:val="20"/>
        </w:rPr>
        <w:t xml:space="preserve">de (2012) Outbreak of Shiga toxin-producing </w:t>
      </w:r>
      <w:bookmarkEnd w:id="948"/>
      <w:r w:rsidRPr="002F5E51">
        <w:rPr>
          <w:rFonts w:cs="Arial"/>
          <w:i/>
          <w:sz w:val="20"/>
          <w:szCs w:val="20"/>
        </w:rPr>
        <w:t xml:space="preserve">Escherichia coli </w:t>
      </w:r>
      <w:r w:rsidRPr="002F5E51">
        <w:rPr>
          <w:rFonts w:cs="Arial"/>
          <w:sz w:val="20"/>
          <w:szCs w:val="20"/>
        </w:rPr>
        <w:t>O104:H4 associated with organic fenugreek sprouts, France, June 2011. Clinical Infectious Diseases 54:1588–1594</w:t>
      </w:r>
      <w:r w:rsidR="0037267B">
        <w:rPr>
          <w:rFonts w:cs="Arial"/>
          <w:sz w:val="20"/>
          <w:szCs w:val="20"/>
        </w:rPr>
        <w:t xml:space="preserve">. </w:t>
      </w:r>
      <w:hyperlink r:id="rId481" w:history="1">
        <w:r w:rsidR="0037267B" w:rsidRPr="00923DD1">
          <w:rPr>
            <w:rStyle w:val="Hyperlink"/>
            <w:rFonts w:cs="Arial"/>
            <w:sz w:val="20"/>
            <w:szCs w:val="20"/>
          </w:rPr>
          <w:t>https://doi.org/10.1093/cid/cis255</w:t>
        </w:r>
      </w:hyperlink>
    </w:p>
    <w:p w14:paraId="54248B54" w14:textId="6FD93C51" w:rsidR="00285EF0" w:rsidRPr="002F5E51" w:rsidRDefault="00285EF0" w:rsidP="00285EF0">
      <w:pPr>
        <w:pStyle w:val="CitaviBibliographyEntry"/>
        <w:spacing w:after="120"/>
        <w:ind w:left="0" w:firstLine="0"/>
        <w:rPr>
          <w:rFonts w:cs="Arial"/>
          <w:sz w:val="20"/>
          <w:szCs w:val="20"/>
        </w:rPr>
      </w:pPr>
      <w:bookmarkStart w:id="949" w:name="_CTVL00198e9b487c1ff48959da738694fd1106b"/>
      <w:r w:rsidRPr="002F5E51">
        <w:rPr>
          <w:rFonts w:cs="Arial"/>
          <w:sz w:val="20"/>
          <w:szCs w:val="20"/>
        </w:rPr>
        <w:t xml:space="preserve">Kinnula S, Hemminki K, Kotilainen H, Ruotsalainen E, Tarkka E, Salmenlinna S, Hallanvuo S, Leinonen E, Jukka O, Rimhanen-Finne R (2018) Outbreak of multiple strains of non-O157 Shiga toxin-producing and enteropathogenic </w:t>
      </w:r>
      <w:r w:rsidRPr="0037267B">
        <w:rPr>
          <w:rFonts w:cs="Arial"/>
          <w:i/>
          <w:sz w:val="20"/>
          <w:szCs w:val="20"/>
        </w:rPr>
        <w:t>Escherichia coli</w:t>
      </w:r>
      <w:r w:rsidRPr="002F5E51">
        <w:rPr>
          <w:rFonts w:cs="Arial"/>
          <w:sz w:val="20"/>
          <w:szCs w:val="20"/>
        </w:rPr>
        <w:t xml:space="preserve"> associated with rocket salad, Finland, autumn 2016. Eurosurveillance 23:1700666</w:t>
      </w:r>
      <w:r w:rsidR="0037267B">
        <w:rPr>
          <w:rFonts w:cs="Arial"/>
          <w:sz w:val="20"/>
          <w:szCs w:val="20"/>
        </w:rPr>
        <w:t xml:space="preserve">. </w:t>
      </w:r>
    </w:p>
    <w:bookmarkEnd w:id="949"/>
    <w:p w14:paraId="1901F341" w14:textId="77777777" w:rsidR="00285EF0" w:rsidRPr="002F5E51" w:rsidRDefault="00285EF0" w:rsidP="00285EF0">
      <w:pPr>
        <w:pStyle w:val="CitaviBibliographyEntry"/>
        <w:spacing w:after="120"/>
        <w:ind w:left="0" w:firstLine="0"/>
        <w:rPr>
          <w:rFonts w:cs="Arial"/>
          <w:sz w:val="20"/>
          <w:szCs w:val="20"/>
        </w:rPr>
      </w:pPr>
      <w:r w:rsidRPr="002F5E51">
        <w:rPr>
          <w:rFonts w:cs="Arial"/>
          <w:sz w:val="20"/>
          <w:szCs w:val="20"/>
        </w:rPr>
        <w:t xml:space="preserve">Laidler MR, Tourdjman M, Buser GL, Hostetler T, Repp KK, Leman R, Samadpour M, Keene WE (2013) </w:t>
      </w:r>
      <w:r w:rsidRPr="0037267B">
        <w:rPr>
          <w:rFonts w:cs="Arial"/>
          <w:i/>
          <w:sz w:val="20"/>
          <w:szCs w:val="20"/>
        </w:rPr>
        <w:t>Escherichia coli</w:t>
      </w:r>
      <w:r w:rsidRPr="002F5E51">
        <w:rPr>
          <w:rFonts w:cs="Arial"/>
          <w:sz w:val="20"/>
          <w:szCs w:val="20"/>
        </w:rPr>
        <w:t xml:space="preserve"> O157:H7 infections associated with consumption of locally grown strawberries contaminated by deer. Clinical Infectious Diseases 57:1129–1134. </w:t>
      </w:r>
      <w:hyperlink r:id="rId482" w:history="1">
        <w:r w:rsidRPr="002F5E51">
          <w:rPr>
            <w:rStyle w:val="Hyperlink"/>
            <w:rFonts w:cs="Arial"/>
            <w:sz w:val="20"/>
            <w:szCs w:val="20"/>
          </w:rPr>
          <w:t>https://doi.org/10.1093/cid/cit468</w:t>
        </w:r>
      </w:hyperlink>
    </w:p>
    <w:p w14:paraId="01AE39D9" w14:textId="126FAED3" w:rsidR="004D4AD7" w:rsidRPr="002F5E51" w:rsidRDefault="00285EF0" w:rsidP="00285EF0">
      <w:pPr>
        <w:pStyle w:val="CitaviBibliographyEntry"/>
        <w:spacing w:after="120"/>
        <w:ind w:left="0" w:firstLine="0"/>
        <w:rPr>
          <w:rFonts w:cs="Arial"/>
          <w:sz w:val="20"/>
          <w:szCs w:val="20"/>
        </w:rPr>
      </w:pPr>
      <w:bookmarkStart w:id="950" w:name="_CTVL00126f1c9addbd4418793c56503153b5495"/>
      <w:r w:rsidRPr="002F5E51">
        <w:rPr>
          <w:rFonts w:cs="Arial"/>
          <w:sz w:val="20"/>
          <w:szCs w:val="20"/>
        </w:rPr>
        <w:t xml:space="preserve">Laughlin M, Bottichio L, Weiss J, Higa J, McDonald E, Sowadsky R, Fejes D, Saupe A, Provo G, Seelman S, Concepción-Acevedo J, Gieraltowski L (2019) Multistate outbreak of </w:t>
      </w:r>
      <w:bookmarkEnd w:id="950"/>
      <w:r w:rsidRPr="002F5E51">
        <w:rPr>
          <w:rFonts w:cs="Arial"/>
          <w:i/>
          <w:sz w:val="20"/>
          <w:szCs w:val="20"/>
        </w:rPr>
        <w:t>Salmonella</w:t>
      </w:r>
      <w:r w:rsidRPr="002F5E51">
        <w:rPr>
          <w:rFonts w:cs="Arial"/>
          <w:sz w:val="20"/>
          <w:szCs w:val="20"/>
        </w:rPr>
        <w:t xml:space="preserve"> Poona infections associated with imported cucumbers, 2015-2016. Epidemiology and Infection 147:e270</w:t>
      </w:r>
      <w:r w:rsidR="004D4AD7">
        <w:rPr>
          <w:rFonts w:cs="Arial"/>
          <w:sz w:val="20"/>
          <w:szCs w:val="20"/>
        </w:rPr>
        <w:t xml:space="preserve">. </w:t>
      </w:r>
      <w:hyperlink r:id="rId483" w:history="1">
        <w:r w:rsidR="004D4AD7" w:rsidRPr="00C72075">
          <w:rPr>
            <w:rStyle w:val="Hyperlink"/>
            <w:rFonts w:cs="Arial"/>
            <w:sz w:val="20"/>
            <w:szCs w:val="20"/>
          </w:rPr>
          <w:t>https://doi.org/10.1017/S0950268819001596</w:t>
        </w:r>
      </w:hyperlink>
    </w:p>
    <w:p w14:paraId="69E2CE55" w14:textId="40FB8B85" w:rsidR="004D4AD7" w:rsidRPr="002F5E51" w:rsidRDefault="00285EF0" w:rsidP="00285EF0">
      <w:pPr>
        <w:pStyle w:val="CitaviBibliographyEntry"/>
        <w:spacing w:after="120"/>
        <w:ind w:left="0" w:firstLine="0"/>
        <w:rPr>
          <w:rFonts w:cs="Arial"/>
          <w:sz w:val="20"/>
          <w:szCs w:val="20"/>
        </w:rPr>
      </w:pPr>
      <w:bookmarkStart w:id="951" w:name="_CTVL001e53a3710e97945fcb6dd8dd99ff7b660"/>
      <w:r w:rsidRPr="002F5E51">
        <w:rPr>
          <w:rFonts w:cs="Arial"/>
          <w:sz w:val="20"/>
          <w:szCs w:val="20"/>
        </w:rPr>
        <w:t xml:space="preserve">Launders N, Byrne L, Adams N, Glen K, Jenkins C, Tubin-Delic D, Locking M, Williams C, Morgan D (2013) Outbreak of Shiga toxin-producing </w:t>
      </w:r>
      <w:r w:rsidRPr="0037267B">
        <w:rPr>
          <w:rFonts w:cs="Arial"/>
          <w:i/>
          <w:sz w:val="20"/>
          <w:szCs w:val="20"/>
        </w:rPr>
        <w:t>E. coli</w:t>
      </w:r>
      <w:r w:rsidRPr="002F5E51">
        <w:rPr>
          <w:rFonts w:cs="Arial"/>
          <w:sz w:val="20"/>
          <w:szCs w:val="20"/>
        </w:rPr>
        <w:t xml:space="preserve"> O157 associated with consumption of watercress, United Kingdom, August to September 2013. Eurosurveillance 18:20624</w:t>
      </w:r>
      <w:r w:rsidR="004D4AD7">
        <w:rPr>
          <w:rFonts w:cs="Arial"/>
          <w:sz w:val="20"/>
          <w:szCs w:val="20"/>
        </w:rPr>
        <w:t xml:space="preserve">. </w:t>
      </w:r>
      <w:hyperlink r:id="rId484" w:history="1">
        <w:r w:rsidR="004D4AD7" w:rsidRPr="00C72075">
          <w:rPr>
            <w:rStyle w:val="Hyperlink"/>
            <w:rFonts w:cs="Arial"/>
            <w:sz w:val="20"/>
            <w:szCs w:val="20"/>
          </w:rPr>
          <w:t>https://doi.org/10.2807/1560-7917.es2013.18.44.20624</w:t>
        </w:r>
      </w:hyperlink>
    </w:p>
    <w:p w14:paraId="0F70F36C" w14:textId="00C4F78F" w:rsidR="004D4AD7" w:rsidRPr="002F5E51" w:rsidRDefault="00285EF0" w:rsidP="00285EF0">
      <w:pPr>
        <w:pStyle w:val="CitaviBibliographyEntry"/>
        <w:spacing w:after="120"/>
        <w:ind w:left="0" w:firstLine="0"/>
        <w:rPr>
          <w:rFonts w:cs="Arial"/>
          <w:sz w:val="20"/>
          <w:szCs w:val="20"/>
        </w:rPr>
      </w:pPr>
      <w:bookmarkStart w:id="952" w:name="_CTVL00145d79495e0bf42789f2a3049dd6ee0c9"/>
      <w:bookmarkEnd w:id="951"/>
      <w:r w:rsidRPr="002F5E51">
        <w:rPr>
          <w:rFonts w:cs="Arial"/>
          <w:sz w:val="20"/>
          <w:szCs w:val="20"/>
        </w:rPr>
        <w:t>Loharikar A, Newton A, Rowley P, Wheeler C, Bruno T, Barillas H, Pruckler J, Theobald L, Lance S, Brown JM, Barzilay EJ, Arvelo W, Mintz E, Fagan R (2012) Typhoid fever outbreak associated with frozen mamey pulp imported from Guatemala to the western United States, 2010. Clinical Infectious Diseases 55:61–66</w:t>
      </w:r>
      <w:r w:rsidR="004D4AD7">
        <w:rPr>
          <w:rFonts w:cs="Arial"/>
          <w:sz w:val="20"/>
          <w:szCs w:val="20"/>
        </w:rPr>
        <w:t xml:space="preserve">. </w:t>
      </w:r>
      <w:hyperlink r:id="rId485" w:history="1">
        <w:r w:rsidR="004D4AD7" w:rsidRPr="00C72075">
          <w:rPr>
            <w:rStyle w:val="Hyperlink"/>
            <w:rFonts w:cs="Arial"/>
            <w:sz w:val="20"/>
            <w:szCs w:val="20"/>
          </w:rPr>
          <w:t>https://doi.org/10.1093/cid/cis296</w:t>
        </w:r>
      </w:hyperlink>
    </w:p>
    <w:p w14:paraId="042DFA7F" w14:textId="41A380B9" w:rsidR="00C829B1" w:rsidRPr="002F5E51" w:rsidRDefault="00285EF0" w:rsidP="00285EF0">
      <w:pPr>
        <w:pStyle w:val="CitaviBibliographyEntry"/>
        <w:spacing w:after="120"/>
        <w:ind w:left="0" w:firstLine="0"/>
        <w:rPr>
          <w:rFonts w:cs="Arial"/>
          <w:sz w:val="20"/>
          <w:szCs w:val="20"/>
        </w:rPr>
      </w:pPr>
      <w:bookmarkStart w:id="953" w:name="_CTVL001142231c9fb65447da6abdd97ab0123e9"/>
      <w:bookmarkEnd w:id="952"/>
      <w:r w:rsidRPr="002F5E51">
        <w:rPr>
          <w:rFonts w:cs="Arial"/>
          <w:sz w:val="20"/>
          <w:szCs w:val="20"/>
        </w:rPr>
        <w:t>Made D, Trubner K, Neubert E, Hohne M, Johne R (2013) Detection and typing of norovirus from frozen strawberries involved in a large-scale gastroenteritis outbreak in Germany. Food and Environmental Virology 5:162–168</w:t>
      </w:r>
      <w:r w:rsidR="004D4AD7">
        <w:rPr>
          <w:rFonts w:cs="Arial"/>
          <w:sz w:val="20"/>
          <w:szCs w:val="20"/>
        </w:rPr>
        <w:t xml:space="preserve">. </w:t>
      </w:r>
      <w:hyperlink r:id="rId486" w:history="1">
        <w:r w:rsidR="00C829B1" w:rsidRPr="00C72075">
          <w:rPr>
            <w:rStyle w:val="Hyperlink"/>
            <w:rFonts w:cs="Arial"/>
            <w:sz w:val="20"/>
            <w:szCs w:val="20"/>
          </w:rPr>
          <w:t>https://doi.org/10.1007/s12560-013-9118-0</w:t>
        </w:r>
      </w:hyperlink>
    </w:p>
    <w:p w14:paraId="41869716" w14:textId="6FA12BA7" w:rsidR="00C829B1" w:rsidRPr="002F5E51" w:rsidRDefault="00285EF0" w:rsidP="00285EF0">
      <w:pPr>
        <w:pStyle w:val="CitaviBibliographyEntry"/>
        <w:spacing w:after="120"/>
        <w:ind w:left="0" w:firstLine="0"/>
        <w:rPr>
          <w:rFonts w:cs="Arial"/>
          <w:sz w:val="20"/>
          <w:szCs w:val="20"/>
        </w:rPr>
      </w:pPr>
      <w:bookmarkStart w:id="954" w:name="_CTVL001f0cfabf14bf74050bc74e0303384f376"/>
      <w:bookmarkEnd w:id="953"/>
      <w:r w:rsidRPr="002F5E51">
        <w:rPr>
          <w:rFonts w:cs="Arial"/>
          <w:sz w:val="20"/>
          <w:szCs w:val="20"/>
        </w:rPr>
        <w:t xml:space="preserve">Marder EP, Garman KN, Ingram LA, Dunn JR (2014) Multistate outbreak of </w:t>
      </w:r>
      <w:r w:rsidRPr="00C829B1">
        <w:rPr>
          <w:rFonts w:cs="Arial"/>
          <w:i/>
          <w:sz w:val="20"/>
          <w:szCs w:val="20"/>
        </w:rPr>
        <w:t>Escherichia coli</w:t>
      </w:r>
      <w:r w:rsidRPr="002F5E51">
        <w:rPr>
          <w:rFonts w:cs="Arial"/>
          <w:sz w:val="20"/>
          <w:szCs w:val="20"/>
        </w:rPr>
        <w:t xml:space="preserve"> O157:H7 associated with bagged salad. Foodborne Pathogens and Disease 11:593–595</w:t>
      </w:r>
      <w:r w:rsidR="00C829B1">
        <w:rPr>
          <w:rFonts w:cs="Arial"/>
          <w:sz w:val="20"/>
          <w:szCs w:val="20"/>
        </w:rPr>
        <w:t xml:space="preserve">. </w:t>
      </w:r>
      <w:hyperlink r:id="rId487" w:history="1">
        <w:r w:rsidR="00C829B1" w:rsidRPr="00C72075">
          <w:rPr>
            <w:rStyle w:val="Hyperlink"/>
            <w:rFonts w:cs="Arial"/>
            <w:sz w:val="20"/>
            <w:szCs w:val="20"/>
          </w:rPr>
          <w:t>https://doi.org/10.1089/fpd.2013.1726</w:t>
        </w:r>
      </w:hyperlink>
    </w:p>
    <w:p w14:paraId="2FE7DDAE" w14:textId="234EEF2F" w:rsidR="00C829B1" w:rsidRPr="002F5E51" w:rsidRDefault="00285EF0" w:rsidP="00285EF0">
      <w:pPr>
        <w:pStyle w:val="CitaviBibliographyEntry"/>
        <w:spacing w:after="120"/>
        <w:ind w:left="0" w:firstLine="0"/>
        <w:rPr>
          <w:rFonts w:cs="Arial"/>
          <w:sz w:val="20"/>
          <w:szCs w:val="20"/>
        </w:rPr>
      </w:pPr>
      <w:bookmarkStart w:id="955" w:name="_CTVL001ac630e222f2e496cbfb8770a67c94b27"/>
      <w:bookmarkEnd w:id="954"/>
      <w:r w:rsidRPr="002F5E51">
        <w:rPr>
          <w:rFonts w:cs="Arial"/>
          <w:sz w:val="20"/>
          <w:szCs w:val="20"/>
        </w:rPr>
        <w:t xml:space="preserve">Mba-Jonas A, Culpepper W, Hill T, Cantu V, Loera J, Borders J, Saathoff-Huber L, Nsubuga J, Zambrana I, Dalton S, Williams I, Neil KP (2018) A multistate outbreak of human </w:t>
      </w:r>
      <w:r w:rsidRPr="00C829B1">
        <w:rPr>
          <w:rFonts w:cs="Arial"/>
          <w:i/>
          <w:sz w:val="20"/>
          <w:szCs w:val="20"/>
        </w:rPr>
        <w:t>Salmonella</w:t>
      </w:r>
      <w:r w:rsidRPr="002F5E51">
        <w:rPr>
          <w:rFonts w:cs="Arial"/>
          <w:sz w:val="20"/>
          <w:szCs w:val="20"/>
        </w:rPr>
        <w:t xml:space="preserve"> Agona infections associated with consumption of fresh, whole papayas imported from Mexico-United States, 2011. Clinical Infectious Diseases 66:1756–1761</w:t>
      </w:r>
      <w:r w:rsidR="00C829B1">
        <w:rPr>
          <w:rFonts w:cs="Arial"/>
          <w:sz w:val="20"/>
          <w:szCs w:val="20"/>
        </w:rPr>
        <w:t xml:space="preserve">. </w:t>
      </w:r>
      <w:hyperlink r:id="rId488" w:history="1">
        <w:r w:rsidR="00C829B1" w:rsidRPr="00C72075">
          <w:rPr>
            <w:rStyle w:val="Hyperlink"/>
            <w:rFonts w:cs="Arial"/>
            <w:sz w:val="20"/>
            <w:szCs w:val="20"/>
          </w:rPr>
          <w:t>https://doi.org/10.1093/cid/cix1094</w:t>
        </w:r>
      </w:hyperlink>
    </w:p>
    <w:p w14:paraId="0645DC3F" w14:textId="77777777" w:rsidR="00285EF0" w:rsidRPr="002F5E51" w:rsidRDefault="00285EF0" w:rsidP="00285EF0">
      <w:pPr>
        <w:pStyle w:val="CitaviBibliographyEntry"/>
        <w:spacing w:after="120"/>
        <w:ind w:left="0" w:firstLine="0"/>
        <w:rPr>
          <w:rFonts w:cs="Arial"/>
          <w:sz w:val="20"/>
          <w:szCs w:val="20"/>
        </w:rPr>
      </w:pPr>
      <w:bookmarkStart w:id="956" w:name="_CTVL00157c3e398d60d41548366e7f1bc75d738"/>
      <w:bookmarkEnd w:id="955"/>
      <w:r w:rsidRPr="002F5E51">
        <w:rPr>
          <w:rFonts w:cs="Arial"/>
          <w:sz w:val="20"/>
          <w:szCs w:val="20"/>
        </w:rPr>
        <w:t xml:space="preserve">McCallum L, Torok M, Dufour MT, Hall A, Cramp G (2010) An outbreak of </w:t>
      </w:r>
      <w:r w:rsidRPr="00C829B1">
        <w:rPr>
          <w:rFonts w:cs="Arial"/>
          <w:i/>
          <w:sz w:val="20"/>
          <w:szCs w:val="20"/>
        </w:rPr>
        <w:t>Salmonella</w:t>
      </w:r>
      <w:r w:rsidRPr="002F5E51">
        <w:rPr>
          <w:rFonts w:cs="Arial"/>
          <w:sz w:val="20"/>
          <w:szCs w:val="20"/>
        </w:rPr>
        <w:t xml:space="preserve"> typhimurium phage type 1 associated with watermelon in Gisborne, January 2009. The New Zealand Medical Journal 123:39–45</w:t>
      </w:r>
    </w:p>
    <w:p w14:paraId="3075CF50" w14:textId="37DE70B8" w:rsidR="00C829B1" w:rsidRPr="002F5E51" w:rsidRDefault="00285EF0" w:rsidP="00285EF0">
      <w:pPr>
        <w:pStyle w:val="CitaviBibliographyEntry"/>
        <w:spacing w:after="120"/>
        <w:ind w:left="0" w:firstLine="0"/>
        <w:rPr>
          <w:rFonts w:cs="Arial"/>
          <w:sz w:val="20"/>
          <w:szCs w:val="20"/>
        </w:rPr>
      </w:pPr>
      <w:bookmarkStart w:id="957" w:name="_CTVL001107776b2001b48f1aa6708658a2aba77"/>
      <w:bookmarkEnd w:id="956"/>
      <w:r w:rsidRPr="002F5E51">
        <w:rPr>
          <w:rFonts w:cs="Arial"/>
          <w:sz w:val="20"/>
          <w:szCs w:val="20"/>
        </w:rPr>
        <w:t>Miller BD, Rigdon CE, Robinson TJ, Hedberg C, Smith KE (2013) Use of global trade item numbers in the investigation o</w:t>
      </w:r>
      <w:r w:rsidR="00C829B1">
        <w:rPr>
          <w:rFonts w:cs="Arial"/>
          <w:sz w:val="20"/>
          <w:szCs w:val="20"/>
        </w:rPr>
        <w:t xml:space="preserve">f a </w:t>
      </w:r>
      <w:r w:rsidR="00C829B1" w:rsidRPr="00C829B1">
        <w:rPr>
          <w:rFonts w:cs="Arial"/>
          <w:i/>
          <w:sz w:val="20"/>
          <w:szCs w:val="20"/>
        </w:rPr>
        <w:t>S</w:t>
      </w:r>
      <w:r w:rsidRPr="00C829B1">
        <w:rPr>
          <w:rFonts w:cs="Arial"/>
          <w:i/>
          <w:sz w:val="20"/>
          <w:szCs w:val="20"/>
        </w:rPr>
        <w:t>almonella</w:t>
      </w:r>
      <w:r w:rsidR="00C829B1">
        <w:rPr>
          <w:rFonts w:cs="Arial"/>
          <w:sz w:val="20"/>
          <w:szCs w:val="20"/>
        </w:rPr>
        <w:t xml:space="preserve"> N</w:t>
      </w:r>
      <w:r w:rsidRPr="002F5E51">
        <w:rPr>
          <w:rFonts w:cs="Arial"/>
          <w:sz w:val="20"/>
          <w:szCs w:val="20"/>
        </w:rPr>
        <w:t>ewport outbreak associated with blueberries in Minnesota, 2010. Journal of Food Protection 76:762–769</w:t>
      </w:r>
      <w:r w:rsidR="00C829B1">
        <w:rPr>
          <w:rFonts w:cs="Arial"/>
          <w:sz w:val="20"/>
          <w:szCs w:val="20"/>
        </w:rPr>
        <w:t xml:space="preserve">. </w:t>
      </w:r>
      <w:hyperlink r:id="rId489" w:history="1">
        <w:r w:rsidR="00C829B1" w:rsidRPr="00C72075">
          <w:rPr>
            <w:rStyle w:val="Hyperlink"/>
            <w:rFonts w:cs="Arial"/>
            <w:sz w:val="20"/>
            <w:szCs w:val="20"/>
          </w:rPr>
          <w:t>https://doi.org/10.4315/0362-028X.JFP-12-407</w:t>
        </w:r>
      </w:hyperlink>
    </w:p>
    <w:p w14:paraId="669BBFBE" w14:textId="77777777" w:rsidR="00DD6999" w:rsidRDefault="00DD6999">
      <w:pPr>
        <w:widowControl/>
        <w:rPr>
          <w:rFonts w:cs="Arial"/>
          <w:color w:val="000000" w:themeColor="text1"/>
          <w:sz w:val="20"/>
          <w:szCs w:val="20"/>
        </w:rPr>
      </w:pPr>
      <w:bookmarkStart w:id="958" w:name="_CTVL001952026416e0042ba8d1cd54a637ad398"/>
      <w:bookmarkEnd w:id="957"/>
      <w:r>
        <w:rPr>
          <w:rFonts w:cs="Arial"/>
          <w:sz w:val="20"/>
          <w:szCs w:val="20"/>
        </w:rPr>
        <w:br w:type="page"/>
      </w:r>
    </w:p>
    <w:p w14:paraId="1D29058B" w14:textId="6F9FF58B" w:rsidR="003C21C2" w:rsidRPr="002F5E51" w:rsidRDefault="00285EF0" w:rsidP="00285EF0">
      <w:pPr>
        <w:pStyle w:val="CitaviBibliographyEntry"/>
        <w:spacing w:after="120"/>
        <w:ind w:left="0" w:firstLine="0"/>
        <w:rPr>
          <w:rFonts w:cs="Arial"/>
          <w:sz w:val="20"/>
          <w:szCs w:val="20"/>
        </w:rPr>
      </w:pPr>
      <w:r w:rsidRPr="002F5E51">
        <w:rPr>
          <w:rFonts w:cs="Arial"/>
          <w:sz w:val="20"/>
          <w:szCs w:val="20"/>
        </w:rPr>
        <w:t>Mollers M, Boxman ILA, Vennema H, Slegers-Fitz-James IA, Brandwagt D, Friesema IH, Batstra JS, Wierik MJMt (2018) Successful use of advertisement pictures to assist recall in a food-borne hepatitis A outbreak in the Netherlands, 2017. Food and Environmental Virology 10:272–277</w:t>
      </w:r>
      <w:r w:rsidR="003C21C2">
        <w:rPr>
          <w:rFonts w:cs="Arial"/>
          <w:sz w:val="20"/>
          <w:szCs w:val="20"/>
        </w:rPr>
        <w:t xml:space="preserve">. </w:t>
      </w:r>
      <w:hyperlink r:id="rId490" w:history="1">
        <w:r w:rsidR="003C21C2" w:rsidRPr="00C72075">
          <w:rPr>
            <w:rStyle w:val="Hyperlink"/>
            <w:rFonts w:cs="Arial"/>
            <w:sz w:val="20"/>
            <w:szCs w:val="20"/>
          </w:rPr>
          <w:t>https://doi.org/10.1007/s12560-018-9347-3</w:t>
        </w:r>
      </w:hyperlink>
    </w:p>
    <w:p w14:paraId="62A83070" w14:textId="69F30A34" w:rsidR="003C21C2" w:rsidRPr="002F5E51" w:rsidRDefault="00285EF0" w:rsidP="00285EF0">
      <w:pPr>
        <w:pStyle w:val="CitaviBibliographyEntry"/>
        <w:spacing w:after="120"/>
        <w:ind w:left="0" w:firstLine="0"/>
        <w:rPr>
          <w:rFonts w:cs="Arial"/>
          <w:sz w:val="20"/>
          <w:szCs w:val="20"/>
        </w:rPr>
      </w:pPr>
      <w:bookmarkStart w:id="959" w:name="_CTVL0019f257b11242b47c290cfd2e8e9f8f15c"/>
      <w:bookmarkEnd w:id="958"/>
      <w:r w:rsidRPr="002F5E51">
        <w:rPr>
          <w:rFonts w:cs="Arial"/>
          <w:sz w:val="20"/>
          <w:szCs w:val="20"/>
        </w:rPr>
        <w:t>Muller L, Schultz AC, Fonager J, Jensen T, Lisby M, Hindsdal K, Krusell L, Eshoj A, Moller LT, Porsbo LJ, Bottiger BE, Kuhn K, Engberg J, Ethelberg S (2015) Separate norovirus outbreaks linked to one source of imported frozen raspberries by molecular analysis, Denmark, 2010-2011. Epidemiology and Infection 143:2299–2307</w:t>
      </w:r>
      <w:r w:rsidR="003C21C2">
        <w:rPr>
          <w:rFonts w:cs="Arial"/>
          <w:sz w:val="20"/>
          <w:szCs w:val="20"/>
        </w:rPr>
        <w:t xml:space="preserve">. </w:t>
      </w:r>
      <w:hyperlink r:id="rId491" w:history="1">
        <w:r w:rsidR="003C21C2" w:rsidRPr="00C72075">
          <w:rPr>
            <w:rStyle w:val="Hyperlink"/>
            <w:rFonts w:cs="Arial"/>
            <w:sz w:val="20"/>
            <w:szCs w:val="20"/>
          </w:rPr>
          <w:t>https://doi.org/10.1017/S0950268814003409</w:t>
        </w:r>
      </w:hyperlink>
    </w:p>
    <w:p w14:paraId="33075CF2" w14:textId="1823E5D5" w:rsidR="004279C7" w:rsidRPr="002F5E51" w:rsidRDefault="00285EF0" w:rsidP="00285EF0">
      <w:pPr>
        <w:pStyle w:val="CitaviBibliographyEntry"/>
        <w:spacing w:after="120"/>
        <w:ind w:left="0" w:firstLine="0"/>
        <w:rPr>
          <w:rFonts w:cs="Arial"/>
          <w:sz w:val="20"/>
          <w:szCs w:val="20"/>
        </w:rPr>
      </w:pPr>
      <w:bookmarkStart w:id="960" w:name="_CTVL001a85a7b8371fc4c37aac82a1a80217fed"/>
      <w:bookmarkEnd w:id="959"/>
      <w:r w:rsidRPr="002F5E51">
        <w:rPr>
          <w:rFonts w:cs="Arial"/>
          <w:sz w:val="20"/>
          <w:szCs w:val="20"/>
        </w:rPr>
        <w:t xml:space="preserve">Muller L, Kjelso C, Frank C, Jensen T, Torpdahl M, Soborg B, Dorleans F, Rabsch W, Prager R, Gossner CM, Ethelberg S (2016) Outbreak of </w:t>
      </w:r>
      <w:r w:rsidRPr="0071510D">
        <w:rPr>
          <w:rFonts w:cs="Arial"/>
          <w:i/>
          <w:sz w:val="20"/>
          <w:szCs w:val="20"/>
        </w:rPr>
        <w:t>Salmonella</w:t>
      </w:r>
      <w:r w:rsidR="0071510D">
        <w:rPr>
          <w:rFonts w:cs="Arial"/>
          <w:sz w:val="20"/>
          <w:szCs w:val="20"/>
        </w:rPr>
        <w:t> </w:t>
      </w:r>
      <w:r w:rsidRPr="002F5E51">
        <w:rPr>
          <w:rFonts w:cs="Arial"/>
          <w:sz w:val="20"/>
          <w:szCs w:val="20"/>
        </w:rPr>
        <w:t>Strathcona caused by datterino tomatoes, Denmark, 2011. Epidemiology and Infection 144:2802–2811</w:t>
      </w:r>
      <w:r w:rsidR="003C21C2">
        <w:rPr>
          <w:rFonts w:cs="Arial"/>
          <w:sz w:val="20"/>
          <w:szCs w:val="20"/>
        </w:rPr>
        <w:t xml:space="preserve">. </w:t>
      </w:r>
      <w:hyperlink r:id="rId492" w:history="1">
        <w:r w:rsidR="004279C7" w:rsidRPr="00C72075">
          <w:rPr>
            <w:rStyle w:val="Hyperlink"/>
            <w:rFonts w:cs="Arial"/>
            <w:sz w:val="20"/>
            <w:szCs w:val="20"/>
          </w:rPr>
          <w:t>https://doi.org/10.1017/S0950268816000121</w:t>
        </w:r>
      </w:hyperlink>
    </w:p>
    <w:p w14:paraId="79CBF6CC" w14:textId="3E8FD0D9" w:rsidR="004279C7" w:rsidRPr="002F5E51" w:rsidRDefault="00285EF0" w:rsidP="00285EF0">
      <w:pPr>
        <w:pStyle w:val="CitaviBibliographyEntry"/>
        <w:spacing w:after="120"/>
        <w:ind w:left="0" w:firstLine="0"/>
        <w:rPr>
          <w:rFonts w:cs="Arial"/>
          <w:sz w:val="20"/>
          <w:szCs w:val="20"/>
        </w:rPr>
      </w:pPr>
      <w:bookmarkStart w:id="961" w:name="_CTVL0014fb925d1b725496892bea5897431f847"/>
      <w:bookmarkEnd w:id="960"/>
      <w:r w:rsidRPr="002F5E51">
        <w:rPr>
          <w:rFonts w:cs="Arial"/>
          <w:sz w:val="20"/>
          <w:szCs w:val="20"/>
        </w:rPr>
        <w:t>Müller L, Rasmussen LD, Jensen T, Schultz AC, Kjelsø C, Barnadas C, Sigsgaard K, Larsen AR, Widstrup Jensen C, Jeppesen S, Uhrbrand K, Hove N, Mølbak K, Ethelberg S (2016) Series of norovirus outbreaks caused by consumption of green coral lettuce, Denmark, April 2016. PLoS Curr 8</w:t>
      </w:r>
    </w:p>
    <w:p w14:paraId="4FDD6921" w14:textId="26D26EF5" w:rsidR="004279C7" w:rsidRPr="002F5E51" w:rsidRDefault="00285EF0" w:rsidP="00285EF0">
      <w:pPr>
        <w:pStyle w:val="CitaviBibliographyEntry"/>
        <w:spacing w:after="120"/>
        <w:ind w:left="0" w:firstLine="0"/>
        <w:rPr>
          <w:rFonts w:cs="Arial"/>
          <w:sz w:val="20"/>
          <w:szCs w:val="20"/>
        </w:rPr>
      </w:pPr>
      <w:bookmarkStart w:id="962" w:name="_CTVL001f1d45236f70b4bc68c22d3fafce6b316"/>
      <w:bookmarkEnd w:id="961"/>
      <w:r w:rsidRPr="002F5E51">
        <w:rPr>
          <w:rFonts w:cs="Arial"/>
          <w:sz w:val="20"/>
          <w:szCs w:val="20"/>
        </w:rPr>
        <w:t>Nordic Outbreak Investigation Team (2013) Joint analysis by the Nordic countries of a hepatitis A outbreak, October 2012 to June 2013: Frozen strawberries suspected. Eurosurveillance 18:20520</w:t>
      </w:r>
      <w:r w:rsidR="004279C7">
        <w:rPr>
          <w:rFonts w:cs="Arial"/>
          <w:sz w:val="20"/>
          <w:szCs w:val="20"/>
        </w:rPr>
        <w:t xml:space="preserve">. </w:t>
      </w:r>
      <w:hyperlink r:id="rId493" w:history="1">
        <w:r w:rsidR="004279C7" w:rsidRPr="00C72075">
          <w:rPr>
            <w:rStyle w:val="Hyperlink"/>
            <w:rFonts w:cs="Arial"/>
            <w:sz w:val="20"/>
            <w:szCs w:val="20"/>
          </w:rPr>
          <w:t>https://doi.org/10.2807/1560-7917.es2013.18.27.20520</w:t>
        </w:r>
      </w:hyperlink>
    </w:p>
    <w:p w14:paraId="483ADA01" w14:textId="77777777" w:rsidR="00285EF0" w:rsidRPr="002F5E51" w:rsidRDefault="00285EF0" w:rsidP="00285EF0">
      <w:pPr>
        <w:pStyle w:val="CitaviBibliographyEntry"/>
        <w:spacing w:after="120"/>
        <w:ind w:left="0" w:firstLine="0"/>
        <w:rPr>
          <w:rFonts w:cs="Arial"/>
          <w:sz w:val="20"/>
          <w:szCs w:val="20"/>
        </w:rPr>
      </w:pPr>
      <w:bookmarkStart w:id="963" w:name="_CTVL0013efdefb5ae0047e3a4446c1e89f10f10"/>
      <w:bookmarkEnd w:id="962"/>
      <w:r w:rsidRPr="002F5E51">
        <w:rPr>
          <w:rFonts w:cs="Arial"/>
          <w:sz w:val="20"/>
          <w:szCs w:val="20"/>
        </w:rPr>
        <w:t xml:space="preserve">Public Health Agency of Canada (2016) Public Health Notice Update – Outbreak of Listeria infections linked to packaged salad products produced at the Dole processing facility in Springfield, Ohio. </w:t>
      </w:r>
      <w:hyperlink r:id="rId494" w:history="1">
        <w:r w:rsidRPr="002F5E51">
          <w:rPr>
            <w:rStyle w:val="Hyperlink"/>
            <w:rFonts w:cs="Arial"/>
            <w:sz w:val="20"/>
            <w:szCs w:val="20"/>
          </w:rPr>
          <w:t>https://www.canada.ca/en/public-health/services/public-health-notices/2016/public-health-notice-update-outbreak-listeria-infections-linked-packaged-salad-products-produced-dole-processing-facility-springfield-ohio.html</w:t>
        </w:r>
      </w:hyperlink>
      <w:r w:rsidRPr="002F5E51">
        <w:rPr>
          <w:rFonts w:cs="Arial"/>
          <w:sz w:val="20"/>
          <w:szCs w:val="20"/>
        </w:rPr>
        <w:t>. Accessed 15 November 2019</w:t>
      </w:r>
    </w:p>
    <w:p w14:paraId="14CA38CD" w14:textId="77777777" w:rsidR="00285EF0" w:rsidRPr="002F5E51" w:rsidRDefault="00285EF0" w:rsidP="00285EF0">
      <w:pPr>
        <w:pStyle w:val="CitaviBibliographyEntry"/>
        <w:spacing w:after="120"/>
        <w:ind w:left="0" w:firstLine="0"/>
        <w:rPr>
          <w:rFonts w:cs="Arial"/>
          <w:sz w:val="20"/>
          <w:szCs w:val="20"/>
        </w:rPr>
      </w:pPr>
      <w:bookmarkStart w:id="964" w:name="_CTVL001a01c881528ba409dbf81cf70c75e4c61"/>
      <w:bookmarkEnd w:id="963"/>
      <w:r w:rsidRPr="002F5E51">
        <w:rPr>
          <w:rFonts w:cs="Arial"/>
          <w:sz w:val="20"/>
          <w:szCs w:val="20"/>
        </w:rPr>
        <w:t xml:space="preserve">Public Health Agency of Canada (2018) Public Health Notice – Outbreak of </w:t>
      </w:r>
      <w:bookmarkEnd w:id="964"/>
      <w:r w:rsidRPr="002F5E51">
        <w:rPr>
          <w:rFonts w:cs="Arial"/>
          <w:i/>
          <w:sz w:val="20"/>
          <w:szCs w:val="20"/>
        </w:rPr>
        <w:t xml:space="preserve">E. coli </w:t>
      </w:r>
      <w:r w:rsidRPr="002F5E51">
        <w:rPr>
          <w:rFonts w:cs="Arial"/>
          <w:sz w:val="20"/>
          <w:szCs w:val="20"/>
        </w:rPr>
        <w:t xml:space="preserve">infections linked to romaine lettuce: June 22, 2018 - Final Update. </w:t>
      </w:r>
      <w:hyperlink r:id="rId495" w:history="1">
        <w:r w:rsidRPr="002F5E51">
          <w:rPr>
            <w:rStyle w:val="Hyperlink"/>
            <w:rFonts w:cs="Arial"/>
            <w:sz w:val="20"/>
            <w:szCs w:val="20"/>
          </w:rPr>
          <w:t>https://www.canada.ca/en/public-health/services/public-health-notices/2018/public-health-notice-outbreak-e-coli-infections-linked-romaine-lettuce.html</w:t>
        </w:r>
      </w:hyperlink>
      <w:r w:rsidRPr="002F5E51">
        <w:rPr>
          <w:rFonts w:cs="Arial"/>
          <w:sz w:val="20"/>
          <w:szCs w:val="20"/>
        </w:rPr>
        <w:t>. Accessed 15 November 2019</w:t>
      </w:r>
    </w:p>
    <w:p w14:paraId="2CF1BB2F" w14:textId="7D9B265B" w:rsidR="00285EF0" w:rsidRPr="002F5E51" w:rsidRDefault="00285EF0" w:rsidP="00285EF0">
      <w:pPr>
        <w:pStyle w:val="CitaviBibliographyEntry"/>
        <w:spacing w:after="120"/>
        <w:ind w:left="0" w:firstLine="0"/>
        <w:rPr>
          <w:rFonts w:cs="Arial"/>
          <w:sz w:val="20"/>
          <w:szCs w:val="20"/>
        </w:rPr>
      </w:pPr>
      <w:bookmarkStart w:id="965" w:name="_CTVL001a8065198e5e34f51872deb6f4c221d1d"/>
      <w:r w:rsidRPr="002F5E51">
        <w:rPr>
          <w:rFonts w:cs="Arial"/>
          <w:sz w:val="20"/>
          <w:szCs w:val="20"/>
        </w:rPr>
        <w:t xml:space="preserve">Public Health Agency of Canada (2019) Public Health Notice - Outbreak of </w:t>
      </w:r>
      <w:bookmarkEnd w:id="965"/>
      <w:r w:rsidRPr="002F5E51">
        <w:rPr>
          <w:rFonts w:cs="Arial"/>
          <w:i/>
          <w:sz w:val="20"/>
          <w:szCs w:val="20"/>
        </w:rPr>
        <w:t xml:space="preserve">E. coli </w:t>
      </w:r>
      <w:r w:rsidRPr="002F5E51">
        <w:rPr>
          <w:rFonts w:cs="Arial"/>
          <w:sz w:val="20"/>
          <w:szCs w:val="20"/>
        </w:rPr>
        <w:t xml:space="preserve">infections linked to romaine lettuce: January 11, 2019 - Final Update. </w:t>
      </w:r>
      <w:hyperlink r:id="rId496" w:history="1">
        <w:r w:rsidRPr="002F5E51">
          <w:rPr>
            <w:rStyle w:val="Hyperlink"/>
            <w:rFonts w:cs="Arial"/>
            <w:sz w:val="20"/>
            <w:szCs w:val="20"/>
          </w:rPr>
          <w:t>https://www.canada.ca/en/public-health/services/public-health-notices/2018/outbreak-ecoli-infections-linked-romaine-lettuce.html</w:t>
        </w:r>
      </w:hyperlink>
      <w:r w:rsidR="00DD6999">
        <w:rPr>
          <w:rFonts w:cs="Arial"/>
          <w:sz w:val="20"/>
          <w:szCs w:val="20"/>
        </w:rPr>
        <w:t>. Accessed 15 November </w:t>
      </w:r>
      <w:r w:rsidRPr="002F5E51">
        <w:rPr>
          <w:rFonts w:cs="Arial"/>
          <w:sz w:val="20"/>
          <w:szCs w:val="20"/>
        </w:rPr>
        <w:t>2019</w:t>
      </w:r>
    </w:p>
    <w:p w14:paraId="51BD4E34" w14:textId="16D6E583" w:rsidR="004279C7" w:rsidRPr="002F5E51" w:rsidRDefault="00285EF0" w:rsidP="00285EF0">
      <w:pPr>
        <w:pStyle w:val="CitaviBibliographyEntry"/>
        <w:spacing w:after="120"/>
        <w:ind w:left="0" w:firstLine="0"/>
        <w:rPr>
          <w:rFonts w:cs="Arial"/>
          <w:sz w:val="20"/>
          <w:szCs w:val="20"/>
        </w:rPr>
      </w:pPr>
      <w:bookmarkStart w:id="966" w:name="_CTVL0013989272eca16440db302843daecfabc1"/>
      <w:r w:rsidRPr="002F5E51">
        <w:rPr>
          <w:rFonts w:cs="Arial"/>
          <w:sz w:val="20"/>
          <w:szCs w:val="20"/>
        </w:rPr>
        <w:t>Scavia G, Alfonsi V, Taffon S, Escher M, Bruni R, Medici Dd, Di Pasquale S, Guizzardi S, Cappelletti B, Iannazzo S, Losio NM, Pavoni E, Decastelli L, Ciccaglione AR, Equestre M, Tosti ME, Rizzo C (2017) A large prolonged outbreak of hepatitis A associated with consumption of frozen berries, Italy, 2013-14. Journal of Medical Microbiology 66:342–349</w:t>
      </w:r>
      <w:r w:rsidR="004279C7">
        <w:rPr>
          <w:rFonts w:cs="Arial"/>
          <w:sz w:val="20"/>
          <w:szCs w:val="20"/>
        </w:rPr>
        <w:t xml:space="preserve">. </w:t>
      </w:r>
      <w:hyperlink r:id="rId497" w:history="1">
        <w:r w:rsidR="004279C7" w:rsidRPr="00C72075">
          <w:rPr>
            <w:rStyle w:val="Hyperlink"/>
            <w:rFonts w:cs="Arial"/>
            <w:sz w:val="20"/>
            <w:szCs w:val="20"/>
          </w:rPr>
          <w:t>https://doi.org/10.1099/jmm.0.000433</w:t>
        </w:r>
      </w:hyperlink>
    </w:p>
    <w:p w14:paraId="28706876" w14:textId="77777777" w:rsidR="00285EF0" w:rsidRPr="002F5E51" w:rsidRDefault="00285EF0" w:rsidP="00285EF0">
      <w:pPr>
        <w:pStyle w:val="CitaviBibliographyEntry"/>
        <w:spacing w:after="120"/>
        <w:ind w:left="0" w:firstLine="0"/>
        <w:rPr>
          <w:rFonts w:cs="Arial"/>
          <w:sz w:val="20"/>
          <w:szCs w:val="20"/>
        </w:rPr>
      </w:pPr>
      <w:bookmarkStart w:id="967" w:name="_CTVL00158587555a7cf40a988b404828309789a"/>
      <w:bookmarkEnd w:id="966"/>
      <w:r w:rsidRPr="002F5E51">
        <w:rPr>
          <w:rFonts w:cs="Arial"/>
          <w:sz w:val="20"/>
          <w:szCs w:val="20"/>
        </w:rPr>
        <w:t>Self JL, Conrad A, Stroika S, Jackson A, Burnworth L, Beal J, Wellman A, Jackson KA, Bidol S, Gerhardt T, Hamel M, Fran</w:t>
      </w:r>
      <w:r>
        <w:rPr>
          <w:rFonts w:cs="Arial"/>
          <w:sz w:val="20"/>
          <w:szCs w:val="20"/>
        </w:rPr>
        <w:t>klin K, Kopko C, Kirsch P, Wise </w:t>
      </w:r>
      <w:r w:rsidRPr="002F5E51">
        <w:rPr>
          <w:rFonts w:cs="Arial"/>
          <w:sz w:val="20"/>
          <w:szCs w:val="20"/>
        </w:rPr>
        <w:t>ME, Basler C (2016) Notes from the field: Outbreak of listeriosis associated with consumption of packaged salad - United States and Canada, 2015-2016. Morbidity and Mortality Weekly Report 65:879–881</w:t>
      </w:r>
    </w:p>
    <w:p w14:paraId="7AA626DB" w14:textId="494F6C64" w:rsidR="004279C7" w:rsidRPr="002F5E51" w:rsidRDefault="00285EF0" w:rsidP="00285EF0">
      <w:pPr>
        <w:pStyle w:val="CitaviBibliographyEntry"/>
        <w:spacing w:after="120"/>
        <w:ind w:left="0" w:firstLine="0"/>
        <w:rPr>
          <w:rFonts w:cs="Arial"/>
          <w:sz w:val="20"/>
          <w:szCs w:val="20"/>
        </w:rPr>
      </w:pPr>
      <w:bookmarkStart w:id="968" w:name="_CTVL001a271d18c7abc47e397113640f38572d9"/>
      <w:bookmarkEnd w:id="967"/>
      <w:r w:rsidRPr="002F5E51">
        <w:rPr>
          <w:rFonts w:cs="Arial"/>
          <w:sz w:val="20"/>
          <w:szCs w:val="20"/>
        </w:rPr>
        <w:t>Self JL, Conrad A, Stroika S, Jackson A, Whitlock L, Jackson KA, Beal J, Wellman A, Fatica MK, Bidol S, Huth PP, Hamel M,</w:t>
      </w:r>
      <w:r>
        <w:rPr>
          <w:rFonts w:cs="Arial"/>
          <w:sz w:val="20"/>
          <w:szCs w:val="20"/>
        </w:rPr>
        <w:t xml:space="preserve"> Franklin K, Tschetter L, Kopko </w:t>
      </w:r>
      <w:r w:rsidRPr="002F5E51">
        <w:rPr>
          <w:rFonts w:cs="Arial"/>
          <w:sz w:val="20"/>
          <w:szCs w:val="20"/>
        </w:rPr>
        <w:t>C, Kirsch P, Wise ME, Basler C (2019) Multistate outbreak of listeriosis associated with packaged leafy green salads, United States and Canada, 2015-2016. Emerging Infectious Diseases 25:1461–1468</w:t>
      </w:r>
      <w:r w:rsidR="004279C7">
        <w:rPr>
          <w:rFonts w:cs="Arial"/>
          <w:sz w:val="20"/>
          <w:szCs w:val="20"/>
        </w:rPr>
        <w:t xml:space="preserve">. </w:t>
      </w:r>
      <w:hyperlink r:id="rId498" w:history="1">
        <w:r w:rsidR="004279C7" w:rsidRPr="00C72075">
          <w:rPr>
            <w:rStyle w:val="Hyperlink"/>
            <w:rFonts w:cs="Arial"/>
            <w:sz w:val="20"/>
            <w:szCs w:val="20"/>
          </w:rPr>
          <w:t>https://doi.org/10.3201/eid2508.180761</w:t>
        </w:r>
      </w:hyperlink>
    </w:p>
    <w:p w14:paraId="347EF3AA" w14:textId="1210DAD1" w:rsidR="004279C7" w:rsidRPr="002F5E51" w:rsidRDefault="00285EF0" w:rsidP="00285EF0">
      <w:pPr>
        <w:pStyle w:val="CitaviBibliographyEntry"/>
        <w:spacing w:after="120"/>
        <w:ind w:left="0" w:firstLine="0"/>
        <w:rPr>
          <w:rFonts w:cs="Arial"/>
          <w:sz w:val="20"/>
          <w:szCs w:val="20"/>
        </w:rPr>
      </w:pPr>
      <w:bookmarkStart w:id="969" w:name="_CTVL0017511e1d4c4fe44c7a7d5ff78adf00247"/>
      <w:bookmarkEnd w:id="968"/>
      <w:r w:rsidRPr="002F5E51">
        <w:rPr>
          <w:rFonts w:cs="Arial"/>
          <w:sz w:val="20"/>
          <w:szCs w:val="20"/>
        </w:rPr>
        <w:t>Severi E, Verhoef L, Thornton L, Guzman-Herrador BR, Faber M, Sundqvist L, Rimhanen-Finne R, Roque-Afonso AM, Ngui SL, Allerberger F, Baumann-Popczyk A, Muller L, Parmakova K, Alfonsi V, Tavoschi L, Vennema H, Fitzgerald M, Myrmel M, Gertler M, Ederth J, Kontio M, Vanbockstael C, Mandal S, Sadkowska-Todys M, Tosti ME, Schimmer B, O Gorman J, Stene-Johansen K, Wenzel JJ, Jones G, Balogun K, Ciccaglione AR, O Connor L, Vold L, Takkinen J, Rizzo C (2015) Large and prolonged food-borne multistate hepatitis A outbreak in Europe associated with consumption of frozen berries, 2013 to 2014. Eurosurveillance 20:21192</w:t>
      </w:r>
      <w:r w:rsidR="004279C7">
        <w:rPr>
          <w:rFonts w:cs="Arial"/>
          <w:sz w:val="20"/>
          <w:szCs w:val="20"/>
        </w:rPr>
        <w:t xml:space="preserve">. </w:t>
      </w:r>
      <w:hyperlink r:id="rId499" w:history="1">
        <w:r w:rsidR="004279C7" w:rsidRPr="00C72075">
          <w:rPr>
            <w:rStyle w:val="Hyperlink"/>
            <w:rFonts w:cs="Arial"/>
            <w:sz w:val="20"/>
            <w:szCs w:val="20"/>
          </w:rPr>
          <w:t>https://doi.org/10.2807/1560-7917.es2015.20.29.21192</w:t>
        </w:r>
      </w:hyperlink>
    </w:p>
    <w:p w14:paraId="07EF81DB" w14:textId="0B4AD12E" w:rsidR="004E7546" w:rsidRPr="002F5E51" w:rsidRDefault="00285EF0" w:rsidP="00285EF0">
      <w:pPr>
        <w:pStyle w:val="CitaviBibliographyEntry"/>
        <w:spacing w:after="120"/>
        <w:ind w:left="0" w:firstLine="0"/>
        <w:rPr>
          <w:rFonts w:cs="Arial"/>
          <w:sz w:val="20"/>
          <w:szCs w:val="20"/>
        </w:rPr>
      </w:pPr>
      <w:bookmarkStart w:id="970" w:name="_CTVL001d7440fcfe8f54bf0ac2ee859733d88da"/>
      <w:bookmarkEnd w:id="969"/>
      <w:r w:rsidRPr="002F5E51">
        <w:rPr>
          <w:rFonts w:cs="Arial"/>
          <w:sz w:val="20"/>
          <w:szCs w:val="20"/>
        </w:rPr>
        <w:t>Slayton RB, Turabelidze G, Bennett SD, Schwensohn CA, Yaffee AQ, Khan F, Butler C, Trees E, Ayers TL, Davis ML, Laufer AS, Gladbach S, Williams I, Gier</w:t>
      </w:r>
      <w:r w:rsidR="004E7546">
        <w:rPr>
          <w:rFonts w:cs="Arial"/>
          <w:sz w:val="20"/>
          <w:szCs w:val="20"/>
        </w:rPr>
        <w:t xml:space="preserve">altowski LB (2013) Outbreak of </w:t>
      </w:r>
      <w:r w:rsidR="00C56523">
        <w:rPr>
          <w:rFonts w:cs="Arial"/>
          <w:sz w:val="20"/>
          <w:szCs w:val="20"/>
        </w:rPr>
        <w:t>S</w:t>
      </w:r>
      <w:r w:rsidR="004E7546">
        <w:rPr>
          <w:rFonts w:cs="Arial"/>
          <w:sz w:val="20"/>
          <w:szCs w:val="20"/>
        </w:rPr>
        <w:t>higa toxin-p</w:t>
      </w:r>
      <w:r w:rsidRPr="002F5E51">
        <w:rPr>
          <w:rFonts w:cs="Arial"/>
          <w:sz w:val="20"/>
          <w:szCs w:val="20"/>
        </w:rPr>
        <w:t xml:space="preserve">roducing </w:t>
      </w:r>
      <w:r w:rsidRPr="004E7546">
        <w:rPr>
          <w:rFonts w:cs="Arial"/>
          <w:i/>
          <w:sz w:val="20"/>
          <w:szCs w:val="20"/>
        </w:rPr>
        <w:t>Escherichia col</w:t>
      </w:r>
      <w:r w:rsidRPr="002F5E51">
        <w:rPr>
          <w:rFonts w:cs="Arial"/>
          <w:sz w:val="20"/>
          <w:szCs w:val="20"/>
        </w:rPr>
        <w:t>i (STEC) O157:H7 associated with romaine lettuce consumption, 2011. PLoS ONE 8:1–6</w:t>
      </w:r>
      <w:r w:rsidR="004E7546">
        <w:rPr>
          <w:rFonts w:cs="Arial"/>
          <w:sz w:val="20"/>
          <w:szCs w:val="20"/>
        </w:rPr>
        <w:t xml:space="preserve">. </w:t>
      </w:r>
      <w:hyperlink r:id="rId500" w:history="1">
        <w:r w:rsidR="004E7546" w:rsidRPr="00C72075">
          <w:rPr>
            <w:rStyle w:val="Hyperlink"/>
            <w:rFonts w:cs="Arial"/>
            <w:sz w:val="20"/>
            <w:szCs w:val="20"/>
          </w:rPr>
          <w:t>https://doi.org/10.1371/journal.pone.0055300</w:t>
        </w:r>
      </w:hyperlink>
    </w:p>
    <w:p w14:paraId="73359FA4" w14:textId="480202DF" w:rsidR="00C56523" w:rsidRPr="002F5E51" w:rsidRDefault="00285EF0" w:rsidP="00285EF0">
      <w:pPr>
        <w:pStyle w:val="CitaviBibliographyEntry"/>
        <w:spacing w:after="120"/>
        <w:ind w:left="0" w:firstLine="0"/>
        <w:rPr>
          <w:rFonts w:cs="Arial"/>
          <w:sz w:val="20"/>
          <w:szCs w:val="20"/>
        </w:rPr>
      </w:pPr>
      <w:bookmarkStart w:id="971" w:name="_CTVL001f530b8a637464ee18c4908b5045e201e"/>
      <w:bookmarkEnd w:id="970"/>
      <w:r w:rsidRPr="002F5E51">
        <w:rPr>
          <w:rFonts w:cs="Arial"/>
          <w:sz w:val="20"/>
          <w:szCs w:val="20"/>
        </w:rPr>
        <w:t>Swinkels HM, Kuo M, Embree G, Andonov A, Henry B, Buxton JA (2014) Hepatitis A outbreak in British Columbia, Canada: The roles of established surveillance, consumer loyalty cards and collaboration, February to May 2012. Eurosurveillance 19:20792</w:t>
      </w:r>
      <w:r w:rsidR="00C56523">
        <w:rPr>
          <w:rFonts w:cs="Arial"/>
          <w:sz w:val="20"/>
          <w:szCs w:val="20"/>
        </w:rPr>
        <w:t xml:space="preserve">. </w:t>
      </w:r>
      <w:hyperlink r:id="rId501" w:history="1">
        <w:r w:rsidR="00C56523" w:rsidRPr="00C72075">
          <w:rPr>
            <w:rStyle w:val="Hyperlink"/>
            <w:rFonts w:cs="Arial"/>
            <w:sz w:val="20"/>
            <w:szCs w:val="20"/>
          </w:rPr>
          <w:t>https://doi.org/10.2807/1560-7917.ES2014.19.18.20792</w:t>
        </w:r>
      </w:hyperlink>
    </w:p>
    <w:p w14:paraId="747DDCB9" w14:textId="4865CD1D" w:rsidR="00C56523" w:rsidRPr="002F5E51" w:rsidRDefault="00285EF0" w:rsidP="00285EF0">
      <w:pPr>
        <w:pStyle w:val="CitaviBibliographyEntry"/>
        <w:spacing w:after="120"/>
        <w:ind w:left="0" w:firstLine="0"/>
        <w:rPr>
          <w:rFonts w:cs="Arial"/>
          <w:sz w:val="20"/>
          <w:szCs w:val="20"/>
        </w:rPr>
      </w:pPr>
      <w:bookmarkStart w:id="972" w:name="_CTVL0014d5cba6816434f54a404b148c71528d0"/>
      <w:bookmarkEnd w:id="971"/>
      <w:r w:rsidRPr="002F5E51">
        <w:rPr>
          <w:rFonts w:cs="Arial"/>
          <w:sz w:val="20"/>
          <w:szCs w:val="20"/>
        </w:rPr>
        <w:t xml:space="preserve">Taylor EV, Nguyen TA, Machesky KD, Koch E, Sotir MJ, Bohm SR, Folster JP, Bokanyi R, Kupper A, Bidol SA, Emanuel A, Arends KD, Johnson SA, Dunn J, Stroika S, Patel MK, Williams I (2013) Multistate outbreak of </w:t>
      </w:r>
      <w:r w:rsidRPr="00C56523">
        <w:rPr>
          <w:rFonts w:cs="Arial"/>
          <w:i/>
          <w:sz w:val="20"/>
          <w:szCs w:val="20"/>
        </w:rPr>
        <w:t>Escherichia coli</w:t>
      </w:r>
      <w:r w:rsidRPr="002F5E51">
        <w:rPr>
          <w:rFonts w:cs="Arial"/>
          <w:sz w:val="20"/>
          <w:szCs w:val="20"/>
        </w:rPr>
        <w:t xml:space="preserve"> O145 infections associated with romaine lettuce consumption, 2010. Journal of Food Protection 76:939–944</w:t>
      </w:r>
      <w:r w:rsidR="00C56523">
        <w:rPr>
          <w:rFonts w:cs="Arial"/>
          <w:sz w:val="20"/>
          <w:szCs w:val="20"/>
        </w:rPr>
        <w:t xml:space="preserve">. </w:t>
      </w:r>
      <w:hyperlink r:id="rId502" w:history="1">
        <w:r w:rsidR="00C56523" w:rsidRPr="00C72075">
          <w:rPr>
            <w:rStyle w:val="Hyperlink"/>
            <w:rFonts w:cs="Arial"/>
            <w:sz w:val="20"/>
            <w:szCs w:val="20"/>
          </w:rPr>
          <w:t>https://doi.org/10.4315/0362-028X.JFP-12-503</w:t>
        </w:r>
      </w:hyperlink>
    </w:p>
    <w:p w14:paraId="1B2E2242" w14:textId="4DE9048B" w:rsidR="00C56523" w:rsidRPr="002F5E51" w:rsidRDefault="00285EF0" w:rsidP="00285EF0">
      <w:pPr>
        <w:pStyle w:val="CitaviBibliographyEntry"/>
        <w:spacing w:after="120"/>
        <w:ind w:left="0" w:firstLine="0"/>
        <w:rPr>
          <w:rFonts w:cs="Arial"/>
          <w:sz w:val="20"/>
          <w:szCs w:val="20"/>
        </w:rPr>
      </w:pPr>
      <w:bookmarkStart w:id="973" w:name="_CTVL001a13ca0bf054341909f54580961b26ce6"/>
      <w:bookmarkEnd w:id="972"/>
      <w:r w:rsidRPr="002F5E51">
        <w:rPr>
          <w:rFonts w:cs="Arial"/>
          <w:sz w:val="20"/>
          <w:szCs w:val="20"/>
        </w:rPr>
        <w:t xml:space="preserve">Vestrheim DF, Lange H, Nygard K, Borgen K, Wester AL, Kvarme ML, Vold L (2016) Are ready-to-eat salads ready to eat? An outbreak of </w:t>
      </w:r>
      <w:r w:rsidRPr="0071510D">
        <w:rPr>
          <w:rFonts w:cs="Arial"/>
          <w:i/>
          <w:sz w:val="20"/>
          <w:szCs w:val="20"/>
        </w:rPr>
        <w:t>Salmonella</w:t>
      </w:r>
      <w:r w:rsidRPr="002F5E51">
        <w:rPr>
          <w:rFonts w:cs="Arial"/>
          <w:sz w:val="20"/>
          <w:szCs w:val="20"/>
        </w:rPr>
        <w:t xml:space="preserve"> Coeln linked to imported, mixed, pre-washed and bagged salad, Norway, November 2013. Epidemiology and Infection 144:1756–1760</w:t>
      </w:r>
      <w:r w:rsidR="00C56523">
        <w:rPr>
          <w:rFonts w:cs="Arial"/>
          <w:sz w:val="20"/>
          <w:szCs w:val="20"/>
        </w:rPr>
        <w:t xml:space="preserve">. </w:t>
      </w:r>
      <w:hyperlink r:id="rId503" w:history="1">
        <w:r w:rsidR="00C56523" w:rsidRPr="00C72075">
          <w:rPr>
            <w:rStyle w:val="Hyperlink"/>
            <w:rFonts w:cs="Arial"/>
            <w:sz w:val="20"/>
            <w:szCs w:val="20"/>
          </w:rPr>
          <w:t>https://doi.org/10.1017/S0950268815002769</w:t>
        </w:r>
      </w:hyperlink>
    </w:p>
    <w:p w14:paraId="549D1831" w14:textId="2C3AF04A" w:rsidR="00C56523" w:rsidRPr="002F5E51" w:rsidRDefault="00285EF0" w:rsidP="00285EF0">
      <w:pPr>
        <w:pStyle w:val="CitaviBibliographyEntry"/>
        <w:spacing w:after="120"/>
        <w:ind w:left="0" w:firstLine="0"/>
        <w:rPr>
          <w:rFonts w:cs="Arial"/>
          <w:sz w:val="20"/>
          <w:szCs w:val="20"/>
        </w:rPr>
      </w:pPr>
      <w:bookmarkStart w:id="974" w:name="_CTVL001ce20da8e381e4d319cf451db9a261547"/>
      <w:bookmarkEnd w:id="973"/>
      <w:r w:rsidRPr="002F5E51">
        <w:rPr>
          <w:rFonts w:cs="Arial"/>
          <w:sz w:val="20"/>
          <w:szCs w:val="20"/>
        </w:rPr>
        <w:t>Wenzel JJ, Schemmerer M, Oberkofler H, Kerschner H, Sinha P, Koidl C, Allerberger F (2014) Hepatitis A outbreak in Europe: Imported frozen berry mix suspected to be the source of at least one infection in Austria in 2013. Food and Environmental Virology 6:297–300</w:t>
      </w:r>
      <w:r w:rsidR="00C56523">
        <w:rPr>
          <w:rFonts w:cs="Arial"/>
          <w:sz w:val="20"/>
          <w:szCs w:val="20"/>
        </w:rPr>
        <w:t xml:space="preserve">. </w:t>
      </w:r>
      <w:hyperlink r:id="rId504" w:history="1">
        <w:r w:rsidR="00C56523" w:rsidRPr="00C72075">
          <w:rPr>
            <w:rStyle w:val="Hyperlink"/>
            <w:rFonts w:cs="Arial"/>
            <w:sz w:val="20"/>
            <w:szCs w:val="20"/>
          </w:rPr>
          <w:t>https://doi.org/10.1007/s12560-014-9165-1</w:t>
        </w:r>
      </w:hyperlink>
    </w:p>
    <w:p w14:paraId="20E2CAC7" w14:textId="57DE1CDD" w:rsidR="000F1AB3" w:rsidRPr="002F5E51" w:rsidRDefault="00285EF0" w:rsidP="00285EF0">
      <w:pPr>
        <w:pStyle w:val="CitaviBibliographyEntry"/>
        <w:spacing w:after="120"/>
        <w:ind w:left="0" w:firstLine="0"/>
        <w:rPr>
          <w:rFonts w:cs="Arial"/>
          <w:sz w:val="20"/>
          <w:szCs w:val="20"/>
        </w:rPr>
      </w:pPr>
      <w:bookmarkStart w:id="975" w:name="_CTVL00140a3d3d49d0a44adbe3261f0db7f0ff1"/>
      <w:bookmarkEnd w:id="974"/>
      <w:r w:rsidRPr="002F5E51">
        <w:rPr>
          <w:rFonts w:cs="Arial"/>
          <w:sz w:val="20"/>
          <w:szCs w:val="20"/>
        </w:rPr>
        <w:t>Whitfield Y, Johnson K, Hanson H, Huneault D (2017) 2015 Outbreak of cyclosporiasis linked to the consumption of imported sugar snap peas in Ontario, Canada. Journal of Food Protection 80:1666–1669</w:t>
      </w:r>
      <w:r w:rsidR="00C56523">
        <w:rPr>
          <w:rFonts w:cs="Arial"/>
          <w:sz w:val="20"/>
          <w:szCs w:val="20"/>
        </w:rPr>
        <w:t xml:space="preserve">. </w:t>
      </w:r>
      <w:hyperlink r:id="rId505" w:history="1">
        <w:r w:rsidR="000F1AB3" w:rsidRPr="00C72075">
          <w:rPr>
            <w:rStyle w:val="Hyperlink"/>
            <w:rFonts w:cs="Arial"/>
            <w:sz w:val="20"/>
            <w:szCs w:val="20"/>
          </w:rPr>
          <w:t>https://doi.org/10.4315/0362-028X.JFP-17-084</w:t>
        </w:r>
      </w:hyperlink>
    </w:p>
    <w:p w14:paraId="70E97294" w14:textId="77777777" w:rsidR="00285EF0" w:rsidRPr="003A01FB" w:rsidRDefault="00285EF0" w:rsidP="00285EF0">
      <w:pPr>
        <w:pStyle w:val="CitaviBibliographyEntry"/>
        <w:spacing w:after="120"/>
        <w:ind w:left="0" w:firstLine="0"/>
      </w:pPr>
      <w:bookmarkStart w:id="976" w:name="_CTVL001679c41fe5d5e4e1baa3dcf4d0705b1ec"/>
      <w:bookmarkEnd w:id="975"/>
      <w:r w:rsidRPr="002F5E51">
        <w:rPr>
          <w:rFonts w:cs="Arial"/>
          <w:sz w:val="20"/>
          <w:szCs w:val="20"/>
        </w:rPr>
        <w:t>WHO (2011) Outbreaks of</w:t>
      </w:r>
      <w:bookmarkEnd w:id="976"/>
      <w:r w:rsidRPr="002F5E51">
        <w:rPr>
          <w:rFonts w:cs="Arial"/>
          <w:i/>
          <w:sz w:val="20"/>
          <w:szCs w:val="20"/>
        </w:rPr>
        <w:t xml:space="preserve"> E. coli </w:t>
      </w:r>
      <w:r w:rsidRPr="002F5E51">
        <w:rPr>
          <w:rFonts w:cs="Arial"/>
          <w:sz w:val="20"/>
          <w:szCs w:val="20"/>
        </w:rPr>
        <w:t xml:space="preserve">O104:H4 infection: update 30. </w:t>
      </w:r>
      <w:hyperlink r:id="rId506" w:history="1">
        <w:r w:rsidRPr="002F5E51">
          <w:rPr>
            <w:rStyle w:val="Hyperlink"/>
            <w:rFonts w:cs="Arial"/>
            <w:sz w:val="20"/>
            <w:szCs w:val="20"/>
          </w:rPr>
          <w:t>http://www.euro.who.int/en/health-topics/emergencies/international-health-regulations/news/news/2011/07/outbreaks-of-e.-coli-o104h4-infection-update-30</w:t>
        </w:r>
      </w:hyperlink>
      <w:r w:rsidRPr="002F5E51">
        <w:rPr>
          <w:rFonts w:cs="Arial"/>
          <w:sz w:val="20"/>
          <w:szCs w:val="20"/>
        </w:rPr>
        <w:t>. Accessed 27 November 2019</w:t>
      </w:r>
    </w:p>
    <w:p w14:paraId="46DD9A24" w14:textId="77777777" w:rsidR="00285EF0" w:rsidRPr="000701F3" w:rsidRDefault="00285EF0" w:rsidP="00285EF0"/>
    <w:p w14:paraId="3E6F3304" w14:textId="77777777" w:rsidR="00285EF0" w:rsidRDefault="00285EF0" w:rsidP="00285EF0">
      <w:pPr>
        <w:rPr>
          <w:rFonts w:eastAsiaTheme="majorEastAsia" w:cs="Arial"/>
          <w:sz w:val="28"/>
        </w:rPr>
      </w:pPr>
      <w:r>
        <w:br w:type="page"/>
      </w:r>
    </w:p>
    <w:p w14:paraId="4B04F56C" w14:textId="782EDA33" w:rsidR="00285EF0" w:rsidRDefault="00C839B6" w:rsidP="00285EF0">
      <w:pPr>
        <w:pStyle w:val="Heading2"/>
      </w:pPr>
      <w:bookmarkStart w:id="977" w:name="_Toc87860090"/>
      <w:r>
        <w:t>Appendix 3</w:t>
      </w:r>
      <w:r w:rsidRPr="00C839B6">
        <w:t xml:space="preserve"> – </w:t>
      </w:r>
      <w:r w:rsidR="00285EF0" w:rsidRPr="00400F4A">
        <w:t xml:space="preserve">Summary of </w:t>
      </w:r>
      <w:r w:rsidR="00285EF0">
        <w:t>prevalence studies</w:t>
      </w:r>
      <w:r w:rsidR="00285EF0" w:rsidRPr="00400F4A">
        <w:t xml:space="preserve"> </w:t>
      </w:r>
      <w:r w:rsidR="00285EF0">
        <w:t>for pathogens in</w:t>
      </w:r>
      <w:r w:rsidR="00285EF0" w:rsidRPr="00400F4A">
        <w:t xml:space="preserve"> fresh and minimally processed horticultural produce</w:t>
      </w:r>
      <w:r w:rsidR="00285EF0">
        <w:t xml:space="preserve"> sampled from food businesses</w:t>
      </w:r>
      <w:bookmarkEnd w:id="977"/>
    </w:p>
    <w:tbl>
      <w:tblPr>
        <w:tblStyle w:val="TableGrid"/>
        <w:tblW w:w="4872" w:type="pct"/>
        <w:tblLook w:val="04A0" w:firstRow="1" w:lastRow="0" w:firstColumn="1" w:lastColumn="0" w:noHBand="0" w:noVBand="1"/>
        <w:tblCaption w:val="Summary of prevalence studies for pathogens in fresh and minimally processed horticultural produce sampled from food businesses"/>
      </w:tblPr>
      <w:tblGrid>
        <w:gridCol w:w="1838"/>
        <w:gridCol w:w="1887"/>
        <w:gridCol w:w="139"/>
        <w:gridCol w:w="3553"/>
        <w:gridCol w:w="1565"/>
        <w:gridCol w:w="1549"/>
        <w:gridCol w:w="3103"/>
      </w:tblGrid>
      <w:tr w:rsidR="00285EF0" w:rsidRPr="00883530" w14:paraId="241AF28F" w14:textId="77777777" w:rsidTr="00C848EA">
        <w:trPr>
          <w:cantSplit/>
          <w:trHeight w:val="252"/>
          <w:tblHeader/>
        </w:trPr>
        <w:tc>
          <w:tcPr>
            <w:tcW w:w="674" w:type="pct"/>
            <w:shd w:val="clear" w:color="auto" w:fill="C6D9F1" w:themeFill="text2" w:themeFillTint="33"/>
          </w:tcPr>
          <w:p w14:paraId="18480954" w14:textId="77777777" w:rsidR="00285EF0" w:rsidRPr="00883530" w:rsidRDefault="00285EF0" w:rsidP="00285EF0">
            <w:pPr>
              <w:rPr>
                <w:rFonts w:cs="Arial"/>
                <w:b/>
                <w:szCs w:val="20"/>
              </w:rPr>
            </w:pPr>
            <w:r w:rsidRPr="00883530">
              <w:rPr>
                <w:rFonts w:cs="Arial"/>
                <w:b/>
                <w:szCs w:val="20"/>
              </w:rPr>
              <w:t>Commodity</w:t>
            </w:r>
          </w:p>
        </w:tc>
        <w:tc>
          <w:tcPr>
            <w:tcW w:w="743" w:type="pct"/>
            <w:gridSpan w:val="2"/>
            <w:shd w:val="clear" w:color="auto" w:fill="C6D9F1" w:themeFill="text2" w:themeFillTint="33"/>
          </w:tcPr>
          <w:p w14:paraId="1E9A8DDF" w14:textId="77777777" w:rsidR="00285EF0" w:rsidRPr="00883530" w:rsidRDefault="00285EF0" w:rsidP="00285EF0">
            <w:pPr>
              <w:rPr>
                <w:rFonts w:cs="Arial"/>
                <w:b/>
                <w:szCs w:val="20"/>
              </w:rPr>
            </w:pPr>
            <w:r w:rsidRPr="00883530">
              <w:rPr>
                <w:rFonts w:cs="Arial"/>
                <w:b/>
                <w:szCs w:val="20"/>
              </w:rPr>
              <w:t>Pathogen</w:t>
            </w:r>
          </w:p>
        </w:tc>
        <w:tc>
          <w:tcPr>
            <w:tcW w:w="1303" w:type="pct"/>
            <w:shd w:val="clear" w:color="auto" w:fill="C6D9F1" w:themeFill="text2" w:themeFillTint="33"/>
          </w:tcPr>
          <w:p w14:paraId="2A4159E3" w14:textId="77777777" w:rsidR="00285EF0" w:rsidRPr="00883530" w:rsidRDefault="00285EF0" w:rsidP="00285EF0">
            <w:pPr>
              <w:rPr>
                <w:rFonts w:cs="Arial"/>
                <w:b/>
                <w:szCs w:val="20"/>
              </w:rPr>
            </w:pPr>
            <w:r w:rsidRPr="00883530">
              <w:rPr>
                <w:rFonts w:cs="Arial"/>
                <w:b/>
                <w:szCs w:val="20"/>
              </w:rPr>
              <w:t>Country</w:t>
            </w:r>
          </w:p>
        </w:tc>
        <w:tc>
          <w:tcPr>
            <w:tcW w:w="574" w:type="pct"/>
            <w:shd w:val="clear" w:color="auto" w:fill="C6D9F1" w:themeFill="text2" w:themeFillTint="33"/>
          </w:tcPr>
          <w:p w14:paraId="282223F2" w14:textId="77777777" w:rsidR="00285EF0" w:rsidRPr="00883530" w:rsidRDefault="00285EF0" w:rsidP="00285EF0">
            <w:pPr>
              <w:rPr>
                <w:rFonts w:cs="Arial"/>
                <w:b/>
                <w:szCs w:val="20"/>
              </w:rPr>
            </w:pPr>
            <w:r w:rsidRPr="00883530">
              <w:rPr>
                <w:rFonts w:cs="Arial"/>
                <w:b/>
                <w:szCs w:val="20"/>
              </w:rPr>
              <w:t>Positive samples</w:t>
            </w:r>
          </w:p>
        </w:tc>
        <w:tc>
          <w:tcPr>
            <w:tcW w:w="568" w:type="pct"/>
            <w:shd w:val="clear" w:color="auto" w:fill="C6D9F1" w:themeFill="text2" w:themeFillTint="33"/>
          </w:tcPr>
          <w:p w14:paraId="40C9C385" w14:textId="77777777" w:rsidR="00285EF0" w:rsidRPr="00883530" w:rsidRDefault="00285EF0" w:rsidP="00285EF0">
            <w:pPr>
              <w:rPr>
                <w:rFonts w:cs="Arial"/>
                <w:b/>
                <w:szCs w:val="20"/>
              </w:rPr>
            </w:pPr>
            <w:r w:rsidRPr="00883530">
              <w:rPr>
                <w:rFonts w:cs="Arial"/>
                <w:b/>
                <w:szCs w:val="20"/>
              </w:rPr>
              <w:t>Total samples</w:t>
            </w:r>
          </w:p>
        </w:tc>
        <w:tc>
          <w:tcPr>
            <w:tcW w:w="1138" w:type="pct"/>
            <w:shd w:val="clear" w:color="auto" w:fill="C6D9F1" w:themeFill="text2" w:themeFillTint="33"/>
          </w:tcPr>
          <w:p w14:paraId="175E9F88" w14:textId="77777777" w:rsidR="00285EF0" w:rsidRPr="00883530" w:rsidRDefault="00285EF0" w:rsidP="00285EF0">
            <w:pPr>
              <w:rPr>
                <w:rFonts w:cs="Arial"/>
                <w:b/>
                <w:szCs w:val="20"/>
              </w:rPr>
            </w:pPr>
            <w:r w:rsidRPr="00883530">
              <w:rPr>
                <w:rFonts w:cs="Arial"/>
                <w:b/>
                <w:szCs w:val="20"/>
              </w:rPr>
              <w:t>Reference</w:t>
            </w:r>
          </w:p>
        </w:tc>
      </w:tr>
      <w:tr w:rsidR="00285EF0" w:rsidRPr="00883530" w14:paraId="55D32865" w14:textId="77777777" w:rsidTr="00285EF0">
        <w:trPr>
          <w:cantSplit/>
        </w:trPr>
        <w:tc>
          <w:tcPr>
            <w:tcW w:w="5000" w:type="pct"/>
            <w:gridSpan w:val="7"/>
            <w:shd w:val="clear" w:color="auto" w:fill="FFFFFF" w:themeFill="background1"/>
          </w:tcPr>
          <w:p w14:paraId="38D81CBC" w14:textId="77777777" w:rsidR="00285EF0" w:rsidRPr="00883530" w:rsidRDefault="00285EF0" w:rsidP="00285EF0">
            <w:pPr>
              <w:rPr>
                <w:rFonts w:cs="Arial"/>
                <w:szCs w:val="20"/>
              </w:rPr>
            </w:pPr>
          </w:p>
        </w:tc>
      </w:tr>
      <w:tr w:rsidR="00285EF0" w:rsidRPr="00883530" w14:paraId="3C05FB92" w14:textId="77777777" w:rsidTr="00285EF0">
        <w:trPr>
          <w:cantSplit/>
        </w:trPr>
        <w:tc>
          <w:tcPr>
            <w:tcW w:w="5000" w:type="pct"/>
            <w:gridSpan w:val="7"/>
            <w:shd w:val="clear" w:color="auto" w:fill="C6D9F1" w:themeFill="text2" w:themeFillTint="33"/>
          </w:tcPr>
          <w:p w14:paraId="20C18B34" w14:textId="77777777" w:rsidR="00285EF0" w:rsidRPr="00883530" w:rsidRDefault="00285EF0" w:rsidP="00285EF0">
            <w:pPr>
              <w:rPr>
                <w:rFonts w:cs="Arial"/>
                <w:szCs w:val="20"/>
              </w:rPr>
            </w:pPr>
            <w:r w:rsidRPr="00883530">
              <w:rPr>
                <w:rFonts w:cs="Arial"/>
                <w:szCs w:val="20"/>
              </w:rPr>
              <w:t>Leafy vegetables</w:t>
            </w:r>
          </w:p>
        </w:tc>
      </w:tr>
      <w:tr w:rsidR="00285EF0" w:rsidRPr="00883530" w14:paraId="5325C1F6" w14:textId="77777777" w:rsidTr="00C848EA">
        <w:trPr>
          <w:trHeight w:val="300"/>
        </w:trPr>
        <w:tc>
          <w:tcPr>
            <w:tcW w:w="674" w:type="pct"/>
            <w:noWrap/>
            <w:hideMark/>
          </w:tcPr>
          <w:p w14:paraId="4C90D3E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6B1EF44D"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1D8F199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Brazil</w:t>
            </w:r>
          </w:p>
        </w:tc>
        <w:tc>
          <w:tcPr>
            <w:tcW w:w="574" w:type="pct"/>
            <w:noWrap/>
            <w:hideMark/>
          </w:tcPr>
          <w:p w14:paraId="15D4C99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1F46474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30</w:t>
            </w:r>
          </w:p>
        </w:tc>
        <w:tc>
          <w:tcPr>
            <w:tcW w:w="1138" w:type="pct"/>
            <w:noWrap/>
            <w:hideMark/>
          </w:tcPr>
          <w:p w14:paraId="662922B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Brandao et al (2014)</w:t>
            </w:r>
          </w:p>
        </w:tc>
      </w:tr>
      <w:tr w:rsidR="00285EF0" w:rsidRPr="00883530" w14:paraId="39FDEC9B" w14:textId="77777777" w:rsidTr="00C848EA">
        <w:trPr>
          <w:trHeight w:val="300"/>
        </w:trPr>
        <w:tc>
          <w:tcPr>
            <w:tcW w:w="674" w:type="pct"/>
            <w:noWrap/>
            <w:hideMark/>
          </w:tcPr>
          <w:p w14:paraId="6A8EE16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0669B02B"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1F98183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Brazil</w:t>
            </w:r>
          </w:p>
        </w:tc>
        <w:tc>
          <w:tcPr>
            <w:tcW w:w="574" w:type="pct"/>
            <w:noWrap/>
            <w:hideMark/>
          </w:tcPr>
          <w:p w14:paraId="28E6EC5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3E04F1E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30</w:t>
            </w:r>
          </w:p>
        </w:tc>
        <w:tc>
          <w:tcPr>
            <w:tcW w:w="1138" w:type="pct"/>
            <w:noWrap/>
            <w:hideMark/>
          </w:tcPr>
          <w:p w14:paraId="5EC1559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Brandao et al (2014)</w:t>
            </w:r>
          </w:p>
        </w:tc>
      </w:tr>
      <w:tr w:rsidR="00285EF0" w:rsidRPr="00883530" w14:paraId="3671024A" w14:textId="77777777" w:rsidTr="00C848EA">
        <w:trPr>
          <w:trHeight w:val="300"/>
        </w:trPr>
        <w:tc>
          <w:tcPr>
            <w:tcW w:w="674" w:type="pct"/>
            <w:noWrap/>
            <w:hideMark/>
          </w:tcPr>
          <w:p w14:paraId="5D6AD33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6635EE2C"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3DFEFE3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Brazil</w:t>
            </w:r>
          </w:p>
        </w:tc>
        <w:tc>
          <w:tcPr>
            <w:tcW w:w="574" w:type="pct"/>
            <w:noWrap/>
            <w:hideMark/>
          </w:tcPr>
          <w:p w14:paraId="7A6BD4A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15CA05D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20</w:t>
            </w:r>
          </w:p>
        </w:tc>
        <w:tc>
          <w:tcPr>
            <w:tcW w:w="1138" w:type="pct"/>
            <w:noWrap/>
            <w:hideMark/>
          </w:tcPr>
          <w:p w14:paraId="024F475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Maffei et al (2013)</w:t>
            </w:r>
          </w:p>
        </w:tc>
      </w:tr>
      <w:tr w:rsidR="00285EF0" w:rsidRPr="00883530" w14:paraId="6C712DE0" w14:textId="77777777" w:rsidTr="00C848EA">
        <w:trPr>
          <w:trHeight w:val="300"/>
        </w:trPr>
        <w:tc>
          <w:tcPr>
            <w:tcW w:w="674" w:type="pct"/>
            <w:noWrap/>
            <w:hideMark/>
          </w:tcPr>
          <w:p w14:paraId="2871AC6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2BEEA10A"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7CA4BF0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Brazil</w:t>
            </w:r>
          </w:p>
        </w:tc>
        <w:tc>
          <w:tcPr>
            <w:tcW w:w="574" w:type="pct"/>
            <w:noWrap/>
            <w:hideMark/>
          </w:tcPr>
          <w:p w14:paraId="5740FA1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72C7CF2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20</w:t>
            </w:r>
          </w:p>
        </w:tc>
        <w:tc>
          <w:tcPr>
            <w:tcW w:w="1138" w:type="pct"/>
            <w:noWrap/>
            <w:hideMark/>
          </w:tcPr>
          <w:p w14:paraId="7663C45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Maffei et al (2013)</w:t>
            </w:r>
          </w:p>
        </w:tc>
      </w:tr>
      <w:tr w:rsidR="00285EF0" w:rsidRPr="00883530" w14:paraId="12A9CAF7" w14:textId="77777777" w:rsidTr="00C848EA">
        <w:trPr>
          <w:trHeight w:val="300"/>
        </w:trPr>
        <w:tc>
          <w:tcPr>
            <w:tcW w:w="674" w:type="pct"/>
            <w:noWrap/>
            <w:hideMark/>
          </w:tcPr>
          <w:p w14:paraId="4CF9E19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29501109"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7FAA3C1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Brazil</w:t>
            </w:r>
          </w:p>
        </w:tc>
        <w:tc>
          <w:tcPr>
            <w:tcW w:w="574" w:type="pct"/>
            <w:noWrap/>
            <w:hideMark/>
          </w:tcPr>
          <w:p w14:paraId="40CF420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6A25B98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20</w:t>
            </w:r>
          </w:p>
        </w:tc>
        <w:tc>
          <w:tcPr>
            <w:tcW w:w="1138" w:type="pct"/>
            <w:noWrap/>
            <w:hideMark/>
          </w:tcPr>
          <w:p w14:paraId="444B2A7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Maffei et al (2013)</w:t>
            </w:r>
          </w:p>
        </w:tc>
      </w:tr>
      <w:tr w:rsidR="00285EF0" w:rsidRPr="00883530" w14:paraId="15468E03" w14:textId="77777777" w:rsidTr="00C848EA">
        <w:trPr>
          <w:trHeight w:val="300"/>
        </w:trPr>
        <w:tc>
          <w:tcPr>
            <w:tcW w:w="674" w:type="pct"/>
            <w:noWrap/>
            <w:hideMark/>
          </w:tcPr>
          <w:p w14:paraId="16DC192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14BCF80F"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30850E9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Brazil</w:t>
            </w:r>
          </w:p>
        </w:tc>
        <w:tc>
          <w:tcPr>
            <w:tcW w:w="574" w:type="pct"/>
            <w:noWrap/>
            <w:hideMark/>
          </w:tcPr>
          <w:p w14:paraId="7B8DD16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0AA85E9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20</w:t>
            </w:r>
          </w:p>
        </w:tc>
        <w:tc>
          <w:tcPr>
            <w:tcW w:w="1138" w:type="pct"/>
            <w:noWrap/>
            <w:hideMark/>
          </w:tcPr>
          <w:p w14:paraId="7841F45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Maffei et al (2013)</w:t>
            </w:r>
          </w:p>
        </w:tc>
      </w:tr>
      <w:tr w:rsidR="00285EF0" w:rsidRPr="00883530" w14:paraId="05EF2AEE" w14:textId="77777777" w:rsidTr="00C848EA">
        <w:trPr>
          <w:trHeight w:val="300"/>
        </w:trPr>
        <w:tc>
          <w:tcPr>
            <w:tcW w:w="674" w:type="pct"/>
            <w:noWrap/>
            <w:hideMark/>
          </w:tcPr>
          <w:p w14:paraId="4EC2C0C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2069D11C"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1687D19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China</w:t>
            </w:r>
          </w:p>
        </w:tc>
        <w:tc>
          <w:tcPr>
            <w:tcW w:w="574" w:type="pct"/>
            <w:noWrap/>
            <w:hideMark/>
          </w:tcPr>
          <w:p w14:paraId="7380BDC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2CFDB4B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22</w:t>
            </w:r>
          </w:p>
        </w:tc>
        <w:tc>
          <w:tcPr>
            <w:tcW w:w="1138" w:type="pct"/>
            <w:noWrap/>
            <w:hideMark/>
          </w:tcPr>
          <w:p w14:paraId="1C0BA61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Ni et al (2018)</w:t>
            </w:r>
          </w:p>
        </w:tc>
      </w:tr>
      <w:tr w:rsidR="00285EF0" w:rsidRPr="00883530" w14:paraId="54CEDE5A" w14:textId="77777777" w:rsidTr="00C848EA">
        <w:trPr>
          <w:trHeight w:val="300"/>
        </w:trPr>
        <w:tc>
          <w:tcPr>
            <w:tcW w:w="674" w:type="pct"/>
            <w:noWrap/>
            <w:hideMark/>
          </w:tcPr>
          <w:p w14:paraId="434EA1E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3AA5487F"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71DB117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Honduras</w:t>
            </w:r>
          </w:p>
        </w:tc>
        <w:tc>
          <w:tcPr>
            <w:tcW w:w="574" w:type="pct"/>
            <w:noWrap/>
            <w:hideMark/>
          </w:tcPr>
          <w:p w14:paraId="7C3A008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5834516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71</w:t>
            </w:r>
          </w:p>
        </w:tc>
        <w:tc>
          <w:tcPr>
            <w:tcW w:w="1138" w:type="pct"/>
            <w:noWrap/>
            <w:hideMark/>
          </w:tcPr>
          <w:p w14:paraId="6A22D19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Maradiaga et al (2015)</w:t>
            </w:r>
          </w:p>
        </w:tc>
      </w:tr>
      <w:tr w:rsidR="00285EF0" w:rsidRPr="00883530" w14:paraId="37B674F6" w14:textId="77777777" w:rsidTr="00C848EA">
        <w:trPr>
          <w:trHeight w:val="300"/>
        </w:trPr>
        <w:tc>
          <w:tcPr>
            <w:tcW w:w="674" w:type="pct"/>
            <w:noWrap/>
            <w:hideMark/>
          </w:tcPr>
          <w:p w14:paraId="1F34F66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4DDD300C"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39890E6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Italy</w:t>
            </w:r>
          </w:p>
        </w:tc>
        <w:tc>
          <w:tcPr>
            <w:tcW w:w="574" w:type="pct"/>
            <w:noWrap/>
            <w:hideMark/>
          </w:tcPr>
          <w:p w14:paraId="59FA81A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7A4C9D4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18</w:t>
            </w:r>
          </w:p>
        </w:tc>
        <w:tc>
          <w:tcPr>
            <w:tcW w:w="1138" w:type="pct"/>
            <w:noWrap/>
            <w:hideMark/>
          </w:tcPr>
          <w:p w14:paraId="683AED8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Terio et al (2017)</w:t>
            </w:r>
          </w:p>
        </w:tc>
      </w:tr>
      <w:tr w:rsidR="00285EF0" w:rsidRPr="00883530" w14:paraId="79A1703E" w14:textId="77777777" w:rsidTr="00C848EA">
        <w:trPr>
          <w:trHeight w:val="300"/>
        </w:trPr>
        <w:tc>
          <w:tcPr>
            <w:tcW w:w="674" w:type="pct"/>
            <w:noWrap/>
            <w:hideMark/>
          </w:tcPr>
          <w:p w14:paraId="6DB1C7F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58509329"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262A7CA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Italy</w:t>
            </w:r>
          </w:p>
        </w:tc>
        <w:tc>
          <w:tcPr>
            <w:tcW w:w="574" w:type="pct"/>
            <w:noWrap/>
            <w:hideMark/>
          </w:tcPr>
          <w:p w14:paraId="46FD4765"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7DA8CC0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67</w:t>
            </w:r>
          </w:p>
        </w:tc>
        <w:tc>
          <w:tcPr>
            <w:tcW w:w="1138" w:type="pct"/>
            <w:noWrap/>
            <w:hideMark/>
          </w:tcPr>
          <w:p w14:paraId="4FA7F65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Terio et al (2017)</w:t>
            </w:r>
          </w:p>
        </w:tc>
      </w:tr>
      <w:tr w:rsidR="00285EF0" w:rsidRPr="00883530" w14:paraId="55E0EEBF" w14:textId="77777777" w:rsidTr="00C848EA">
        <w:trPr>
          <w:trHeight w:val="300"/>
        </w:trPr>
        <w:tc>
          <w:tcPr>
            <w:tcW w:w="674" w:type="pct"/>
            <w:noWrap/>
            <w:hideMark/>
          </w:tcPr>
          <w:p w14:paraId="415BED2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7EA63ACC"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4A2A9C7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Japan</w:t>
            </w:r>
          </w:p>
        </w:tc>
        <w:tc>
          <w:tcPr>
            <w:tcW w:w="574" w:type="pct"/>
            <w:noWrap/>
            <w:hideMark/>
          </w:tcPr>
          <w:p w14:paraId="5FC0907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w:t>
            </w:r>
          </w:p>
        </w:tc>
        <w:tc>
          <w:tcPr>
            <w:tcW w:w="568" w:type="pct"/>
            <w:noWrap/>
            <w:hideMark/>
          </w:tcPr>
          <w:p w14:paraId="7972F0E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1758</w:t>
            </w:r>
          </w:p>
        </w:tc>
        <w:tc>
          <w:tcPr>
            <w:tcW w:w="1138" w:type="pct"/>
            <w:noWrap/>
            <w:hideMark/>
          </w:tcPr>
          <w:p w14:paraId="4990DFA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Hara-Kudo et al (2013)</w:t>
            </w:r>
          </w:p>
        </w:tc>
      </w:tr>
      <w:tr w:rsidR="00285EF0" w:rsidRPr="00883530" w14:paraId="59C74789" w14:textId="77777777" w:rsidTr="00C848EA">
        <w:trPr>
          <w:trHeight w:val="300"/>
        </w:trPr>
        <w:tc>
          <w:tcPr>
            <w:tcW w:w="674" w:type="pct"/>
            <w:noWrap/>
            <w:hideMark/>
          </w:tcPr>
          <w:p w14:paraId="3133F08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309E338B"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402C3B8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Japan</w:t>
            </w:r>
          </w:p>
        </w:tc>
        <w:tc>
          <w:tcPr>
            <w:tcW w:w="574" w:type="pct"/>
            <w:noWrap/>
            <w:hideMark/>
          </w:tcPr>
          <w:p w14:paraId="7BF58B2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15E9405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419</w:t>
            </w:r>
          </w:p>
        </w:tc>
        <w:tc>
          <w:tcPr>
            <w:tcW w:w="1138" w:type="pct"/>
            <w:noWrap/>
            <w:hideMark/>
          </w:tcPr>
          <w:p w14:paraId="3055771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Koseki et al (2011)</w:t>
            </w:r>
          </w:p>
        </w:tc>
      </w:tr>
      <w:tr w:rsidR="00285EF0" w:rsidRPr="00883530" w14:paraId="5F5D7623" w14:textId="77777777" w:rsidTr="00C848EA">
        <w:trPr>
          <w:trHeight w:val="300"/>
        </w:trPr>
        <w:tc>
          <w:tcPr>
            <w:tcW w:w="674" w:type="pct"/>
            <w:noWrap/>
            <w:hideMark/>
          </w:tcPr>
          <w:p w14:paraId="4D102ED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00E26A78"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091B281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Malaysia</w:t>
            </w:r>
          </w:p>
        </w:tc>
        <w:tc>
          <w:tcPr>
            <w:tcW w:w="574" w:type="pct"/>
            <w:noWrap/>
            <w:hideMark/>
          </w:tcPr>
          <w:p w14:paraId="71DD60B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w:t>
            </w:r>
          </w:p>
        </w:tc>
        <w:tc>
          <w:tcPr>
            <w:tcW w:w="568" w:type="pct"/>
            <w:noWrap/>
            <w:hideMark/>
          </w:tcPr>
          <w:p w14:paraId="54D4C6A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25</w:t>
            </w:r>
          </w:p>
        </w:tc>
        <w:tc>
          <w:tcPr>
            <w:tcW w:w="1138" w:type="pct"/>
            <w:noWrap/>
            <w:hideMark/>
          </w:tcPr>
          <w:p w14:paraId="01D4E4E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Abatcha et al (2018)</w:t>
            </w:r>
          </w:p>
        </w:tc>
      </w:tr>
      <w:tr w:rsidR="00285EF0" w:rsidRPr="00883530" w14:paraId="1C1CB2D5" w14:textId="77777777" w:rsidTr="00C848EA">
        <w:trPr>
          <w:trHeight w:val="300"/>
        </w:trPr>
        <w:tc>
          <w:tcPr>
            <w:tcW w:w="674" w:type="pct"/>
            <w:noWrap/>
            <w:hideMark/>
          </w:tcPr>
          <w:p w14:paraId="1F89F3D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0A5D12EC"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2FAB8C9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Malaysia</w:t>
            </w:r>
          </w:p>
        </w:tc>
        <w:tc>
          <w:tcPr>
            <w:tcW w:w="574" w:type="pct"/>
            <w:noWrap/>
            <w:hideMark/>
          </w:tcPr>
          <w:p w14:paraId="633DB18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8</w:t>
            </w:r>
          </w:p>
        </w:tc>
        <w:tc>
          <w:tcPr>
            <w:tcW w:w="568" w:type="pct"/>
            <w:noWrap/>
            <w:hideMark/>
          </w:tcPr>
          <w:p w14:paraId="50CF9F9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25</w:t>
            </w:r>
          </w:p>
        </w:tc>
        <w:tc>
          <w:tcPr>
            <w:tcW w:w="1138" w:type="pct"/>
            <w:noWrap/>
            <w:hideMark/>
          </w:tcPr>
          <w:p w14:paraId="482A5C1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Abatcha et al (2018)</w:t>
            </w:r>
          </w:p>
        </w:tc>
      </w:tr>
      <w:tr w:rsidR="00285EF0" w:rsidRPr="00883530" w14:paraId="18E0334A" w14:textId="77777777" w:rsidTr="00C848EA">
        <w:trPr>
          <w:trHeight w:val="300"/>
        </w:trPr>
        <w:tc>
          <w:tcPr>
            <w:tcW w:w="674" w:type="pct"/>
            <w:noWrap/>
            <w:hideMark/>
          </w:tcPr>
          <w:p w14:paraId="1405573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2BF0B267"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4BF8DAD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Philippines</w:t>
            </w:r>
          </w:p>
        </w:tc>
        <w:tc>
          <w:tcPr>
            <w:tcW w:w="574" w:type="pct"/>
            <w:noWrap/>
            <w:hideMark/>
          </w:tcPr>
          <w:p w14:paraId="24EFE6D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12</w:t>
            </w:r>
          </w:p>
        </w:tc>
        <w:tc>
          <w:tcPr>
            <w:tcW w:w="568" w:type="pct"/>
            <w:noWrap/>
            <w:hideMark/>
          </w:tcPr>
          <w:p w14:paraId="22766D5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50</w:t>
            </w:r>
          </w:p>
        </w:tc>
        <w:tc>
          <w:tcPr>
            <w:tcW w:w="1138" w:type="pct"/>
            <w:noWrap/>
            <w:hideMark/>
          </w:tcPr>
          <w:p w14:paraId="344D69C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Vital et al (2014)</w:t>
            </w:r>
          </w:p>
        </w:tc>
      </w:tr>
      <w:tr w:rsidR="00285EF0" w:rsidRPr="00883530" w14:paraId="19AD8BD5" w14:textId="77777777" w:rsidTr="00C848EA">
        <w:trPr>
          <w:trHeight w:val="300"/>
        </w:trPr>
        <w:tc>
          <w:tcPr>
            <w:tcW w:w="674" w:type="pct"/>
            <w:noWrap/>
            <w:hideMark/>
          </w:tcPr>
          <w:p w14:paraId="6C1C6D9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19A5B757"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05774AF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Philippines</w:t>
            </w:r>
          </w:p>
        </w:tc>
        <w:tc>
          <w:tcPr>
            <w:tcW w:w="574" w:type="pct"/>
            <w:noWrap/>
            <w:hideMark/>
          </w:tcPr>
          <w:p w14:paraId="4C83AEB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w:t>
            </w:r>
          </w:p>
        </w:tc>
        <w:tc>
          <w:tcPr>
            <w:tcW w:w="568" w:type="pct"/>
            <w:noWrap/>
            <w:hideMark/>
          </w:tcPr>
          <w:p w14:paraId="72D252C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10</w:t>
            </w:r>
          </w:p>
        </w:tc>
        <w:tc>
          <w:tcPr>
            <w:tcW w:w="1138" w:type="pct"/>
            <w:noWrap/>
            <w:hideMark/>
          </w:tcPr>
          <w:p w14:paraId="09BFAF1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Vital et al (2014)</w:t>
            </w:r>
          </w:p>
        </w:tc>
      </w:tr>
      <w:tr w:rsidR="00285EF0" w:rsidRPr="00883530" w14:paraId="7618F913" w14:textId="77777777" w:rsidTr="00C848EA">
        <w:trPr>
          <w:trHeight w:val="300"/>
        </w:trPr>
        <w:tc>
          <w:tcPr>
            <w:tcW w:w="674" w:type="pct"/>
            <w:noWrap/>
            <w:hideMark/>
          </w:tcPr>
          <w:p w14:paraId="31DA28D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195EB939"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61F47AC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Portugal</w:t>
            </w:r>
          </w:p>
        </w:tc>
        <w:tc>
          <w:tcPr>
            <w:tcW w:w="574" w:type="pct"/>
            <w:noWrap/>
            <w:hideMark/>
          </w:tcPr>
          <w:p w14:paraId="7B15F6A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14A576B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38</w:t>
            </w:r>
          </w:p>
        </w:tc>
        <w:tc>
          <w:tcPr>
            <w:tcW w:w="1138" w:type="pct"/>
            <w:noWrap/>
            <w:hideMark/>
          </w:tcPr>
          <w:p w14:paraId="2AC8D82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Santos et al (2012)</w:t>
            </w:r>
          </w:p>
        </w:tc>
      </w:tr>
      <w:tr w:rsidR="00285EF0" w:rsidRPr="00883530" w14:paraId="726169B0" w14:textId="77777777" w:rsidTr="00C848EA">
        <w:trPr>
          <w:trHeight w:val="300"/>
        </w:trPr>
        <w:tc>
          <w:tcPr>
            <w:tcW w:w="674" w:type="pct"/>
            <w:noWrap/>
            <w:hideMark/>
          </w:tcPr>
          <w:p w14:paraId="371854D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3B7BE7EB"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1B7CE91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Saudi Arabia</w:t>
            </w:r>
          </w:p>
        </w:tc>
        <w:tc>
          <w:tcPr>
            <w:tcW w:w="574" w:type="pct"/>
            <w:noWrap/>
            <w:hideMark/>
          </w:tcPr>
          <w:p w14:paraId="22077645"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1350F72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15</w:t>
            </w:r>
          </w:p>
        </w:tc>
        <w:tc>
          <w:tcPr>
            <w:tcW w:w="1138" w:type="pct"/>
            <w:noWrap/>
            <w:hideMark/>
          </w:tcPr>
          <w:p w14:paraId="242674F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Al-Holy et al (2013)</w:t>
            </w:r>
          </w:p>
        </w:tc>
      </w:tr>
      <w:tr w:rsidR="00285EF0" w:rsidRPr="00883530" w14:paraId="18BE6C29" w14:textId="77777777" w:rsidTr="00C848EA">
        <w:trPr>
          <w:trHeight w:val="300"/>
        </w:trPr>
        <w:tc>
          <w:tcPr>
            <w:tcW w:w="674" w:type="pct"/>
            <w:noWrap/>
            <w:hideMark/>
          </w:tcPr>
          <w:p w14:paraId="1E2075D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5E562235"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296B285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0EF675D5"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20132E05"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55</w:t>
            </w:r>
          </w:p>
        </w:tc>
        <w:tc>
          <w:tcPr>
            <w:tcW w:w="1138" w:type="pct"/>
            <w:noWrap/>
            <w:hideMark/>
          </w:tcPr>
          <w:p w14:paraId="1AD92DC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(2014)</w:t>
            </w:r>
          </w:p>
        </w:tc>
      </w:tr>
      <w:tr w:rsidR="00285EF0" w:rsidRPr="00883530" w14:paraId="314DE077" w14:textId="77777777" w:rsidTr="00C848EA">
        <w:trPr>
          <w:trHeight w:val="300"/>
        </w:trPr>
        <w:tc>
          <w:tcPr>
            <w:tcW w:w="674" w:type="pct"/>
            <w:noWrap/>
            <w:hideMark/>
          </w:tcPr>
          <w:p w14:paraId="5C48293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57616E3B"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4FCEAC1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46ABF1D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4D6909D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63</w:t>
            </w:r>
          </w:p>
        </w:tc>
        <w:tc>
          <w:tcPr>
            <w:tcW w:w="1138" w:type="pct"/>
            <w:noWrap/>
            <w:hideMark/>
          </w:tcPr>
          <w:p w14:paraId="51AB3CF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(2014)</w:t>
            </w:r>
          </w:p>
        </w:tc>
      </w:tr>
      <w:tr w:rsidR="00285EF0" w:rsidRPr="00883530" w14:paraId="5E5F26C6" w14:textId="77777777" w:rsidTr="00C848EA">
        <w:trPr>
          <w:trHeight w:val="300"/>
        </w:trPr>
        <w:tc>
          <w:tcPr>
            <w:tcW w:w="674" w:type="pct"/>
            <w:noWrap/>
            <w:hideMark/>
          </w:tcPr>
          <w:p w14:paraId="13A8F2D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537847F7"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486DBB3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34B47A8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0ACCB04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30</w:t>
            </w:r>
          </w:p>
        </w:tc>
        <w:tc>
          <w:tcPr>
            <w:tcW w:w="1138" w:type="pct"/>
            <w:noWrap/>
            <w:hideMark/>
          </w:tcPr>
          <w:p w14:paraId="699398F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(2018)</w:t>
            </w:r>
          </w:p>
        </w:tc>
      </w:tr>
      <w:tr w:rsidR="00285EF0" w:rsidRPr="00883530" w14:paraId="78A08EA7" w14:textId="77777777" w:rsidTr="00C848EA">
        <w:trPr>
          <w:trHeight w:val="300"/>
        </w:trPr>
        <w:tc>
          <w:tcPr>
            <w:tcW w:w="674" w:type="pct"/>
            <w:noWrap/>
            <w:hideMark/>
          </w:tcPr>
          <w:p w14:paraId="035F4FE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7A8804F6"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4F33413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7C5A7BF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3653163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30</w:t>
            </w:r>
          </w:p>
        </w:tc>
        <w:tc>
          <w:tcPr>
            <w:tcW w:w="1138" w:type="pct"/>
            <w:noWrap/>
            <w:hideMark/>
          </w:tcPr>
          <w:p w14:paraId="2C88012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(2018)</w:t>
            </w:r>
          </w:p>
        </w:tc>
      </w:tr>
      <w:tr w:rsidR="00285EF0" w:rsidRPr="00883530" w14:paraId="4A4A3033" w14:textId="77777777" w:rsidTr="00C848EA">
        <w:trPr>
          <w:trHeight w:val="300"/>
        </w:trPr>
        <w:tc>
          <w:tcPr>
            <w:tcW w:w="674" w:type="pct"/>
            <w:noWrap/>
            <w:hideMark/>
          </w:tcPr>
          <w:p w14:paraId="428D8EE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4BB140D0"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6A104B2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Switzerland</w:t>
            </w:r>
          </w:p>
        </w:tc>
        <w:tc>
          <w:tcPr>
            <w:tcW w:w="574" w:type="pct"/>
            <w:noWrap/>
            <w:hideMark/>
          </w:tcPr>
          <w:p w14:paraId="0E20A82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15DEEF5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142</w:t>
            </w:r>
          </w:p>
        </w:tc>
        <w:tc>
          <w:tcPr>
            <w:tcW w:w="1138" w:type="pct"/>
            <w:noWrap/>
            <w:hideMark/>
          </w:tcPr>
          <w:p w14:paraId="24902E3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Althaus et al (2012)</w:t>
            </w:r>
          </w:p>
        </w:tc>
      </w:tr>
      <w:tr w:rsidR="00285EF0" w:rsidRPr="00883530" w14:paraId="3EE7C5AB" w14:textId="77777777" w:rsidTr="00C848EA">
        <w:trPr>
          <w:trHeight w:val="300"/>
        </w:trPr>
        <w:tc>
          <w:tcPr>
            <w:tcW w:w="674" w:type="pct"/>
            <w:noWrap/>
            <w:hideMark/>
          </w:tcPr>
          <w:p w14:paraId="1B27F92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678E4B32"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58E7AAE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Thailand</w:t>
            </w:r>
          </w:p>
        </w:tc>
        <w:tc>
          <w:tcPr>
            <w:tcW w:w="574" w:type="pct"/>
            <w:noWrap/>
            <w:hideMark/>
          </w:tcPr>
          <w:p w14:paraId="4A9570A2"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8</w:t>
            </w:r>
          </w:p>
        </w:tc>
        <w:tc>
          <w:tcPr>
            <w:tcW w:w="568" w:type="pct"/>
            <w:noWrap/>
            <w:hideMark/>
          </w:tcPr>
          <w:p w14:paraId="620EE09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40</w:t>
            </w:r>
          </w:p>
        </w:tc>
        <w:tc>
          <w:tcPr>
            <w:tcW w:w="1138" w:type="pct"/>
            <w:noWrap/>
            <w:hideMark/>
          </w:tcPr>
          <w:p w14:paraId="6FCA4C8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Niyomdecha et al (2016)</w:t>
            </w:r>
          </w:p>
        </w:tc>
      </w:tr>
      <w:tr w:rsidR="00285EF0" w:rsidRPr="00883530" w14:paraId="6DB8680A" w14:textId="77777777" w:rsidTr="00C848EA">
        <w:trPr>
          <w:trHeight w:val="300"/>
        </w:trPr>
        <w:tc>
          <w:tcPr>
            <w:tcW w:w="674" w:type="pct"/>
            <w:noWrap/>
            <w:hideMark/>
          </w:tcPr>
          <w:p w14:paraId="5C97021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2839204D"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3298F6E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The Netherlands</w:t>
            </w:r>
          </w:p>
        </w:tc>
        <w:tc>
          <w:tcPr>
            <w:tcW w:w="574" w:type="pct"/>
            <w:noWrap/>
            <w:hideMark/>
          </w:tcPr>
          <w:p w14:paraId="3145AA7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w:t>
            </w:r>
          </w:p>
        </w:tc>
        <w:tc>
          <w:tcPr>
            <w:tcW w:w="568" w:type="pct"/>
            <w:noWrap/>
            <w:hideMark/>
          </w:tcPr>
          <w:p w14:paraId="58A9F5F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565</w:t>
            </w:r>
          </w:p>
        </w:tc>
        <w:tc>
          <w:tcPr>
            <w:tcW w:w="1138" w:type="pct"/>
            <w:noWrap/>
            <w:hideMark/>
          </w:tcPr>
          <w:p w14:paraId="0B4EEBC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Wijnands et al (2014)</w:t>
            </w:r>
          </w:p>
        </w:tc>
      </w:tr>
      <w:tr w:rsidR="00285EF0" w:rsidRPr="00883530" w14:paraId="573DCC5C" w14:textId="77777777" w:rsidTr="00C848EA">
        <w:trPr>
          <w:trHeight w:val="300"/>
        </w:trPr>
        <w:tc>
          <w:tcPr>
            <w:tcW w:w="674" w:type="pct"/>
            <w:noWrap/>
            <w:hideMark/>
          </w:tcPr>
          <w:p w14:paraId="567C48A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78FC4D23"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02283E7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Turkey</w:t>
            </w:r>
          </w:p>
        </w:tc>
        <w:tc>
          <w:tcPr>
            <w:tcW w:w="574" w:type="pct"/>
            <w:noWrap/>
            <w:hideMark/>
          </w:tcPr>
          <w:p w14:paraId="5CF018F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01F9AF9F"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62</w:t>
            </w:r>
          </w:p>
        </w:tc>
        <w:tc>
          <w:tcPr>
            <w:tcW w:w="1138" w:type="pct"/>
            <w:noWrap/>
            <w:hideMark/>
          </w:tcPr>
          <w:p w14:paraId="62D3179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Gunel et al (2015)</w:t>
            </w:r>
          </w:p>
        </w:tc>
      </w:tr>
      <w:tr w:rsidR="00285EF0" w:rsidRPr="00883530" w14:paraId="7A55C147" w14:textId="77777777" w:rsidTr="00C848EA">
        <w:trPr>
          <w:trHeight w:val="300"/>
        </w:trPr>
        <w:tc>
          <w:tcPr>
            <w:tcW w:w="674" w:type="pct"/>
            <w:noWrap/>
            <w:hideMark/>
          </w:tcPr>
          <w:p w14:paraId="78D5CC9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3D16E7FE"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32CED00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Turkey</w:t>
            </w:r>
          </w:p>
        </w:tc>
        <w:tc>
          <w:tcPr>
            <w:tcW w:w="574" w:type="pct"/>
            <w:noWrap/>
            <w:hideMark/>
          </w:tcPr>
          <w:p w14:paraId="430F140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347F291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62</w:t>
            </w:r>
          </w:p>
        </w:tc>
        <w:tc>
          <w:tcPr>
            <w:tcW w:w="1138" w:type="pct"/>
            <w:noWrap/>
            <w:hideMark/>
          </w:tcPr>
          <w:p w14:paraId="0D57BF6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Gunel et al (2015)</w:t>
            </w:r>
          </w:p>
        </w:tc>
      </w:tr>
      <w:tr w:rsidR="00285EF0" w:rsidRPr="00883530" w14:paraId="65FAE3C7" w14:textId="77777777" w:rsidTr="00C848EA">
        <w:trPr>
          <w:trHeight w:val="300"/>
        </w:trPr>
        <w:tc>
          <w:tcPr>
            <w:tcW w:w="674" w:type="pct"/>
            <w:noWrap/>
            <w:hideMark/>
          </w:tcPr>
          <w:p w14:paraId="46E4C73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51BB5DB9"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1C076CC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63E40D3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3EDAEBE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69</w:t>
            </w:r>
          </w:p>
        </w:tc>
        <w:tc>
          <w:tcPr>
            <w:tcW w:w="1138" w:type="pct"/>
            <w:noWrap/>
            <w:hideMark/>
          </w:tcPr>
          <w:p w14:paraId="6F99450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Korir et al (2016)</w:t>
            </w:r>
          </w:p>
        </w:tc>
      </w:tr>
      <w:tr w:rsidR="00285EF0" w:rsidRPr="00883530" w14:paraId="496EAB59" w14:textId="77777777" w:rsidTr="00C848EA">
        <w:trPr>
          <w:trHeight w:val="300"/>
        </w:trPr>
        <w:tc>
          <w:tcPr>
            <w:tcW w:w="674" w:type="pct"/>
            <w:noWrap/>
            <w:hideMark/>
          </w:tcPr>
          <w:p w14:paraId="6501446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7CA9E799"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1D26E40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7806955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2F9D132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30</w:t>
            </w:r>
          </w:p>
        </w:tc>
        <w:tc>
          <w:tcPr>
            <w:tcW w:w="1138" w:type="pct"/>
            <w:noWrap/>
            <w:hideMark/>
          </w:tcPr>
          <w:p w14:paraId="37F4E7D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Liu &amp; Kilonzo-Nthenge (2017)</w:t>
            </w:r>
          </w:p>
        </w:tc>
      </w:tr>
      <w:tr w:rsidR="00285EF0" w:rsidRPr="00883530" w14:paraId="0D6B0200" w14:textId="77777777" w:rsidTr="00C848EA">
        <w:trPr>
          <w:trHeight w:val="300"/>
        </w:trPr>
        <w:tc>
          <w:tcPr>
            <w:tcW w:w="674" w:type="pct"/>
            <w:noWrap/>
            <w:hideMark/>
          </w:tcPr>
          <w:p w14:paraId="35B04E6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47BD5DF3"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46CA0F8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50C2056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3E573BE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24</w:t>
            </w:r>
          </w:p>
        </w:tc>
        <w:tc>
          <w:tcPr>
            <w:tcW w:w="1138" w:type="pct"/>
            <w:noWrap/>
            <w:hideMark/>
          </w:tcPr>
          <w:p w14:paraId="33A2F3A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Liu &amp; Kilonzo-Nthenge (2017)</w:t>
            </w:r>
          </w:p>
        </w:tc>
      </w:tr>
      <w:tr w:rsidR="00285EF0" w:rsidRPr="00883530" w14:paraId="47643CD7" w14:textId="77777777" w:rsidTr="00C848EA">
        <w:trPr>
          <w:trHeight w:val="300"/>
        </w:trPr>
        <w:tc>
          <w:tcPr>
            <w:tcW w:w="674" w:type="pct"/>
            <w:noWrap/>
            <w:hideMark/>
          </w:tcPr>
          <w:p w14:paraId="5D387EC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5B64B51E"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4185206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2B390DD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10</w:t>
            </w:r>
          </w:p>
        </w:tc>
        <w:tc>
          <w:tcPr>
            <w:tcW w:w="568" w:type="pct"/>
            <w:noWrap/>
            <w:hideMark/>
          </w:tcPr>
          <w:p w14:paraId="46D41B8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19244</w:t>
            </w:r>
          </w:p>
        </w:tc>
        <w:tc>
          <w:tcPr>
            <w:tcW w:w="1138" w:type="pct"/>
            <w:noWrap/>
            <w:hideMark/>
          </w:tcPr>
          <w:p w14:paraId="5231465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Reddy et al (2016)</w:t>
            </w:r>
          </w:p>
        </w:tc>
      </w:tr>
      <w:tr w:rsidR="00285EF0" w:rsidRPr="00883530" w14:paraId="140446D9" w14:textId="77777777" w:rsidTr="00C848EA">
        <w:trPr>
          <w:trHeight w:val="300"/>
        </w:trPr>
        <w:tc>
          <w:tcPr>
            <w:tcW w:w="674" w:type="pct"/>
            <w:noWrap/>
            <w:hideMark/>
          </w:tcPr>
          <w:p w14:paraId="6B7ED7A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7C23E972"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08BFBB3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3E7E101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053CE7E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3310</w:t>
            </w:r>
          </w:p>
        </w:tc>
        <w:tc>
          <w:tcPr>
            <w:tcW w:w="1138" w:type="pct"/>
            <w:noWrap/>
            <w:hideMark/>
          </w:tcPr>
          <w:p w14:paraId="0C9A3C3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Zhang et al (2018)</w:t>
            </w:r>
          </w:p>
        </w:tc>
      </w:tr>
      <w:tr w:rsidR="00285EF0" w:rsidRPr="00883530" w14:paraId="3AE0B7FB" w14:textId="77777777" w:rsidTr="00C848EA">
        <w:trPr>
          <w:trHeight w:val="300"/>
        </w:trPr>
        <w:tc>
          <w:tcPr>
            <w:tcW w:w="674" w:type="pct"/>
            <w:noWrap/>
            <w:hideMark/>
          </w:tcPr>
          <w:p w14:paraId="031EAFE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4B4EE5D1"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2CD365E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44F9641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w:t>
            </w:r>
          </w:p>
        </w:tc>
        <w:tc>
          <w:tcPr>
            <w:tcW w:w="568" w:type="pct"/>
            <w:noWrap/>
            <w:hideMark/>
          </w:tcPr>
          <w:p w14:paraId="2E8205B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5548</w:t>
            </w:r>
          </w:p>
        </w:tc>
        <w:tc>
          <w:tcPr>
            <w:tcW w:w="1138" w:type="pct"/>
            <w:noWrap/>
            <w:hideMark/>
          </w:tcPr>
          <w:p w14:paraId="4D22609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Zhang et al (2018)</w:t>
            </w:r>
          </w:p>
        </w:tc>
      </w:tr>
      <w:tr w:rsidR="00285EF0" w:rsidRPr="00883530" w14:paraId="50908545" w14:textId="77777777" w:rsidTr="00C848EA">
        <w:trPr>
          <w:trHeight w:val="300"/>
        </w:trPr>
        <w:tc>
          <w:tcPr>
            <w:tcW w:w="674" w:type="pct"/>
            <w:noWrap/>
            <w:hideMark/>
          </w:tcPr>
          <w:p w14:paraId="59FEEF5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2430268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STEC</w:t>
            </w:r>
          </w:p>
        </w:tc>
        <w:tc>
          <w:tcPr>
            <w:tcW w:w="1303" w:type="pct"/>
            <w:noWrap/>
            <w:hideMark/>
          </w:tcPr>
          <w:p w14:paraId="66421D8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Argentina</w:t>
            </w:r>
          </w:p>
        </w:tc>
        <w:tc>
          <w:tcPr>
            <w:tcW w:w="574" w:type="pct"/>
            <w:noWrap/>
            <w:hideMark/>
          </w:tcPr>
          <w:p w14:paraId="11735E6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w:t>
            </w:r>
          </w:p>
        </w:tc>
        <w:tc>
          <w:tcPr>
            <w:tcW w:w="568" w:type="pct"/>
            <w:noWrap/>
            <w:hideMark/>
          </w:tcPr>
          <w:p w14:paraId="11FA065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267</w:t>
            </w:r>
          </w:p>
        </w:tc>
        <w:tc>
          <w:tcPr>
            <w:tcW w:w="1138" w:type="pct"/>
            <w:noWrap/>
            <w:hideMark/>
          </w:tcPr>
          <w:p w14:paraId="3FD103E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Gonzalez et al (2017)</w:t>
            </w:r>
          </w:p>
        </w:tc>
      </w:tr>
      <w:tr w:rsidR="00285EF0" w:rsidRPr="00883530" w14:paraId="5D391654" w14:textId="77777777" w:rsidTr="00C848EA">
        <w:trPr>
          <w:trHeight w:val="300"/>
        </w:trPr>
        <w:tc>
          <w:tcPr>
            <w:tcW w:w="674" w:type="pct"/>
            <w:noWrap/>
            <w:hideMark/>
          </w:tcPr>
          <w:p w14:paraId="535590A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149BB97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STEC</w:t>
            </w:r>
          </w:p>
        </w:tc>
        <w:tc>
          <w:tcPr>
            <w:tcW w:w="1303" w:type="pct"/>
            <w:noWrap/>
            <w:hideMark/>
          </w:tcPr>
          <w:p w14:paraId="3527507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Canada</w:t>
            </w:r>
          </w:p>
        </w:tc>
        <w:tc>
          <w:tcPr>
            <w:tcW w:w="574" w:type="pct"/>
            <w:noWrap/>
            <w:hideMark/>
          </w:tcPr>
          <w:p w14:paraId="4047BD1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1B2D70C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27</w:t>
            </w:r>
          </w:p>
        </w:tc>
        <w:tc>
          <w:tcPr>
            <w:tcW w:w="1138" w:type="pct"/>
            <w:noWrap/>
            <w:hideMark/>
          </w:tcPr>
          <w:p w14:paraId="394D155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Wood et al (2015)</w:t>
            </w:r>
          </w:p>
        </w:tc>
      </w:tr>
      <w:tr w:rsidR="00285EF0" w:rsidRPr="00883530" w14:paraId="4EF6B23E" w14:textId="77777777" w:rsidTr="00C848EA">
        <w:trPr>
          <w:trHeight w:val="300"/>
        </w:trPr>
        <w:tc>
          <w:tcPr>
            <w:tcW w:w="674" w:type="pct"/>
            <w:noWrap/>
            <w:hideMark/>
          </w:tcPr>
          <w:p w14:paraId="721A7F4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7D920D8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STEC</w:t>
            </w:r>
          </w:p>
        </w:tc>
        <w:tc>
          <w:tcPr>
            <w:tcW w:w="1303" w:type="pct"/>
            <w:noWrap/>
            <w:hideMark/>
          </w:tcPr>
          <w:p w14:paraId="671CDC9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Canada</w:t>
            </w:r>
          </w:p>
        </w:tc>
        <w:tc>
          <w:tcPr>
            <w:tcW w:w="574" w:type="pct"/>
            <w:noWrap/>
            <w:hideMark/>
          </w:tcPr>
          <w:p w14:paraId="5948494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4530054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24</w:t>
            </w:r>
          </w:p>
        </w:tc>
        <w:tc>
          <w:tcPr>
            <w:tcW w:w="1138" w:type="pct"/>
            <w:noWrap/>
            <w:hideMark/>
          </w:tcPr>
          <w:p w14:paraId="5E466DF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Wood et al (2015)</w:t>
            </w:r>
          </w:p>
        </w:tc>
      </w:tr>
      <w:tr w:rsidR="00285EF0" w:rsidRPr="00883530" w14:paraId="07A2C26C" w14:textId="77777777" w:rsidTr="00C848EA">
        <w:trPr>
          <w:trHeight w:val="300"/>
        </w:trPr>
        <w:tc>
          <w:tcPr>
            <w:tcW w:w="674" w:type="pct"/>
            <w:noWrap/>
            <w:hideMark/>
          </w:tcPr>
          <w:p w14:paraId="6920CFD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2AD314D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STEC</w:t>
            </w:r>
          </w:p>
        </w:tc>
        <w:tc>
          <w:tcPr>
            <w:tcW w:w="1303" w:type="pct"/>
            <w:noWrap/>
            <w:hideMark/>
          </w:tcPr>
          <w:p w14:paraId="7ED482B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Canada</w:t>
            </w:r>
          </w:p>
        </w:tc>
        <w:tc>
          <w:tcPr>
            <w:tcW w:w="574" w:type="pct"/>
            <w:noWrap/>
            <w:hideMark/>
          </w:tcPr>
          <w:p w14:paraId="39A72F7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5DD5070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17</w:t>
            </w:r>
          </w:p>
        </w:tc>
        <w:tc>
          <w:tcPr>
            <w:tcW w:w="1138" w:type="pct"/>
            <w:noWrap/>
            <w:hideMark/>
          </w:tcPr>
          <w:p w14:paraId="507A873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Wood et al (2015)</w:t>
            </w:r>
          </w:p>
        </w:tc>
      </w:tr>
      <w:tr w:rsidR="00285EF0" w:rsidRPr="00883530" w14:paraId="16689CD8" w14:textId="77777777" w:rsidTr="00C848EA">
        <w:trPr>
          <w:trHeight w:val="300"/>
        </w:trPr>
        <w:tc>
          <w:tcPr>
            <w:tcW w:w="674" w:type="pct"/>
            <w:noWrap/>
            <w:hideMark/>
          </w:tcPr>
          <w:p w14:paraId="0A09508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2261F8D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STEC</w:t>
            </w:r>
          </w:p>
        </w:tc>
        <w:tc>
          <w:tcPr>
            <w:tcW w:w="1303" w:type="pct"/>
            <w:noWrap/>
            <w:hideMark/>
          </w:tcPr>
          <w:p w14:paraId="2395499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China</w:t>
            </w:r>
          </w:p>
        </w:tc>
        <w:tc>
          <w:tcPr>
            <w:tcW w:w="574" w:type="pct"/>
            <w:noWrap/>
            <w:hideMark/>
          </w:tcPr>
          <w:p w14:paraId="31352A1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w:t>
            </w:r>
          </w:p>
        </w:tc>
        <w:tc>
          <w:tcPr>
            <w:tcW w:w="568" w:type="pct"/>
            <w:noWrap/>
            <w:hideMark/>
          </w:tcPr>
          <w:p w14:paraId="5F9D182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41</w:t>
            </w:r>
          </w:p>
        </w:tc>
        <w:tc>
          <w:tcPr>
            <w:tcW w:w="1138" w:type="pct"/>
            <w:noWrap/>
            <w:hideMark/>
          </w:tcPr>
          <w:p w14:paraId="28B3D7C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Li et al (2016)</w:t>
            </w:r>
          </w:p>
        </w:tc>
      </w:tr>
      <w:tr w:rsidR="00285EF0" w:rsidRPr="00883530" w14:paraId="154CEA53" w14:textId="77777777" w:rsidTr="00C848EA">
        <w:trPr>
          <w:trHeight w:val="300"/>
        </w:trPr>
        <w:tc>
          <w:tcPr>
            <w:tcW w:w="674" w:type="pct"/>
            <w:noWrap/>
            <w:hideMark/>
          </w:tcPr>
          <w:p w14:paraId="4655D7D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664751D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STEC</w:t>
            </w:r>
          </w:p>
        </w:tc>
        <w:tc>
          <w:tcPr>
            <w:tcW w:w="1303" w:type="pct"/>
            <w:noWrap/>
            <w:hideMark/>
          </w:tcPr>
          <w:p w14:paraId="591B780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Italy</w:t>
            </w:r>
          </w:p>
        </w:tc>
        <w:tc>
          <w:tcPr>
            <w:tcW w:w="574" w:type="pct"/>
            <w:noWrap/>
            <w:hideMark/>
          </w:tcPr>
          <w:p w14:paraId="0DD9677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6863D4F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255</w:t>
            </w:r>
          </w:p>
        </w:tc>
        <w:tc>
          <w:tcPr>
            <w:tcW w:w="1138" w:type="pct"/>
            <w:noWrap/>
            <w:hideMark/>
          </w:tcPr>
          <w:p w14:paraId="58ECF3A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Santarelli et al (2018)</w:t>
            </w:r>
          </w:p>
        </w:tc>
      </w:tr>
      <w:tr w:rsidR="00285EF0" w:rsidRPr="00883530" w14:paraId="0394C924" w14:textId="77777777" w:rsidTr="00C848EA">
        <w:trPr>
          <w:trHeight w:val="300"/>
        </w:trPr>
        <w:tc>
          <w:tcPr>
            <w:tcW w:w="674" w:type="pct"/>
            <w:noWrap/>
            <w:hideMark/>
          </w:tcPr>
          <w:p w14:paraId="42C627A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46EBFFA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STEC</w:t>
            </w:r>
          </w:p>
        </w:tc>
        <w:tc>
          <w:tcPr>
            <w:tcW w:w="1303" w:type="pct"/>
            <w:noWrap/>
            <w:hideMark/>
          </w:tcPr>
          <w:p w14:paraId="66BC205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Italy</w:t>
            </w:r>
          </w:p>
        </w:tc>
        <w:tc>
          <w:tcPr>
            <w:tcW w:w="574" w:type="pct"/>
            <w:noWrap/>
            <w:hideMark/>
          </w:tcPr>
          <w:p w14:paraId="5A31353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2CD3851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196</w:t>
            </w:r>
          </w:p>
        </w:tc>
        <w:tc>
          <w:tcPr>
            <w:tcW w:w="1138" w:type="pct"/>
            <w:noWrap/>
            <w:hideMark/>
          </w:tcPr>
          <w:p w14:paraId="49A6158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Santarelli et al (2018)</w:t>
            </w:r>
          </w:p>
        </w:tc>
      </w:tr>
      <w:tr w:rsidR="00285EF0" w:rsidRPr="00883530" w14:paraId="14421EEC" w14:textId="77777777" w:rsidTr="00C848EA">
        <w:trPr>
          <w:trHeight w:val="300"/>
        </w:trPr>
        <w:tc>
          <w:tcPr>
            <w:tcW w:w="674" w:type="pct"/>
            <w:noWrap/>
            <w:hideMark/>
          </w:tcPr>
          <w:p w14:paraId="7DF52F8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422D833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STEC</w:t>
            </w:r>
          </w:p>
        </w:tc>
        <w:tc>
          <w:tcPr>
            <w:tcW w:w="1303" w:type="pct"/>
            <w:noWrap/>
            <w:hideMark/>
          </w:tcPr>
          <w:p w14:paraId="670FDD4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Turkey</w:t>
            </w:r>
          </w:p>
        </w:tc>
        <w:tc>
          <w:tcPr>
            <w:tcW w:w="574" w:type="pct"/>
            <w:noWrap/>
            <w:hideMark/>
          </w:tcPr>
          <w:p w14:paraId="66A8AFC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w:t>
            </w:r>
          </w:p>
        </w:tc>
        <w:tc>
          <w:tcPr>
            <w:tcW w:w="568" w:type="pct"/>
            <w:noWrap/>
            <w:hideMark/>
          </w:tcPr>
          <w:p w14:paraId="706C4DF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30</w:t>
            </w:r>
          </w:p>
        </w:tc>
        <w:tc>
          <w:tcPr>
            <w:tcW w:w="1138" w:type="pct"/>
            <w:noWrap/>
            <w:hideMark/>
          </w:tcPr>
          <w:p w14:paraId="05F7F36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Ozpinar et al (2013)</w:t>
            </w:r>
          </w:p>
        </w:tc>
      </w:tr>
      <w:tr w:rsidR="00285EF0" w:rsidRPr="00883530" w14:paraId="24B1E84D" w14:textId="77777777" w:rsidTr="00C848EA">
        <w:trPr>
          <w:trHeight w:val="300"/>
        </w:trPr>
        <w:tc>
          <w:tcPr>
            <w:tcW w:w="674" w:type="pct"/>
            <w:noWrap/>
            <w:hideMark/>
          </w:tcPr>
          <w:p w14:paraId="47A90F6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3BC11A84"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7A231EF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Brazil</w:t>
            </w:r>
          </w:p>
        </w:tc>
        <w:tc>
          <w:tcPr>
            <w:tcW w:w="574" w:type="pct"/>
            <w:noWrap/>
            <w:hideMark/>
          </w:tcPr>
          <w:p w14:paraId="3067712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w:t>
            </w:r>
          </w:p>
        </w:tc>
        <w:tc>
          <w:tcPr>
            <w:tcW w:w="568" w:type="pct"/>
            <w:noWrap/>
            <w:hideMark/>
          </w:tcPr>
          <w:p w14:paraId="0B6C980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152</w:t>
            </w:r>
          </w:p>
        </w:tc>
        <w:tc>
          <w:tcPr>
            <w:tcW w:w="1138" w:type="pct"/>
            <w:noWrap/>
            <w:hideMark/>
          </w:tcPr>
          <w:p w14:paraId="6011C4A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Sant'ana et al (2012)</w:t>
            </w:r>
          </w:p>
        </w:tc>
      </w:tr>
      <w:tr w:rsidR="00285EF0" w:rsidRPr="00883530" w14:paraId="65BF7170" w14:textId="77777777" w:rsidTr="00C848EA">
        <w:trPr>
          <w:trHeight w:val="300"/>
        </w:trPr>
        <w:tc>
          <w:tcPr>
            <w:tcW w:w="674" w:type="pct"/>
            <w:noWrap/>
            <w:hideMark/>
          </w:tcPr>
          <w:p w14:paraId="58299D3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4F809574"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12F25A8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Italy</w:t>
            </w:r>
          </w:p>
        </w:tc>
        <w:tc>
          <w:tcPr>
            <w:tcW w:w="574" w:type="pct"/>
            <w:noWrap/>
            <w:hideMark/>
          </w:tcPr>
          <w:p w14:paraId="7686FF1F"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33F6368F"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255</w:t>
            </w:r>
          </w:p>
        </w:tc>
        <w:tc>
          <w:tcPr>
            <w:tcW w:w="1138" w:type="pct"/>
            <w:noWrap/>
            <w:hideMark/>
          </w:tcPr>
          <w:p w14:paraId="0797CDD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Santarelli et al (2018)</w:t>
            </w:r>
          </w:p>
        </w:tc>
      </w:tr>
      <w:tr w:rsidR="00285EF0" w:rsidRPr="00883530" w14:paraId="43925907" w14:textId="77777777" w:rsidTr="00C848EA">
        <w:trPr>
          <w:trHeight w:val="300"/>
        </w:trPr>
        <w:tc>
          <w:tcPr>
            <w:tcW w:w="674" w:type="pct"/>
            <w:noWrap/>
            <w:hideMark/>
          </w:tcPr>
          <w:p w14:paraId="7C6FBD7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65C447A9"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35FDF88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Italy</w:t>
            </w:r>
          </w:p>
        </w:tc>
        <w:tc>
          <w:tcPr>
            <w:tcW w:w="574" w:type="pct"/>
            <w:noWrap/>
            <w:hideMark/>
          </w:tcPr>
          <w:p w14:paraId="6B3466F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545E678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196</w:t>
            </w:r>
          </w:p>
        </w:tc>
        <w:tc>
          <w:tcPr>
            <w:tcW w:w="1138" w:type="pct"/>
            <w:noWrap/>
            <w:hideMark/>
          </w:tcPr>
          <w:p w14:paraId="44B735A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Santarelli et al (2018)</w:t>
            </w:r>
          </w:p>
        </w:tc>
      </w:tr>
      <w:tr w:rsidR="00285EF0" w:rsidRPr="00883530" w14:paraId="13148F87" w14:textId="77777777" w:rsidTr="00C848EA">
        <w:trPr>
          <w:trHeight w:val="300"/>
        </w:trPr>
        <w:tc>
          <w:tcPr>
            <w:tcW w:w="674" w:type="pct"/>
            <w:noWrap/>
            <w:hideMark/>
          </w:tcPr>
          <w:p w14:paraId="606E4A1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021C56EE"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143F996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Italy</w:t>
            </w:r>
          </w:p>
        </w:tc>
        <w:tc>
          <w:tcPr>
            <w:tcW w:w="574" w:type="pct"/>
            <w:noWrap/>
            <w:hideMark/>
          </w:tcPr>
          <w:p w14:paraId="66EC5C42"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149C330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18</w:t>
            </w:r>
          </w:p>
        </w:tc>
        <w:tc>
          <w:tcPr>
            <w:tcW w:w="1138" w:type="pct"/>
            <w:noWrap/>
            <w:hideMark/>
          </w:tcPr>
          <w:p w14:paraId="475E98B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Terio et al (2017)</w:t>
            </w:r>
          </w:p>
        </w:tc>
      </w:tr>
      <w:tr w:rsidR="00285EF0" w:rsidRPr="00883530" w14:paraId="638BF612" w14:textId="77777777" w:rsidTr="00C848EA">
        <w:trPr>
          <w:trHeight w:val="300"/>
        </w:trPr>
        <w:tc>
          <w:tcPr>
            <w:tcW w:w="674" w:type="pct"/>
            <w:noWrap/>
            <w:hideMark/>
          </w:tcPr>
          <w:p w14:paraId="16D2DDA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328D03B7"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66D44CF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Italy</w:t>
            </w:r>
          </w:p>
        </w:tc>
        <w:tc>
          <w:tcPr>
            <w:tcW w:w="574" w:type="pct"/>
            <w:noWrap/>
            <w:hideMark/>
          </w:tcPr>
          <w:p w14:paraId="799A40A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2DAF301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67</w:t>
            </w:r>
          </w:p>
        </w:tc>
        <w:tc>
          <w:tcPr>
            <w:tcW w:w="1138" w:type="pct"/>
            <w:noWrap/>
            <w:hideMark/>
          </w:tcPr>
          <w:p w14:paraId="34D4D21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Terio et al (2017)</w:t>
            </w:r>
          </w:p>
        </w:tc>
      </w:tr>
      <w:tr w:rsidR="00285EF0" w:rsidRPr="00883530" w14:paraId="6BF76CD5" w14:textId="77777777" w:rsidTr="00C848EA">
        <w:trPr>
          <w:trHeight w:val="300"/>
        </w:trPr>
        <w:tc>
          <w:tcPr>
            <w:tcW w:w="674" w:type="pct"/>
            <w:noWrap/>
            <w:hideMark/>
          </w:tcPr>
          <w:p w14:paraId="0B6C023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499D73C9"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386FB94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Malaysia</w:t>
            </w:r>
          </w:p>
        </w:tc>
        <w:tc>
          <w:tcPr>
            <w:tcW w:w="574" w:type="pct"/>
            <w:noWrap/>
            <w:hideMark/>
          </w:tcPr>
          <w:p w14:paraId="312337F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2F27363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14</w:t>
            </w:r>
          </w:p>
        </w:tc>
        <w:tc>
          <w:tcPr>
            <w:tcW w:w="1138" w:type="pct"/>
            <w:noWrap/>
            <w:hideMark/>
          </w:tcPr>
          <w:p w14:paraId="0E58490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Jamali et al (2013)</w:t>
            </w:r>
          </w:p>
        </w:tc>
      </w:tr>
      <w:tr w:rsidR="00285EF0" w:rsidRPr="00883530" w14:paraId="2A7BB40B" w14:textId="77777777" w:rsidTr="00C848EA">
        <w:trPr>
          <w:trHeight w:val="300"/>
        </w:trPr>
        <w:tc>
          <w:tcPr>
            <w:tcW w:w="674" w:type="pct"/>
            <w:noWrap/>
            <w:hideMark/>
          </w:tcPr>
          <w:p w14:paraId="0E1723E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28C9774A"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53F21CF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0A4DE35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w:t>
            </w:r>
          </w:p>
        </w:tc>
        <w:tc>
          <w:tcPr>
            <w:tcW w:w="568" w:type="pct"/>
            <w:noWrap/>
            <w:hideMark/>
          </w:tcPr>
          <w:p w14:paraId="6917F9A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55</w:t>
            </w:r>
          </w:p>
        </w:tc>
        <w:tc>
          <w:tcPr>
            <w:tcW w:w="1138" w:type="pct"/>
            <w:noWrap/>
            <w:hideMark/>
          </w:tcPr>
          <w:p w14:paraId="57D1E64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(2014)</w:t>
            </w:r>
          </w:p>
        </w:tc>
      </w:tr>
      <w:tr w:rsidR="00285EF0" w:rsidRPr="00883530" w14:paraId="1E1F7C97" w14:textId="77777777" w:rsidTr="00C848EA">
        <w:trPr>
          <w:trHeight w:val="300"/>
        </w:trPr>
        <w:tc>
          <w:tcPr>
            <w:tcW w:w="674" w:type="pct"/>
            <w:noWrap/>
            <w:hideMark/>
          </w:tcPr>
          <w:p w14:paraId="66B6CEB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0E24BEE3"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32BBC8B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6910859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4</w:t>
            </w:r>
          </w:p>
        </w:tc>
        <w:tc>
          <w:tcPr>
            <w:tcW w:w="568" w:type="pct"/>
            <w:noWrap/>
            <w:hideMark/>
          </w:tcPr>
          <w:p w14:paraId="39E22C5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63</w:t>
            </w:r>
          </w:p>
        </w:tc>
        <w:tc>
          <w:tcPr>
            <w:tcW w:w="1138" w:type="pct"/>
            <w:noWrap/>
            <w:hideMark/>
          </w:tcPr>
          <w:p w14:paraId="34CC568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(2014)</w:t>
            </w:r>
          </w:p>
        </w:tc>
      </w:tr>
      <w:tr w:rsidR="00285EF0" w:rsidRPr="00883530" w14:paraId="5C0AD7DE" w14:textId="77777777" w:rsidTr="00C848EA">
        <w:trPr>
          <w:trHeight w:val="300"/>
        </w:trPr>
        <w:tc>
          <w:tcPr>
            <w:tcW w:w="674" w:type="pct"/>
            <w:noWrap/>
            <w:hideMark/>
          </w:tcPr>
          <w:p w14:paraId="38FB6BA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205D7B06"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3D45661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2A6AD3E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5F4F2FCF"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30</w:t>
            </w:r>
          </w:p>
        </w:tc>
        <w:tc>
          <w:tcPr>
            <w:tcW w:w="1138" w:type="pct"/>
            <w:noWrap/>
            <w:hideMark/>
          </w:tcPr>
          <w:p w14:paraId="7BEA069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(2018)</w:t>
            </w:r>
          </w:p>
        </w:tc>
      </w:tr>
      <w:tr w:rsidR="00285EF0" w:rsidRPr="00883530" w14:paraId="2F4F4131" w14:textId="77777777" w:rsidTr="00C848EA">
        <w:trPr>
          <w:trHeight w:val="300"/>
        </w:trPr>
        <w:tc>
          <w:tcPr>
            <w:tcW w:w="674" w:type="pct"/>
            <w:noWrap/>
            <w:hideMark/>
          </w:tcPr>
          <w:p w14:paraId="27084EC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04C29D5B"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391B71F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6CEFFCA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4DBB758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30</w:t>
            </w:r>
          </w:p>
        </w:tc>
        <w:tc>
          <w:tcPr>
            <w:tcW w:w="1138" w:type="pct"/>
            <w:noWrap/>
            <w:hideMark/>
          </w:tcPr>
          <w:p w14:paraId="2B99333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(2018)</w:t>
            </w:r>
          </w:p>
        </w:tc>
      </w:tr>
      <w:tr w:rsidR="00285EF0" w:rsidRPr="00883530" w14:paraId="6B19A6DE" w14:textId="77777777" w:rsidTr="00C848EA">
        <w:trPr>
          <w:trHeight w:val="300"/>
        </w:trPr>
        <w:tc>
          <w:tcPr>
            <w:tcW w:w="674" w:type="pct"/>
            <w:noWrap/>
            <w:hideMark/>
          </w:tcPr>
          <w:p w14:paraId="0E84B7B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1488A2D4"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58DB4D1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Spain</w:t>
            </w:r>
          </w:p>
        </w:tc>
        <w:tc>
          <w:tcPr>
            <w:tcW w:w="574" w:type="pct"/>
            <w:noWrap/>
            <w:hideMark/>
          </w:tcPr>
          <w:p w14:paraId="702986C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04238FA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27</w:t>
            </w:r>
          </w:p>
        </w:tc>
        <w:tc>
          <w:tcPr>
            <w:tcW w:w="1138" w:type="pct"/>
            <w:noWrap/>
            <w:hideMark/>
          </w:tcPr>
          <w:p w14:paraId="634BB98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Moreno et al (2012)</w:t>
            </w:r>
          </w:p>
        </w:tc>
      </w:tr>
      <w:tr w:rsidR="00285EF0" w:rsidRPr="00883530" w14:paraId="3B33836C" w14:textId="77777777" w:rsidTr="00C848EA">
        <w:trPr>
          <w:trHeight w:val="300"/>
        </w:trPr>
        <w:tc>
          <w:tcPr>
            <w:tcW w:w="674" w:type="pct"/>
            <w:noWrap/>
            <w:hideMark/>
          </w:tcPr>
          <w:p w14:paraId="5223744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3530BBB5"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299DE88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Switzerland</w:t>
            </w:r>
          </w:p>
        </w:tc>
        <w:tc>
          <w:tcPr>
            <w:tcW w:w="574" w:type="pct"/>
            <w:noWrap/>
            <w:hideMark/>
          </w:tcPr>
          <w:p w14:paraId="29EE010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w:t>
            </w:r>
          </w:p>
        </w:tc>
        <w:tc>
          <w:tcPr>
            <w:tcW w:w="568" w:type="pct"/>
            <w:noWrap/>
            <w:hideMark/>
          </w:tcPr>
          <w:p w14:paraId="2AA9FA5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142</w:t>
            </w:r>
          </w:p>
        </w:tc>
        <w:tc>
          <w:tcPr>
            <w:tcW w:w="1138" w:type="pct"/>
            <w:noWrap/>
            <w:hideMark/>
          </w:tcPr>
          <w:p w14:paraId="55F5365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Althaus et al (2012)</w:t>
            </w:r>
          </w:p>
        </w:tc>
      </w:tr>
      <w:tr w:rsidR="00285EF0" w:rsidRPr="00883530" w14:paraId="49D9BF01" w14:textId="77777777" w:rsidTr="00C848EA">
        <w:trPr>
          <w:trHeight w:val="300"/>
        </w:trPr>
        <w:tc>
          <w:tcPr>
            <w:tcW w:w="674" w:type="pct"/>
            <w:noWrap/>
            <w:hideMark/>
          </w:tcPr>
          <w:p w14:paraId="4245A6D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051D7EF0"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579B7CF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0315663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66FF5A6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69</w:t>
            </w:r>
          </w:p>
        </w:tc>
        <w:tc>
          <w:tcPr>
            <w:tcW w:w="1138" w:type="pct"/>
            <w:noWrap/>
            <w:hideMark/>
          </w:tcPr>
          <w:p w14:paraId="6D3CA02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Korir et al (2016)</w:t>
            </w:r>
          </w:p>
        </w:tc>
      </w:tr>
      <w:tr w:rsidR="00285EF0" w:rsidRPr="00883530" w14:paraId="055F11A9" w14:textId="77777777" w:rsidTr="00C848EA">
        <w:trPr>
          <w:trHeight w:val="300"/>
        </w:trPr>
        <w:tc>
          <w:tcPr>
            <w:tcW w:w="674" w:type="pct"/>
            <w:noWrap/>
            <w:hideMark/>
          </w:tcPr>
          <w:p w14:paraId="41816F7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1D9EFE5B"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7790AAC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03F42CE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496A30A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52</w:t>
            </w:r>
          </w:p>
        </w:tc>
        <w:tc>
          <w:tcPr>
            <w:tcW w:w="1138" w:type="pct"/>
            <w:noWrap/>
            <w:hideMark/>
          </w:tcPr>
          <w:p w14:paraId="09D9D8C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Scheinberg et al (2017)</w:t>
            </w:r>
          </w:p>
        </w:tc>
      </w:tr>
      <w:tr w:rsidR="00285EF0" w:rsidRPr="00883530" w14:paraId="52EAE86E" w14:textId="77777777" w:rsidTr="00C848EA">
        <w:trPr>
          <w:trHeight w:val="300"/>
        </w:trPr>
        <w:tc>
          <w:tcPr>
            <w:tcW w:w="674" w:type="pct"/>
            <w:noWrap/>
            <w:hideMark/>
          </w:tcPr>
          <w:p w14:paraId="2B35241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30B53EF9"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343DA30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3BA45C2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w:t>
            </w:r>
          </w:p>
        </w:tc>
        <w:tc>
          <w:tcPr>
            <w:tcW w:w="568" w:type="pct"/>
            <w:noWrap/>
            <w:hideMark/>
          </w:tcPr>
          <w:p w14:paraId="2B70DDE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3310</w:t>
            </w:r>
          </w:p>
        </w:tc>
        <w:tc>
          <w:tcPr>
            <w:tcW w:w="1138" w:type="pct"/>
            <w:noWrap/>
            <w:hideMark/>
          </w:tcPr>
          <w:p w14:paraId="23FD993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Zhang et al (2018)</w:t>
            </w:r>
          </w:p>
        </w:tc>
      </w:tr>
      <w:tr w:rsidR="00285EF0" w:rsidRPr="00883530" w14:paraId="706EC91F" w14:textId="77777777" w:rsidTr="00C848EA">
        <w:trPr>
          <w:trHeight w:val="300"/>
        </w:trPr>
        <w:tc>
          <w:tcPr>
            <w:tcW w:w="674" w:type="pct"/>
            <w:noWrap/>
            <w:hideMark/>
          </w:tcPr>
          <w:p w14:paraId="18E3B8E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Lettuce</w:t>
            </w:r>
          </w:p>
        </w:tc>
        <w:tc>
          <w:tcPr>
            <w:tcW w:w="743" w:type="pct"/>
            <w:gridSpan w:val="2"/>
            <w:noWrap/>
            <w:hideMark/>
          </w:tcPr>
          <w:p w14:paraId="733A2453"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1890884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7BC7E21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8</w:t>
            </w:r>
          </w:p>
        </w:tc>
        <w:tc>
          <w:tcPr>
            <w:tcW w:w="568" w:type="pct"/>
            <w:noWrap/>
            <w:hideMark/>
          </w:tcPr>
          <w:p w14:paraId="3E390982"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5548</w:t>
            </w:r>
          </w:p>
        </w:tc>
        <w:tc>
          <w:tcPr>
            <w:tcW w:w="1138" w:type="pct"/>
            <w:noWrap/>
            <w:hideMark/>
          </w:tcPr>
          <w:p w14:paraId="2D2E9DF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Zhang et al (2018)</w:t>
            </w:r>
          </w:p>
        </w:tc>
      </w:tr>
      <w:tr w:rsidR="00285EF0" w:rsidRPr="00883530" w14:paraId="72CC5B66" w14:textId="77777777" w:rsidTr="00C848EA">
        <w:trPr>
          <w:trHeight w:val="300"/>
        </w:trPr>
        <w:tc>
          <w:tcPr>
            <w:tcW w:w="674" w:type="pct"/>
            <w:noWrap/>
            <w:hideMark/>
          </w:tcPr>
          <w:p w14:paraId="6526938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13F6D08E"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7EAB8CA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Czech Republic</w:t>
            </w:r>
          </w:p>
        </w:tc>
        <w:tc>
          <w:tcPr>
            <w:tcW w:w="574" w:type="pct"/>
            <w:noWrap/>
            <w:hideMark/>
          </w:tcPr>
          <w:p w14:paraId="163F13C5"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0CE63C3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21</w:t>
            </w:r>
          </w:p>
        </w:tc>
        <w:tc>
          <w:tcPr>
            <w:tcW w:w="1138" w:type="pct"/>
            <w:noWrap/>
            <w:hideMark/>
          </w:tcPr>
          <w:p w14:paraId="77A0E70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Vojkovska et al (2017)</w:t>
            </w:r>
          </w:p>
        </w:tc>
      </w:tr>
      <w:tr w:rsidR="00285EF0" w:rsidRPr="00883530" w14:paraId="678AD7EF" w14:textId="77777777" w:rsidTr="00C848EA">
        <w:trPr>
          <w:trHeight w:val="300"/>
        </w:trPr>
        <w:tc>
          <w:tcPr>
            <w:tcW w:w="674" w:type="pct"/>
            <w:noWrap/>
            <w:hideMark/>
          </w:tcPr>
          <w:p w14:paraId="24DB402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0A38175F"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24E541C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India</w:t>
            </w:r>
          </w:p>
        </w:tc>
        <w:tc>
          <w:tcPr>
            <w:tcW w:w="574" w:type="pct"/>
            <w:noWrap/>
            <w:hideMark/>
          </w:tcPr>
          <w:p w14:paraId="0A190D7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7</w:t>
            </w:r>
          </w:p>
        </w:tc>
        <w:tc>
          <w:tcPr>
            <w:tcW w:w="568" w:type="pct"/>
            <w:noWrap/>
            <w:hideMark/>
          </w:tcPr>
          <w:p w14:paraId="7E2755F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60</w:t>
            </w:r>
          </w:p>
        </w:tc>
        <w:tc>
          <w:tcPr>
            <w:tcW w:w="1138" w:type="pct"/>
            <w:noWrap/>
            <w:hideMark/>
          </w:tcPr>
          <w:p w14:paraId="4619D19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Mritunjay &amp; Kumar (2017)</w:t>
            </w:r>
          </w:p>
        </w:tc>
      </w:tr>
      <w:tr w:rsidR="00285EF0" w:rsidRPr="00883530" w14:paraId="299D1C39" w14:textId="77777777" w:rsidTr="00C848EA">
        <w:trPr>
          <w:trHeight w:val="300"/>
        </w:trPr>
        <w:tc>
          <w:tcPr>
            <w:tcW w:w="674" w:type="pct"/>
            <w:noWrap/>
            <w:hideMark/>
          </w:tcPr>
          <w:p w14:paraId="548AE79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6FE401D8"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1927A1D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Italy</w:t>
            </w:r>
          </w:p>
        </w:tc>
        <w:tc>
          <w:tcPr>
            <w:tcW w:w="574" w:type="pct"/>
            <w:noWrap/>
            <w:hideMark/>
          </w:tcPr>
          <w:p w14:paraId="2077D3E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3009EE62"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10</w:t>
            </w:r>
          </w:p>
        </w:tc>
        <w:tc>
          <w:tcPr>
            <w:tcW w:w="1138" w:type="pct"/>
            <w:noWrap/>
            <w:hideMark/>
          </w:tcPr>
          <w:p w14:paraId="080B03C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Terio et al (2017)</w:t>
            </w:r>
          </w:p>
        </w:tc>
      </w:tr>
      <w:tr w:rsidR="00285EF0" w:rsidRPr="00883530" w14:paraId="46D1D2C4" w14:textId="77777777" w:rsidTr="00C848EA">
        <w:trPr>
          <w:trHeight w:val="300"/>
        </w:trPr>
        <w:tc>
          <w:tcPr>
            <w:tcW w:w="674" w:type="pct"/>
            <w:noWrap/>
            <w:hideMark/>
          </w:tcPr>
          <w:p w14:paraId="0B50874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2B61AC92"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5D261C5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Japan</w:t>
            </w:r>
          </w:p>
        </w:tc>
        <w:tc>
          <w:tcPr>
            <w:tcW w:w="574" w:type="pct"/>
            <w:noWrap/>
            <w:hideMark/>
          </w:tcPr>
          <w:p w14:paraId="1A1A9532"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08DA533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536</w:t>
            </w:r>
          </w:p>
        </w:tc>
        <w:tc>
          <w:tcPr>
            <w:tcW w:w="1138" w:type="pct"/>
            <w:noWrap/>
            <w:hideMark/>
          </w:tcPr>
          <w:p w14:paraId="3AB82E3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Hara-Kudo et al (2013)</w:t>
            </w:r>
          </w:p>
        </w:tc>
      </w:tr>
      <w:tr w:rsidR="00285EF0" w:rsidRPr="00883530" w14:paraId="44E80405" w14:textId="77777777" w:rsidTr="00C848EA">
        <w:trPr>
          <w:trHeight w:val="300"/>
        </w:trPr>
        <w:tc>
          <w:tcPr>
            <w:tcW w:w="674" w:type="pct"/>
            <w:noWrap/>
            <w:hideMark/>
          </w:tcPr>
          <w:p w14:paraId="7A8F7A6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6D587D8A"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76D4FE2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64273B7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5020421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55</w:t>
            </w:r>
          </w:p>
        </w:tc>
        <w:tc>
          <w:tcPr>
            <w:tcW w:w="1138" w:type="pct"/>
            <w:noWrap/>
            <w:hideMark/>
          </w:tcPr>
          <w:p w14:paraId="0093E5E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(2014)</w:t>
            </w:r>
          </w:p>
        </w:tc>
      </w:tr>
      <w:tr w:rsidR="00285EF0" w:rsidRPr="00883530" w14:paraId="56B79C58" w14:textId="77777777" w:rsidTr="00C848EA">
        <w:trPr>
          <w:trHeight w:val="300"/>
        </w:trPr>
        <w:tc>
          <w:tcPr>
            <w:tcW w:w="674" w:type="pct"/>
            <w:noWrap/>
            <w:hideMark/>
          </w:tcPr>
          <w:p w14:paraId="13EF0EA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5511217C"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0D3E7A9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30F11BC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2CC3EBA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63</w:t>
            </w:r>
          </w:p>
        </w:tc>
        <w:tc>
          <w:tcPr>
            <w:tcW w:w="1138" w:type="pct"/>
            <w:noWrap/>
            <w:hideMark/>
          </w:tcPr>
          <w:p w14:paraId="733516C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(2014)</w:t>
            </w:r>
          </w:p>
        </w:tc>
      </w:tr>
      <w:tr w:rsidR="00285EF0" w:rsidRPr="00883530" w14:paraId="2F521680" w14:textId="77777777" w:rsidTr="00C848EA">
        <w:trPr>
          <w:trHeight w:val="300"/>
        </w:trPr>
        <w:tc>
          <w:tcPr>
            <w:tcW w:w="674" w:type="pct"/>
            <w:noWrap/>
            <w:hideMark/>
          </w:tcPr>
          <w:p w14:paraId="5CF5C3E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5B68FF8E"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6620E2D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16AB66C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48922F1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30</w:t>
            </w:r>
          </w:p>
        </w:tc>
        <w:tc>
          <w:tcPr>
            <w:tcW w:w="1138" w:type="pct"/>
            <w:noWrap/>
            <w:hideMark/>
          </w:tcPr>
          <w:p w14:paraId="2B246C0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(2018)</w:t>
            </w:r>
          </w:p>
        </w:tc>
      </w:tr>
      <w:tr w:rsidR="00285EF0" w:rsidRPr="00883530" w14:paraId="7456AC27" w14:textId="77777777" w:rsidTr="00C848EA">
        <w:trPr>
          <w:trHeight w:val="300"/>
        </w:trPr>
        <w:tc>
          <w:tcPr>
            <w:tcW w:w="674" w:type="pct"/>
            <w:noWrap/>
            <w:hideMark/>
          </w:tcPr>
          <w:p w14:paraId="7B35F5E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60288599"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0D9A2C3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6E9E96C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550AA8C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30</w:t>
            </w:r>
          </w:p>
        </w:tc>
        <w:tc>
          <w:tcPr>
            <w:tcW w:w="1138" w:type="pct"/>
            <w:noWrap/>
            <w:hideMark/>
          </w:tcPr>
          <w:p w14:paraId="14FACB5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(2018)</w:t>
            </w:r>
          </w:p>
        </w:tc>
      </w:tr>
      <w:tr w:rsidR="00285EF0" w:rsidRPr="00883530" w14:paraId="5BA90D50" w14:textId="77777777" w:rsidTr="00C848EA">
        <w:trPr>
          <w:trHeight w:val="300"/>
        </w:trPr>
        <w:tc>
          <w:tcPr>
            <w:tcW w:w="674" w:type="pct"/>
            <w:noWrap/>
            <w:hideMark/>
          </w:tcPr>
          <w:p w14:paraId="3C174A2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6485A3D8"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75EB8D3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6894E7C5"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338C4F5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69</w:t>
            </w:r>
          </w:p>
        </w:tc>
        <w:tc>
          <w:tcPr>
            <w:tcW w:w="1138" w:type="pct"/>
            <w:noWrap/>
            <w:hideMark/>
          </w:tcPr>
          <w:p w14:paraId="28CD00E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Korir et al (2016)</w:t>
            </w:r>
          </w:p>
        </w:tc>
      </w:tr>
      <w:tr w:rsidR="00285EF0" w:rsidRPr="00883530" w14:paraId="1392D814" w14:textId="77777777" w:rsidTr="00C848EA">
        <w:trPr>
          <w:trHeight w:val="300"/>
        </w:trPr>
        <w:tc>
          <w:tcPr>
            <w:tcW w:w="674" w:type="pct"/>
            <w:noWrap/>
            <w:hideMark/>
          </w:tcPr>
          <w:p w14:paraId="7F709D0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1E446BF6"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41EE773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745F367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8</w:t>
            </w:r>
          </w:p>
        </w:tc>
        <w:tc>
          <w:tcPr>
            <w:tcW w:w="568" w:type="pct"/>
            <w:noWrap/>
            <w:hideMark/>
          </w:tcPr>
          <w:p w14:paraId="03B95EC2"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43</w:t>
            </w:r>
          </w:p>
        </w:tc>
        <w:tc>
          <w:tcPr>
            <w:tcW w:w="1138" w:type="pct"/>
            <w:noWrap/>
            <w:hideMark/>
          </w:tcPr>
          <w:p w14:paraId="7974DEC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Li et al (2017)</w:t>
            </w:r>
          </w:p>
        </w:tc>
      </w:tr>
      <w:tr w:rsidR="00285EF0" w:rsidRPr="00883530" w14:paraId="41C88CEB" w14:textId="77777777" w:rsidTr="00C848EA">
        <w:trPr>
          <w:trHeight w:val="300"/>
        </w:trPr>
        <w:tc>
          <w:tcPr>
            <w:tcW w:w="674" w:type="pct"/>
            <w:noWrap/>
            <w:hideMark/>
          </w:tcPr>
          <w:p w14:paraId="037826D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3377136C"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7A30DFB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400436C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7CB5E6A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33</w:t>
            </w:r>
          </w:p>
        </w:tc>
        <w:tc>
          <w:tcPr>
            <w:tcW w:w="1138" w:type="pct"/>
            <w:noWrap/>
            <w:hideMark/>
          </w:tcPr>
          <w:p w14:paraId="695D77C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Liu &amp; Kilonzo-Nthenge (2017)</w:t>
            </w:r>
          </w:p>
        </w:tc>
      </w:tr>
      <w:tr w:rsidR="00285EF0" w:rsidRPr="00883530" w14:paraId="3C0559C7" w14:textId="77777777" w:rsidTr="00C848EA">
        <w:trPr>
          <w:trHeight w:val="300"/>
        </w:trPr>
        <w:tc>
          <w:tcPr>
            <w:tcW w:w="674" w:type="pct"/>
            <w:noWrap/>
            <w:hideMark/>
          </w:tcPr>
          <w:p w14:paraId="45D2F0B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486A1C36"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29C91B2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2322C73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08403C2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52</w:t>
            </w:r>
          </w:p>
        </w:tc>
        <w:tc>
          <w:tcPr>
            <w:tcW w:w="1138" w:type="pct"/>
            <w:noWrap/>
            <w:hideMark/>
          </w:tcPr>
          <w:p w14:paraId="234F809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Roth et al (2018)</w:t>
            </w:r>
          </w:p>
        </w:tc>
      </w:tr>
      <w:tr w:rsidR="00285EF0" w:rsidRPr="00883530" w14:paraId="3F69DB6D" w14:textId="77777777" w:rsidTr="00C848EA">
        <w:trPr>
          <w:trHeight w:val="300"/>
        </w:trPr>
        <w:tc>
          <w:tcPr>
            <w:tcW w:w="674" w:type="pct"/>
            <w:noWrap/>
            <w:hideMark/>
          </w:tcPr>
          <w:p w14:paraId="34520C3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4AABB3E2"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3820C26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5BCE2F4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0FF86C12"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25</w:t>
            </w:r>
          </w:p>
        </w:tc>
        <w:tc>
          <w:tcPr>
            <w:tcW w:w="1138" w:type="pct"/>
            <w:noWrap/>
            <w:hideMark/>
          </w:tcPr>
          <w:p w14:paraId="4856A7A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Roth et al (2018)</w:t>
            </w:r>
          </w:p>
        </w:tc>
      </w:tr>
      <w:tr w:rsidR="00285EF0" w:rsidRPr="00883530" w14:paraId="77D55BC6" w14:textId="77777777" w:rsidTr="00C848EA">
        <w:trPr>
          <w:trHeight w:val="300"/>
        </w:trPr>
        <w:tc>
          <w:tcPr>
            <w:tcW w:w="674" w:type="pct"/>
            <w:noWrap/>
            <w:hideMark/>
          </w:tcPr>
          <w:p w14:paraId="5B13BBD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1F1904E3"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1DDD48A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4D387CB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w:t>
            </w:r>
          </w:p>
        </w:tc>
        <w:tc>
          <w:tcPr>
            <w:tcW w:w="568" w:type="pct"/>
            <w:noWrap/>
            <w:hideMark/>
          </w:tcPr>
          <w:p w14:paraId="0B14663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5325</w:t>
            </w:r>
          </w:p>
        </w:tc>
        <w:tc>
          <w:tcPr>
            <w:tcW w:w="1138" w:type="pct"/>
            <w:noWrap/>
            <w:hideMark/>
          </w:tcPr>
          <w:p w14:paraId="28A25CF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Zhang et al (2018)</w:t>
            </w:r>
          </w:p>
        </w:tc>
      </w:tr>
      <w:tr w:rsidR="00285EF0" w:rsidRPr="00883530" w14:paraId="21B1157F" w14:textId="77777777" w:rsidTr="00C848EA">
        <w:trPr>
          <w:trHeight w:val="300"/>
        </w:trPr>
        <w:tc>
          <w:tcPr>
            <w:tcW w:w="674" w:type="pct"/>
            <w:noWrap/>
            <w:hideMark/>
          </w:tcPr>
          <w:p w14:paraId="4F2EB84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4E609E0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STEC</w:t>
            </w:r>
          </w:p>
        </w:tc>
        <w:tc>
          <w:tcPr>
            <w:tcW w:w="1303" w:type="pct"/>
            <w:noWrap/>
            <w:hideMark/>
          </w:tcPr>
          <w:p w14:paraId="6B9ABC9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Argentina</w:t>
            </w:r>
          </w:p>
        </w:tc>
        <w:tc>
          <w:tcPr>
            <w:tcW w:w="574" w:type="pct"/>
            <w:noWrap/>
            <w:hideMark/>
          </w:tcPr>
          <w:p w14:paraId="2A41F57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3F721BB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19</w:t>
            </w:r>
          </w:p>
        </w:tc>
        <w:tc>
          <w:tcPr>
            <w:tcW w:w="1138" w:type="pct"/>
            <w:noWrap/>
            <w:hideMark/>
          </w:tcPr>
          <w:p w14:paraId="179DF44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Gonzalez et al (2017)</w:t>
            </w:r>
          </w:p>
        </w:tc>
      </w:tr>
      <w:tr w:rsidR="00285EF0" w:rsidRPr="00883530" w14:paraId="09ED8028" w14:textId="77777777" w:rsidTr="00C848EA">
        <w:trPr>
          <w:trHeight w:val="300"/>
        </w:trPr>
        <w:tc>
          <w:tcPr>
            <w:tcW w:w="674" w:type="pct"/>
            <w:noWrap/>
            <w:hideMark/>
          </w:tcPr>
          <w:p w14:paraId="21926A7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090B8CC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STEC</w:t>
            </w:r>
          </w:p>
        </w:tc>
        <w:tc>
          <w:tcPr>
            <w:tcW w:w="1303" w:type="pct"/>
            <w:noWrap/>
            <w:hideMark/>
          </w:tcPr>
          <w:p w14:paraId="1B24B2E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China</w:t>
            </w:r>
          </w:p>
        </w:tc>
        <w:tc>
          <w:tcPr>
            <w:tcW w:w="574" w:type="pct"/>
            <w:noWrap/>
            <w:hideMark/>
          </w:tcPr>
          <w:p w14:paraId="69F0A82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5070B92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19</w:t>
            </w:r>
          </w:p>
        </w:tc>
        <w:tc>
          <w:tcPr>
            <w:tcW w:w="1138" w:type="pct"/>
            <w:noWrap/>
            <w:hideMark/>
          </w:tcPr>
          <w:p w14:paraId="0F7B580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Li et al (2016)</w:t>
            </w:r>
          </w:p>
        </w:tc>
      </w:tr>
      <w:tr w:rsidR="00285EF0" w:rsidRPr="00883530" w14:paraId="2F32066D" w14:textId="77777777" w:rsidTr="00C848EA">
        <w:trPr>
          <w:trHeight w:val="300"/>
        </w:trPr>
        <w:tc>
          <w:tcPr>
            <w:tcW w:w="674" w:type="pct"/>
            <w:noWrap/>
            <w:hideMark/>
          </w:tcPr>
          <w:p w14:paraId="775A300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59F28BC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STEC</w:t>
            </w:r>
          </w:p>
        </w:tc>
        <w:tc>
          <w:tcPr>
            <w:tcW w:w="1303" w:type="pct"/>
            <w:noWrap/>
            <w:hideMark/>
          </w:tcPr>
          <w:p w14:paraId="48E8894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India</w:t>
            </w:r>
          </w:p>
        </w:tc>
        <w:tc>
          <w:tcPr>
            <w:tcW w:w="574" w:type="pct"/>
            <w:noWrap/>
            <w:hideMark/>
          </w:tcPr>
          <w:p w14:paraId="1BE7A05F"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w:t>
            </w:r>
          </w:p>
        </w:tc>
        <w:tc>
          <w:tcPr>
            <w:tcW w:w="568" w:type="pct"/>
            <w:noWrap/>
            <w:hideMark/>
          </w:tcPr>
          <w:p w14:paraId="200010B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60</w:t>
            </w:r>
          </w:p>
        </w:tc>
        <w:tc>
          <w:tcPr>
            <w:tcW w:w="1138" w:type="pct"/>
            <w:noWrap/>
            <w:hideMark/>
          </w:tcPr>
          <w:p w14:paraId="3D8EED4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Mritunjay &amp; Kumar (2017)</w:t>
            </w:r>
          </w:p>
        </w:tc>
      </w:tr>
      <w:tr w:rsidR="00285EF0" w:rsidRPr="00883530" w14:paraId="2F1FC202" w14:textId="77777777" w:rsidTr="00C848EA">
        <w:trPr>
          <w:trHeight w:val="300"/>
        </w:trPr>
        <w:tc>
          <w:tcPr>
            <w:tcW w:w="674" w:type="pct"/>
            <w:noWrap/>
            <w:hideMark/>
          </w:tcPr>
          <w:p w14:paraId="2D2D559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3F3890F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STEC</w:t>
            </w:r>
          </w:p>
        </w:tc>
        <w:tc>
          <w:tcPr>
            <w:tcW w:w="1303" w:type="pct"/>
            <w:noWrap/>
            <w:hideMark/>
          </w:tcPr>
          <w:p w14:paraId="781D2B4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RSA</w:t>
            </w:r>
          </w:p>
        </w:tc>
        <w:tc>
          <w:tcPr>
            <w:tcW w:w="574" w:type="pct"/>
            <w:noWrap/>
            <w:hideMark/>
          </w:tcPr>
          <w:p w14:paraId="1212A98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70FD517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90</w:t>
            </w:r>
          </w:p>
        </w:tc>
        <w:tc>
          <w:tcPr>
            <w:tcW w:w="1138" w:type="pct"/>
            <w:noWrap/>
            <w:hideMark/>
          </w:tcPr>
          <w:p w14:paraId="412B246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Du Plessis et al (2017)</w:t>
            </w:r>
          </w:p>
        </w:tc>
      </w:tr>
      <w:tr w:rsidR="00285EF0" w:rsidRPr="00883530" w14:paraId="67235063" w14:textId="77777777" w:rsidTr="00C848EA">
        <w:trPr>
          <w:trHeight w:val="300"/>
        </w:trPr>
        <w:tc>
          <w:tcPr>
            <w:tcW w:w="674" w:type="pct"/>
            <w:noWrap/>
            <w:hideMark/>
          </w:tcPr>
          <w:p w14:paraId="70628A9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0F6C723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STEC</w:t>
            </w:r>
          </w:p>
        </w:tc>
        <w:tc>
          <w:tcPr>
            <w:tcW w:w="1303" w:type="pct"/>
            <w:noWrap/>
            <w:hideMark/>
          </w:tcPr>
          <w:p w14:paraId="4E6779D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72B9BAE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23</w:t>
            </w:r>
          </w:p>
        </w:tc>
        <w:tc>
          <w:tcPr>
            <w:tcW w:w="568" w:type="pct"/>
            <w:noWrap/>
            <w:hideMark/>
          </w:tcPr>
          <w:p w14:paraId="5A43A6D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6719</w:t>
            </w:r>
          </w:p>
        </w:tc>
        <w:tc>
          <w:tcPr>
            <w:tcW w:w="1138" w:type="pct"/>
            <w:noWrap/>
            <w:hideMark/>
          </w:tcPr>
          <w:p w14:paraId="7064D3E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Feng &amp; Reddy (2014)</w:t>
            </w:r>
          </w:p>
        </w:tc>
      </w:tr>
      <w:tr w:rsidR="00285EF0" w:rsidRPr="00883530" w14:paraId="3F285AF8" w14:textId="77777777" w:rsidTr="00C848EA">
        <w:trPr>
          <w:trHeight w:val="300"/>
        </w:trPr>
        <w:tc>
          <w:tcPr>
            <w:tcW w:w="674" w:type="pct"/>
            <w:noWrap/>
            <w:hideMark/>
          </w:tcPr>
          <w:p w14:paraId="50CFDAC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5108E4F3"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5D44244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Brazil</w:t>
            </w:r>
          </w:p>
        </w:tc>
        <w:tc>
          <w:tcPr>
            <w:tcW w:w="574" w:type="pct"/>
            <w:noWrap/>
            <w:hideMark/>
          </w:tcPr>
          <w:p w14:paraId="1A2FB39F"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330AA4B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11</w:t>
            </w:r>
          </w:p>
        </w:tc>
        <w:tc>
          <w:tcPr>
            <w:tcW w:w="1138" w:type="pct"/>
            <w:noWrap/>
            <w:hideMark/>
          </w:tcPr>
          <w:p w14:paraId="3A5DE50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Sant'ana et al (2012)</w:t>
            </w:r>
          </w:p>
        </w:tc>
      </w:tr>
      <w:tr w:rsidR="00285EF0" w:rsidRPr="00883530" w14:paraId="4A4AFF3B" w14:textId="77777777" w:rsidTr="00C848EA">
        <w:trPr>
          <w:trHeight w:val="300"/>
        </w:trPr>
        <w:tc>
          <w:tcPr>
            <w:tcW w:w="674" w:type="pct"/>
            <w:noWrap/>
            <w:hideMark/>
          </w:tcPr>
          <w:p w14:paraId="0A36A7A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6DC95C32"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60E2D76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Czech Republic</w:t>
            </w:r>
          </w:p>
        </w:tc>
        <w:tc>
          <w:tcPr>
            <w:tcW w:w="574" w:type="pct"/>
            <w:noWrap/>
            <w:hideMark/>
          </w:tcPr>
          <w:p w14:paraId="796EAAB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2597101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21</w:t>
            </w:r>
          </w:p>
        </w:tc>
        <w:tc>
          <w:tcPr>
            <w:tcW w:w="1138" w:type="pct"/>
            <w:noWrap/>
            <w:hideMark/>
          </w:tcPr>
          <w:p w14:paraId="2F50D01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Vojkovska et al (2017)</w:t>
            </w:r>
          </w:p>
        </w:tc>
      </w:tr>
      <w:tr w:rsidR="00285EF0" w:rsidRPr="00883530" w14:paraId="4A89AD46" w14:textId="77777777" w:rsidTr="00C848EA">
        <w:trPr>
          <w:trHeight w:val="300"/>
        </w:trPr>
        <w:tc>
          <w:tcPr>
            <w:tcW w:w="674" w:type="pct"/>
            <w:noWrap/>
            <w:hideMark/>
          </w:tcPr>
          <w:p w14:paraId="3A2E593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1F218A91"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64CDB29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India</w:t>
            </w:r>
          </w:p>
        </w:tc>
        <w:tc>
          <w:tcPr>
            <w:tcW w:w="574" w:type="pct"/>
            <w:noWrap/>
            <w:hideMark/>
          </w:tcPr>
          <w:p w14:paraId="424A3E5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8</w:t>
            </w:r>
          </w:p>
        </w:tc>
        <w:tc>
          <w:tcPr>
            <w:tcW w:w="568" w:type="pct"/>
            <w:noWrap/>
            <w:hideMark/>
          </w:tcPr>
          <w:p w14:paraId="3546CC3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60</w:t>
            </w:r>
          </w:p>
        </w:tc>
        <w:tc>
          <w:tcPr>
            <w:tcW w:w="1138" w:type="pct"/>
            <w:noWrap/>
            <w:hideMark/>
          </w:tcPr>
          <w:p w14:paraId="7814A1A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Mritunjay &amp; Kumar (2017)</w:t>
            </w:r>
          </w:p>
        </w:tc>
      </w:tr>
      <w:tr w:rsidR="00285EF0" w:rsidRPr="00883530" w14:paraId="1834FC17" w14:textId="77777777" w:rsidTr="00C848EA">
        <w:trPr>
          <w:trHeight w:val="300"/>
        </w:trPr>
        <w:tc>
          <w:tcPr>
            <w:tcW w:w="674" w:type="pct"/>
            <w:noWrap/>
            <w:hideMark/>
          </w:tcPr>
          <w:p w14:paraId="1EC9462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2A94F2FA"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2F3A2C2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Italy</w:t>
            </w:r>
          </w:p>
        </w:tc>
        <w:tc>
          <w:tcPr>
            <w:tcW w:w="574" w:type="pct"/>
            <w:noWrap/>
            <w:hideMark/>
          </w:tcPr>
          <w:p w14:paraId="65BB902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679621C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10</w:t>
            </w:r>
          </w:p>
        </w:tc>
        <w:tc>
          <w:tcPr>
            <w:tcW w:w="1138" w:type="pct"/>
            <w:noWrap/>
            <w:hideMark/>
          </w:tcPr>
          <w:p w14:paraId="059AA19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Terio et al (2017)</w:t>
            </w:r>
          </w:p>
        </w:tc>
      </w:tr>
      <w:tr w:rsidR="00285EF0" w:rsidRPr="00883530" w14:paraId="47C7C9A2" w14:textId="77777777" w:rsidTr="00C848EA">
        <w:trPr>
          <w:trHeight w:val="300"/>
        </w:trPr>
        <w:tc>
          <w:tcPr>
            <w:tcW w:w="674" w:type="pct"/>
            <w:noWrap/>
            <w:hideMark/>
          </w:tcPr>
          <w:p w14:paraId="43B7AB9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783F74C8"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3570193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28831C15"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4</w:t>
            </w:r>
          </w:p>
        </w:tc>
        <w:tc>
          <w:tcPr>
            <w:tcW w:w="568" w:type="pct"/>
            <w:noWrap/>
            <w:hideMark/>
          </w:tcPr>
          <w:p w14:paraId="48D91CB5"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55</w:t>
            </w:r>
          </w:p>
        </w:tc>
        <w:tc>
          <w:tcPr>
            <w:tcW w:w="1138" w:type="pct"/>
            <w:noWrap/>
            <w:hideMark/>
          </w:tcPr>
          <w:p w14:paraId="4C2F25B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(2014)</w:t>
            </w:r>
          </w:p>
        </w:tc>
      </w:tr>
      <w:tr w:rsidR="00285EF0" w:rsidRPr="00883530" w14:paraId="49FB749D" w14:textId="77777777" w:rsidTr="00C848EA">
        <w:trPr>
          <w:trHeight w:val="300"/>
        </w:trPr>
        <w:tc>
          <w:tcPr>
            <w:tcW w:w="674" w:type="pct"/>
            <w:noWrap/>
            <w:hideMark/>
          </w:tcPr>
          <w:p w14:paraId="568F1CF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4B5857F9"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1733D68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3AB9E88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4</w:t>
            </w:r>
          </w:p>
        </w:tc>
        <w:tc>
          <w:tcPr>
            <w:tcW w:w="568" w:type="pct"/>
            <w:noWrap/>
            <w:hideMark/>
          </w:tcPr>
          <w:p w14:paraId="091AB46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63</w:t>
            </w:r>
          </w:p>
        </w:tc>
        <w:tc>
          <w:tcPr>
            <w:tcW w:w="1138" w:type="pct"/>
            <w:noWrap/>
            <w:hideMark/>
          </w:tcPr>
          <w:p w14:paraId="608784B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(2014)</w:t>
            </w:r>
          </w:p>
        </w:tc>
      </w:tr>
      <w:tr w:rsidR="00285EF0" w:rsidRPr="00883530" w14:paraId="49753432" w14:textId="77777777" w:rsidTr="00C848EA">
        <w:trPr>
          <w:trHeight w:val="300"/>
        </w:trPr>
        <w:tc>
          <w:tcPr>
            <w:tcW w:w="674" w:type="pct"/>
            <w:noWrap/>
            <w:hideMark/>
          </w:tcPr>
          <w:p w14:paraId="4EB588D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254FB032"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7D272CF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62F46EB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5648803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30</w:t>
            </w:r>
          </w:p>
        </w:tc>
        <w:tc>
          <w:tcPr>
            <w:tcW w:w="1138" w:type="pct"/>
            <w:noWrap/>
            <w:hideMark/>
          </w:tcPr>
          <w:p w14:paraId="366B324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(2018)</w:t>
            </w:r>
          </w:p>
        </w:tc>
      </w:tr>
      <w:tr w:rsidR="00285EF0" w:rsidRPr="00883530" w14:paraId="321C1F70" w14:textId="77777777" w:rsidTr="00C848EA">
        <w:trPr>
          <w:trHeight w:val="300"/>
        </w:trPr>
        <w:tc>
          <w:tcPr>
            <w:tcW w:w="674" w:type="pct"/>
            <w:noWrap/>
            <w:hideMark/>
          </w:tcPr>
          <w:p w14:paraId="306050E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7A0CBFF3"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562CCE2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South Korea</w:t>
            </w:r>
          </w:p>
        </w:tc>
        <w:tc>
          <w:tcPr>
            <w:tcW w:w="574" w:type="pct"/>
            <w:noWrap/>
            <w:hideMark/>
          </w:tcPr>
          <w:p w14:paraId="0FED9832"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28F46A7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30</w:t>
            </w:r>
          </w:p>
        </w:tc>
        <w:tc>
          <w:tcPr>
            <w:tcW w:w="1138" w:type="pct"/>
            <w:noWrap/>
            <w:hideMark/>
          </w:tcPr>
          <w:p w14:paraId="43A528D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Tango et al (2018)</w:t>
            </w:r>
          </w:p>
        </w:tc>
      </w:tr>
      <w:tr w:rsidR="00285EF0" w:rsidRPr="00883530" w14:paraId="2CEEC1B9" w14:textId="77777777" w:rsidTr="00C848EA">
        <w:trPr>
          <w:trHeight w:val="300"/>
        </w:trPr>
        <w:tc>
          <w:tcPr>
            <w:tcW w:w="674" w:type="pct"/>
            <w:noWrap/>
            <w:hideMark/>
          </w:tcPr>
          <w:p w14:paraId="7BEEDE0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15C8CAA6"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531311F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Spain</w:t>
            </w:r>
          </w:p>
        </w:tc>
        <w:tc>
          <w:tcPr>
            <w:tcW w:w="574" w:type="pct"/>
            <w:noWrap/>
            <w:hideMark/>
          </w:tcPr>
          <w:p w14:paraId="1DA49AB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4ECFB5C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18</w:t>
            </w:r>
          </w:p>
        </w:tc>
        <w:tc>
          <w:tcPr>
            <w:tcW w:w="1138" w:type="pct"/>
            <w:noWrap/>
            <w:hideMark/>
          </w:tcPr>
          <w:p w14:paraId="117E14C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Moreno et al (2012)</w:t>
            </w:r>
          </w:p>
        </w:tc>
      </w:tr>
      <w:tr w:rsidR="00285EF0" w:rsidRPr="00883530" w14:paraId="3497208D" w14:textId="77777777" w:rsidTr="00C848EA">
        <w:trPr>
          <w:trHeight w:val="300"/>
        </w:trPr>
        <w:tc>
          <w:tcPr>
            <w:tcW w:w="674" w:type="pct"/>
            <w:noWrap/>
            <w:hideMark/>
          </w:tcPr>
          <w:p w14:paraId="5E8AA3F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07C1C2DB"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2F5D09E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1F519B3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18BB6A1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69</w:t>
            </w:r>
          </w:p>
        </w:tc>
        <w:tc>
          <w:tcPr>
            <w:tcW w:w="1138" w:type="pct"/>
            <w:noWrap/>
            <w:hideMark/>
          </w:tcPr>
          <w:p w14:paraId="68E1AC2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Korir et al (2016)</w:t>
            </w:r>
          </w:p>
        </w:tc>
      </w:tr>
      <w:tr w:rsidR="00285EF0" w:rsidRPr="00883530" w14:paraId="72AA19A7" w14:textId="77777777" w:rsidTr="00C848EA">
        <w:trPr>
          <w:trHeight w:val="300"/>
        </w:trPr>
        <w:tc>
          <w:tcPr>
            <w:tcW w:w="674" w:type="pct"/>
            <w:noWrap/>
            <w:hideMark/>
          </w:tcPr>
          <w:p w14:paraId="24C891C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3D8D1685"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68A5D1F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3C75E9C5"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12960502"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43</w:t>
            </w:r>
          </w:p>
        </w:tc>
        <w:tc>
          <w:tcPr>
            <w:tcW w:w="1138" w:type="pct"/>
            <w:noWrap/>
            <w:hideMark/>
          </w:tcPr>
          <w:p w14:paraId="204ADA6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Li et al (2017)</w:t>
            </w:r>
          </w:p>
        </w:tc>
      </w:tr>
      <w:tr w:rsidR="00285EF0" w:rsidRPr="00883530" w14:paraId="0DD6CD83" w14:textId="77777777" w:rsidTr="00C848EA">
        <w:trPr>
          <w:trHeight w:val="300"/>
        </w:trPr>
        <w:tc>
          <w:tcPr>
            <w:tcW w:w="674" w:type="pct"/>
            <w:noWrap/>
            <w:hideMark/>
          </w:tcPr>
          <w:p w14:paraId="02A7134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5E9A7A8E"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675C808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62BC0EA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w:t>
            </w:r>
          </w:p>
        </w:tc>
        <w:tc>
          <w:tcPr>
            <w:tcW w:w="568" w:type="pct"/>
            <w:noWrap/>
            <w:hideMark/>
          </w:tcPr>
          <w:p w14:paraId="638A819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52</w:t>
            </w:r>
          </w:p>
        </w:tc>
        <w:tc>
          <w:tcPr>
            <w:tcW w:w="1138" w:type="pct"/>
            <w:noWrap/>
            <w:hideMark/>
          </w:tcPr>
          <w:p w14:paraId="539B74A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Roth et al (2018)</w:t>
            </w:r>
          </w:p>
        </w:tc>
      </w:tr>
      <w:tr w:rsidR="00285EF0" w:rsidRPr="00883530" w14:paraId="214F2647" w14:textId="77777777" w:rsidTr="00C848EA">
        <w:trPr>
          <w:trHeight w:val="300"/>
        </w:trPr>
        <w:tc>
          <w:tcPr>
            <w:tcW w:w="674" w:type="pct"/>
            <w:noWrap/>
            <w:hideMark/>
          </w:tcPr>
          <w:p w14:paraId="0496DFD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2B157533"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713DED4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6FC5C9F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11E2C41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25</w:t>
            </w:r>
          </w:p>
        </w:tc>
        <w:tc>
          <w:tcPr>
            <w:tcW w:w="1138" w:type="pct"/>
            <w:noWrap/>
            <w:hideMark/>
          </w:tcPr>
          <w:p w14:paraId="438A078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Roth et al (2018)</w:t>
            </w:r>
          </w:p>
        </w:tc>
      </w:tr>
      <w:tr w:rsidR="00285EF0" w:rsidRPr="00883530" w14:paraId="77B2495B" w14:textId="77777777" w:rsidTr="00C848EA">
        <w:trPr>
          <w:trHeight w:val="300"/>
        </w:trPr>
        <w:tc>
          <w:tcPr>
            <w:tcW w:w="674" w:type="pct"/>
            <w:noWrap/>
            <w:hideMark/>
          </w:tcPr>
          <w:p w14:paraId="747C24A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59979AC6"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2819721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733A1C1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175397D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46</w:t>
            </w:r>
          </w:p>
        </w:tc>
        <w:tc>
          <w:tcPr>
            <w:tcW w:w="1138" w:type="pct"/>
            <w:noWrap/>
            <w:hideMark/>
          </w:tcPr>
          <w:p w14:paraId="7CF5AB1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Scheinberg et al (2017)</w:t>
            </w:r>
          </w:p>
        </w:tc>
      </w:tr>
      <w:tr w:rsidR="00285EF0" w:rsidRPr="00883530" w14:paraId="321F16D2" w14:textId="77777777" w:rsidTr="00C848EA">
        <w:trPr>
          <w:trHeight w:val="300"/>
        </w:trPr>
        <w:tc>
          <w:tcPr>
            <w:tcW w:w="674" w:type="pct"/>
            <w:noWrap/>
            <w:hideMark/>
          </w:tcPr>
          <w:p w14:paraId="0DB50F6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Spinach</w:t>
            </w:r>
          </w:p>
        </w:tc>
        <w:tc>
          <w:tcPr>
            <w:tcW w:w="743" w:type="pct"/>
            <w:gridSpan w:val="2"/>
            <w:noWrap/>
            <w:hideMark/>
          </w:tcPr>
          <w:p w14:paraId="761C0F05"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2D792CA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1CB2C3A2"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w:t>
            </w:r>
          </w:p>
        </w:tc>
        <w:tc>
          <w:tcPr>
            <w:tcW w:w="568" w:type="pct"/>
            <w:noWrap/>
            <w:hideMark/>
          </w:tcPr>
          <w:p w14:paraId="1107E3D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5325</w:t>
            </w:r>
          </w:p>
        </w:tc>
        <w:tc>
          <w:tcPr>
            <w:tcW w:w="1138" w:type="pct"/>
            <w:noWrap/>
            <w:hideMark/>
          </w:tcPr>
          <w:p w14:paraId="76BC553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Zhang et al (2018)</w:t>
            </w:r>
          </w:p>
        </w:tc>
      </w:tr>
      <w:tr w:rsidR="00285EF0" w:rsidRPr="00883530" w14:paraId="469ECC6B" w14:textId="77777777" w:rsidTr="00285EF0">
        <w:trPr>
          <w:cantSplit/>
        </w:trPr>
        <w:tc>
          <w:tcPr>
            <w:tcW w:w="5000" w:type="pct"/>
            <w:gridSpan w:val="7"/>
            <w:shd w:val="clear" w:color="auto" w:fill="FFFFFF" w:themeFill="background1"/>
          </w:tcPr>
          <w:p w14:paraId="6DBB5452" w14:textId="77777777" w:rsidR="00285EF0" w:rsidRPr="00883530" w:rsidRDefault="00285EF0" w:rsidP="00285EF0">
            <w:pPr>
              <w:widowControl/>
              <w:rPr>
                <w:rFonts w:cs="Arial"/>
                <w:szCs w:val="20"/>
              </w:rPr>
            </w:pPr>
          </w:p>
        </w:tc>
      </w:tr>
      <w:tr w:rsidR="00285EF0" w:rsidRPr="00883530" w14:paraId="2168C651" w14:textId="77777777" w:rsidTr="00B36DA8">
        <w:trPr>
          <w:cantSplit/>
        </w:trPr>
        <w:tc>
          <w:tcPr>
            <w:tcW w:w="674" w:type="pct"/>
            <w:shd w:val="clear" w:color="auto" w:fill="C6D9F1" w:themeFill="text2" w:themeFillTint="33"/>
          </w:tcPr>
          <w:p w14:paraId="5514FDCF" w14:textId="77777777" w:rsidR="00285EF0" w:rsidRPr="00883530" w:rsidRDefault="00285EF0" w:rsidP="00285EF0">
            <w:pPr>
              <w:rPr>
                <w:rFonts w:cs="Arial"/>
                <w:szCs w:val="20"/>
              </w:rPr>
            </w:pPr>
            <w:r w:rsidRPr="00883530">
              <w:rPr>
                <w:rFonts w:cs="Arial"/>
                <w:szCs w:val="20"/>
              </w:rPr>
              <w:t>Berries</w:t>
            </w:r>
          </w:p>
        </w:tc>
        <w:tc>
          <w:tcPr>
            <w:tcW w:w="692" w:type="pct"/>
            <w:shd w:val="clear" w:color="auto" w:fill="C6D9F1" w:themeFill="text2" w:themeFillTint="33"/>
          </w:tcPr>
          <w:p w14:paraId="2159DF58" w14:textId="77777777" w:rsidR="00285EF0" w:rsidRPr="00883530" w:rsidRDefault="00285EF0" w:rsidP="00285EF0">
            <w:pPr>
              <w:rPr>
                <w:rFonts w:cs="Arial"/>
                <w:szCs w:val="20"/>
              </w:rPr>
            </w:pPr>
          </w:p>
        </w:tc>
        <w:tc>
          <w:tcPr>
            <w:tcW w:w="1354" w:type="pct"/>
            <w:gridSpan w:val="2"/>
            <w:shd w:val="clear" w:color="auto" w:fill="C6D9F1" w:themeFill="text2" w:themeFillTint="33"/>
          </w:tcPr>
          <w:p w14:paraId="0FD9F116" w14:textId="77777777" w:rsidR="00285EF0" w:rsidRPr="00883530" w:rsidRDefault="00285EF0" w:rsidP="00285EF0">
            <w:pPr>
              <w:rPr>
                <w:rFonts w:cs="Arial"/>
                <w:szCs w:val="20"/>
              </w:rPr>
            </w:pPr>
          </w:p>
        </w:tc>
        <w:tc>
          <w:tcPr>
            <w:tcW w:w="574" w:type="pct"/>
            <w:shd w:val="clear" w:color="auto" w:fill="C6D9F1" w:themeFill="text2" w:themeFillTint="33"/>
          </w:tcPr>
          <w:p w14:paraId="3702A2B9" w14:textId="77777777" w:rsidR="00285EF0" w:rsidRPr="00883530" w:rsidRDefault="00285EF0" w:rsidP="00285EF0">
            <w:pPr>
              <w:rPr>
                <w:rFonts w:cs="Arial"/>
                <w:szCs w:val="20"/>
              </w:rPr>
            </w:pPr>
          </w:p>
        </w:tc>
        <w:tc>
          <w:tcPr>
            <w:tcW w:w="568" w:type="pct"/>
            <w:shd w:val="clear" w:color="auto" w:fill="C6D9F1" w:themeFill="text2" w:themeFillTint="33"/>
          </w:tcPr>
          <w:p w14:paraId="7B2962DA" w14:textId="77777777" w:rsidR="00285EF0" w:rsidRPr="00883530" w:rsidRDefault="00285EF0" w:rsidP="00285EF0">
            <w:pPr>
              <w:rPr>
                <w:rFonts w:cs="Arial"/>
                <w:szCs w:val="20"/>
              </w:rPr>
            </w:pPr>
          </w:p>
        </w:tc>
        <w:tc>
          <w:tcPr>
            <w:tcW w:w="1138" w:type="pct"/>
            <w:shd w:val="clear" w:color="auto" w:fill="C6D9F1" w:themeFill="text2" w:themeFillTint="33"/>
          </w:tcPr>
          <w:p w14:paraId="7DC2489E" w14:textId="77777777" w:rsidR="00285EF0" w:rsidRPr="00883530" w:rsidRDefault="00285EF0" w:rsidP="00285EF0">
            <w:pPr>
              <w:rPr>
                <w:rFonts w:cs="Arial"/>
                <w:szCs w:val="20"/>
              </w:rPr>
            </w:pPr>
          </w:p>
        </w:tc>
      </w:tr>
      <w:tr w:rsidR="00285EF0" w:rsidRPr="00883530" w14:paraId="049DE6FA" w14:textId="77777777" w:rsidTr="00B36DA8">
        <w:trPr>
          <w:trHeight w:val="300"/>
        </w:trPr>
        <w:tc>
          <w:tcPr>
            <w:tcW w:w="674" w:type="pct"/>
            <w:noWrap/>
            <w:hideMark/>
          </w:tcPr>
          <w:p w14:paraId="4B8CE11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76A372F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777E382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Belgium</w:t>
            </w:r>
          </w:p>
        </w:tc>
        <w:tc>
          <w:tcPr>
            <w:tcW w:w="574" w:type="pct"/>
            <w:noWrap/>
            <w:hideMark/>
          </w:tcPr>
          <w:p w14:paraId="403C586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661932F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12</w:t>
            </w:r>
          </w:p>
        </w:tc>
        <w:tc>
          <w:tcPr>
            <w:tcW w:w="1138" w:type="pct"/>
            <w:noWrap/>
            <w:hideMark/>
          </w:tcPr>
          <w:p w14:paraId="6FC5717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Keuckelaere et al (2015)</w:t>
            </w:r>
          </w:p>
        </w:tc>
      </w:tr>
      <w:tr w:rsidR="00285EF0" w:rsidRPr="00883530" w14:paraId="3AEED7BB" w14:textId="77777777" w:rsidTr="00B36DA8">
        <w:trPr>
          <w:trHeight w:val="300"/>
        </w:trPr>
        <w:tc>
          <w:tcPr>
            <w:tcW w:w="674" w:type="pct"/>
            <w:noWrap/>
            <w:hideMark/>
          </w:tcPr>
          <w:p w14:paraId="38B2C01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3C7FFFD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1586612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Belgium</w:t>
            </w:r>
          </w:p>
        </w:tc>
        <w:tc>
          <w:tcPr>
            <w:tcW w:w="574" w:type="pct"/>
            <w:noWrap/>
            <w:hideMark/>
          </w:tcPr>
          <w:p w14:paraId="5F4ACA2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w:t>
            </w:r>
          </w:p>
        </w:tc>
        <w:tc>
          <w:tcPr>
            <w:tcW w:w="568" w:type="pct"/>
            <w:noWrap/>
            <w:hideMark/>
          </w:tcPr>
          <w:p w14:paraId="533AD71F"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70</w:t>
            </w:r>
          </w:p>
        </w:tc>
        <w:tc>
          <w:tcPr>
            <w:tcW w:w="1138" w:type="pct"/>
            <w:noWrap/>
            <w:hideMark/>
          </w:tcPr>
          <w:p w14:paraId="135B91A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Keuckelaere et al (2015)</w:t>
            </w:r>
          </w:p>
        </w:tc>
      </w:tr>
      <w:tr w:rsidR="00285EF0" w:rsidRPr="00883530" w14:paraId="6358E6DC" w14:textId="77777777" w:rsidTr="00B36DA8">
        <w:trPr>
          <w:trHeight w:val="300"/>
        </w:trPr>
        <w:tc>
          <w:tcPr>
            <w:tcW w:w="674" w:type="pct"/>
            <w:noWrap/>
            <w:hideMark/>
          </w:tcPr>
          <w:p w14:paraId="77D6FFA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0E1A273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1C5E834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Belgium</w:t>
            </w:r>
          </w:p>
        </w:tc>
        <w:tc>
          <w:tcPr>
            <w:tcW w:w="574" w:type="pct"/>
            <w:noWrap/>
            <w:hideMark/>
          </w:tcPr>
          <w:p w14:paraId="70E00E8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4</w:t>
            </w:r>
          </w:p>
        </w:tc>
        <w:tc>
          <w:tcPr>
            <w:tcW w:w="568" w:type="pct"/>
            <w:noWrap/>
            <w:hideMark/>
          </w:tcPr>
          <w:p w14:paraId="5E99CD3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10</w:t>
            </w:r>
          </w:p>
        </w:tc>
        <w:tc>
          <w:tcPr>
            <w:tcW w:w="1138" w:type="pct"/>
            <w:noWrap/>
            <w:hideMark/>
          </w:tcPr>
          <w:p w14:paraId="4D62D38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Stals et al (2011)</w:t>
            </w:r>
          </w:p>
        </w:tc>
      </w:tr>
      <w:tr w:rsidR="00285EF0" w:rsidRPr="00883530" w14:paraId="3D31F090" w14:textId="77777777" w:rsidTr="00B36DA8">
        <w:trPr>
          <w:trHeight w:val="300"/>
        </w:trPr>
        <w:tc>
          <w:tcPr>
            <w:tcW w:w="674" w:type="pct"/>
            <w:noWrap/>
            <w:hideMark/>
          </w:tcPr>
          <w:p w14:paraId="649D6E7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06A2F42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347DC68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China</w:t>
            </w:r>
          </w:p>
        </w:tc>
        <w:tc>
          <w:tcPr>
            <w:tcW w:w="574" w:type="pct"/>
            <w:noWrap/>
            <w:hideMark/>
          </w:tcPr>
          <w:p w14:paraId="5836DA2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11</w:t>
            </w:r>
          </w:p>
        </w:tc>
        <w:tc>
          <w:tcPr>
            <w:tcW w:w="568" w:type="pct"/>
            <w:noWrap/>
            <w:hideMark/>
          </w:tcPr>
          <w:p w14:paraId="4B5BD63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120</w:t>
            </w:r>
          </w:p>
        </w:tc>
        <w:tc>
          <w:tcPr>
            <w:tcW w:w="1138" w:type="pct"/>
            <w:noWrap/>
            <w:hideMark/>
          </w:tcPr>
          <w:p w14:paraId="1D360A3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Gao et al (2019)</w:t>
            </w:r>
          </w:p>
        </w:tc>
      </w:tr>
      <w:tr w:rsidR="00285EF0" w:rsidRPr="00883530" w14:paraId="02F8E22E" w14:textId="77777777" w:rsidTr="00B36DA8">
        <w:trPr>
          <w:trHeight w:val="300"/>
        </w:trPr>
        <w:tc>
          <w:tcPr>
            <w:tcW w:w="674" w:type="pct"/>
            <w:noWrap/>
            <w:hideMark/>
          </w:tcPr>
          <w:p w14:paraId="3FE69A5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0CBB767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0EBB6C1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China</w:t>
            </w:r>
          </w:p>
        </w:tc>
        <w:tc>
          <w:tcPr>
            <w:tcW w:w="574" w:type="pct"/>
            <w:noWrap/>
            <w:hideMark/>
          </w:tcPr>
          <w:p w14:paraId="472DD005"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439235B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124</w:t>
            </w:r>
          </w:p>
        </w:tc>
        <w:tc>
          <w:tcPr>
            <w:tcW w:w="1138" w:type="pct"/>
            <w:noWrap/>
            <w:hideMark/>
          </w:tcPr>
          <w:p w14:paraId="5B23AEE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Gao et al (2019)</w:t>
            </w:r>
          </w:p>
        </w:tc>
      </w:tr>
      <w:tr w:rsidR="00285EF0" w:rsidRPr="00883530" w14:paraId="658E4A87" w14:textId="77777777" w:rsidTr="00B36DA8">
        <w:trPr>
          <w:trHeight w:val="300"/>
        </w:trPr>
        <w:tc>
          <w:tcPr>
            <w:tcW w:w="674" w:type="pct"/>
            <w:noWrap/>
            <w:hideMark/>
          </w:tcPr>
          <w:p w14:paraId="2109BC8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0D925B4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42C4107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China</w:t>
            </w:r>
          </w:p>
        </w:tc>
        <w:tc>
          <w:tcPr>
            <w:tcW w:w="574" w:type="pct"/>
            <w:noWrap/>
            <w:hideMark/>
          </w:tcPr>
          <w:p w14:paraId="76B8EAD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13</w:t>
            </w:r>
          </w:p>
        </w:tc>
        <w:tc>
          <w:tcPr>
            <w:tcW w:w="568" w:type="pct"/>
            <w:noWrap/>
            <w:hideMark/>
          </w:tcPr>
          <w:p w14:paraId="2F152D3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120</w:t>
            </w:r>
          </w:p>
        </w:tc>
        <w:tc>
          <w:tcPr>
            <w:tcW w:w="1138" w:type="pct"/>
            <w:noWrap/>
            <w:hideMark/>
          </w:tcPr>
          <w:p w14:paraId="5A756AC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Gao et al (2019)</w:t>
            </w:r>
          </w:p>
        </w:tc>
      </w:tr>
      <w:tr w:rsidR="00285EF0" w:rsidRPr="00883530" w14:paraId="320B760D" w14:textId="77777777" w:rsidTr="00B36DA8">
        <w:trPr>
          <w:trHeight w:val="300"/>
        </w:trPr>
        <w:tc>
          <w:tcPr>
            <w:tcW w:w="674" w:type="pct"/>
            <w:noWrap/>
            <w:hideMark/>
          </w:tcPr>
          <w:p w14:paraId="1ECE0F0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6222A42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65FF6F1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Czech Republic, Poland and Serbia</w:t>
            </w:r>
          </w:p>
        </w:tc>
        <w:tc>
          <w:tcPr>
            <w:tcW w:w="574" w:type="pct"/>
            <w:noWrap/>
            <w:hideMark/>
          </w:tcPr>
          <w:p w14:paraId="13567F4F"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785EB005"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60</w:t>
            </w:r>
          </w:p>
        </w:tc>
        <w:tc>
          <w:tcPr>
            <w:tcW w:w="1138" w:type="pct"/>
            <w:noWrap/>
            <w:hideMark/>
          </w:tcPr>
          <w:p w14:paraId="6393A41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Maunula et al (2013)</w:t>
            </w:r>
          </w:p>
        </w:tc>
      </w:tr>
      <w:tr w:rsidR="00285EF0" w:rsidRPr="00883530" w14:paraId="5F681D49" w14:textId="77777777" w:rsidTr="00B36DA8">
        <w:trPr>
          <w:trHeight w:val="300"/>
        </w:trPr>
        <w:tc>
          <w:tcPr>
            <w:tcW w:w="674" w:type="pct"/>
            <w:noWrap/>
            <w:hideMark/>
          </w:tcPr>
          <w:p w14:paraId="7CBCAD2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6D4CC37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34F3422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Czech Republic, Poland and Serbia</w:t>
            </w:r>
          </w:p>
        </w:tc>
        <w:tc>
          <w:tcPr>
            <w:tcW w:w="574" w:type="pct"/>
            <w:noWrap/>
            <w:hideMark/>
          </w:tcPr>
          <w:p w14:paraId="733EE77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4F4239F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39</w:t>
            </w:r>
          </w:p>
        </w:tc>
        <w:tc>
          <w:tcPr>
            <w:tcW w:w="1138" w:type="pct"/>
            <w:noWrap/>
            <w:hideMark/>
          </w:tcPr>
          <w:p w14:paraId="3AB57C2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Maunula et al (2013)</w:t>
            </w:r>
          </w:p>
        </w:tc>
      </w:tr>
      <w:tr w:rsidR="00285EF0" w:rsidRPr="00883530" w14:paraId="64D27983" w14:textId="77777777" w:rsidTr="00B36DA8">
        <w:trPr>
          <w:trHeight w:val="300"/>
        </w:trPr>
        <w:tc>
          <w:tcPr>
            <w:tcW w:w="674" w:type="pct"/>
            <w:noWrap/>
            <w:hideMark/>
          </w:tcPr>
          <w:p w14:paraId="383859C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64D9F6F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18E47EB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Europe</w:t>
            </w:r>
          </w:p>
        </w:tc>
        <w:tc>
          <w:tcPr>
            <w:tcW w:w="574" w:type="pct"/>
            <w:noWrap/>
            <w:hideMark/>
          </w:tcPr>
          <w:p w14:paraId="10DDADD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2362BA8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536</w:t>
            </w:r>
          </w:p>
        </w:tc>
        <w:tc>
          <w:tcPr>
            <w:tcW w:w="1138" w:type="pct"/>
            <w:noWrap/>
            <w:hideMark/>
          </w:tcPr>
          <w:p w14:paraId="1D9B2B2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Li et al (2018)</w:t>
            </w:r>
          </w:p>
        </w:tc>
      </w:tr>
      <w:tr w:rsidR="00285EF0" w:rsidRPr="00883530" w14:paraId="6ACB9917" w14:textId="77777777" w:rsidTr="00B36DA8">
        <w:trPr>
          <w:trHeight w:val="300"/>
        </w:trPr>
        <w:tc>
          <w:tcPr>
            <w:tcW w:w="674" w:type="pct"/>
            <w:noWrap/>
            <w:hideMark/>
          </w:tcPr>
          <w:p w14:paraId="798C7F5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1DFE03E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34E8598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France</w:t>
            </w:r>
          </w:p>
        </w:tc>
        <w:tc>
          <w:tcPr>
            <w:tcW w:w="574" w:type="pct"/>
            <w:noWrap/>
            <w:hideMark/>
          </w:tcPr>
          <w:p w14:paraId="50C095F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27</w:t>
            </w:r>
          </w:p>
        </w:tc>
        <w:tc>
          <w:tcPr>
            <w:tcW w:w="568" w:type="pct"/>
            <w:noWrap/>
            <w:hideMark/>
          </w:tcPr>
          <w:p w14:paraId="07462ED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162</w:t>
            </w:r>
          </w:p>
        </w:tc>
        <w:tc>
          <w:tcPr>
            <w:tcW w:w="1138" w:type="pct"/>
            <w:noWrap/>
            <w:hideMark/>
          </w:tcPr>
          <w:p w14:paraId="2A7F256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Loutreul et al (2014)</w:t>
            </w:r>
          </w:p>
        </w:tc>
      </w:tr>
      <w:tr w:rsidR="00285EF0" w:rsidRPr="00883530" w14:paraId="5F26B421" w14:textId="77777777" w:rsidTr="00B36DA8">
        <w:trPr>
          <w:trHeight w:val="300"/>
        </w:trPr>
        <w:tc>
          <w:tcPr>
            <w:tcW w:w="674" w:type="pct"/>
            <w:noWrap/>
            <w:hideMark/>
          </w:tcPr>
          <w:p w14:paraId="1FBD070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31C3AB8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3A9829E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UK</w:t>
            </w:r>
          </w:p>
        </w:tc>
        <w:tc>
          <w:tcPr>
            <w:tcW w:w="574" w:type="pct"/>
            <w:noWrap/>
            <w:hideMark/>
          </w:tcPr>
          <w:p w14:paraId="7A8CE7F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7</w:t>
            </w:r>
          </w:p>
        </w:tc>
        <w:tc>
          <w:tcPr>
            <w:tcW w:w="568" w:type="pct"/>
            <w:noWrap/>
            <w:hideMark/>
          </w:tcPr>
          <w:p w14:paraId="0AAC1FD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310</w:t>
            </w:r>
          </w:p>
        </w:tc>
        <w:tc>
          <w:tcPr>
            <w:tcW w:w="1138" w:type="pct"/>
            <w:noWrap/>
            <w:hideMark/>
          </w:tcPr>
          <w:p w14:paraId="084F240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Cook et al (2019)</w:t>
            </w:r>
          </w:p>
        </w:tc>
      </w:tr>
      <w:tr w:rsidR="00285EF0" w:rsidRPr="00883530" w14:paraId="202059C4" w14:textId="77777777" w:rsidTr="00B36DA8">
        <w:trPr>
          <w:trHeight w:val="300"/>
        </w:trPr>
        <w:tc>
          <w:tcPr>
            <w:tcW w:w="674" w:type="pct"/>
            <w:noWrap/>
            <w:hideMark/>
          </w:tcPr>
          <w:p w14:paraId="6AD932A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2979E4C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444A562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UK</w:t>
            </w:r>
          </w:p>
        </w:tc>
        <w:tc>
          <w:tcPr>
            <w:tcW w:w="574" w:type="pct"/>
            <w:noWrap/>
            <w:hideMark/>
          </w:tcPr>
          <w:p w14:paraId="72D8B27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10</w:t>
            </w:r>
          </w:p>
        </w:tc>
        <w:tc>
          <w:tcPr>
            <w:tcW w:w="568" w:type="pct"/>
            <w:noWrap/>
            <w:hideMark/>
          </w:tcPr>
          <w:p w14:paraId="7E429EC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274</w:t>
            </w:r>
          </w:p>
        </w:tc>
        <w:tc>
          <w:tcPr>
            <w:tcW w:w="1138" w:type="pct"/>
            <w:noWrap/>
            <w:hideMark/>
          </w:tcPr>
          <w:p w14:paraId="5CD2DAC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Cook et al (2019)</w:t>
            </w:r>
          </w:p>
        </w:tc>
      </w:tr>
      <w:tr w:rsidR="00285EF0" w:rsidRPr="00883530" w14:paraId="20226F51" w14:textId="77777777" w:rsidTr="00B36DA8">
        <w:trPr>
          <w:trHeight w:val="300"/>
        </w:trPr>
        <w:tc>
          <w:tcPr>
            <w:tcW w:w="674" w:type="pct"/>
            <w:noWrap/>
            <w:hideMark/>
          </w:tcPr>
          <w:p w14:paraId="14207AA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3D0D8F2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Hepatitis A</w:t>
            </w:r>
          </w:p>
        </w:tc>
        <w:tc>
          <w:tcPr>
            <w:tcW w:w="1354" w:type="pct"/>
            <w:gridSpan w:val="2"/>
            <w:noWrap/>
            <w:hideMark/>
          </w:tcPr>
          <w:p w14:paraId="4C3A10D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Czech Republic, Poland and Serbia</w:t>
            </w:r>
          </w:p>
        </w:tc>
        <w:tc>
          <w:tcPr>
            <w:tcW w:w="574" w:type="pct"/>
            <w:noWrap/>
            <w:hideMark/>
          </w:tcPr>
          <w:p w14:paraId="6AA4754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4234CE1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60</w:t>
            </w:r>
          </w:p>
        </w:tc>
        <w:tc>
          <w:tcPr>
            <w:tcW w:w="1138" w:type="pct"/>
            <w:noWrap/>
            <w:hideMark/>
          </w:tcPr>
          <w:p w14:paraId="7ED3D86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Maunula et al (2013)</w:t>
            </w:r>
          </w:p>
        </w:tc>
      </w:tr>
      <w:tr w:rsidR="00285EF0" w:rsidRPr="00883530" w14:paraId="317946A6" w14:textId="77777777" w:rsidTr="00B36DA8">
        <w:trPr>
          <w:trHeight w:val="300"/>
        </w:trPr>
        <w:tc>
          <w:tcPr>
            <w:tcW w:w="674" w:type="pct"/>
            <w:noWrap/>
            <w:hideMark/>
          </w:tcPr>
          <w:p w14:paraId="6415465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1F39A37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Hepatitis A</w:t>
            </w:r>
          </w:p>
        </w:tc>
        <w:tc>
          <w:tcPr>
            <w:tcW w:w="1354" w:type="pct"/>
            <w:gridSpan w:val="2"/>
            <w:noWrap/>
            <w:hideMark/>
          </w:tcPr>
          <w:p w14:paraId="01402CB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Czech Republic, Poland and Serbia</w:t>
            </w:r>
          </w:p>
        </w:tc>
        <w:tc>
          <w:tcPr>
            <w:tcW w:w="574" w:type="pct"/>
            <w:noWrap/>
            <w:hideMark/>
          </w:tcPr>
          <w:p w14:paraId="15FF922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0897258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39</w:t>
            </w:r>
          </w:p>
        </w:tc>
        <w:tc>
          <w:tcPr>
            <w:tcW w:w="1138" w:type="pct"/>
            <w:noWrap/>
            <w:hideMark/>
          </w:tcPr>
          <w:p w14:paraId="2986BFD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Maunula et al (2013)</w:t>
            </w:r>
          </w:p>
        </w:tc>
      </w:tr>
      <w:tr w:rsidR="00285EF0" w:rsidRPr="00883530" w14:paraId="60F157D5" w14:textId="77777777" w:rsidTr="00B36DA8">
        <w:trPr>
          <w:trHeight w:val="300"/>
        </w:trPr>
        <w:tc>
          <w:tcPr>
            <w:tcW w:w="674" w:type="pct"/>
            <w:noWrap/>
            <w:hideMark/>
          </w:tcPr>
          <w:p w14:paraId="1498135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292B390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Hepatitis A</w:t>
            </w:r>
          </w:p>
        </w:tc>
        <w:tc>
          <w:tcPr>
            <w:tcW w:w="1354" w:type="pct"/>
            <w:gridSpan w:val="2"/>
            <w:noWrap/>
            <w:hideMark/>
          </w:tcPr>
          <w:p w14:paraId="7A369A4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Europe</w:t>
            </w:r>
          </w:p>
        </w:tc>
        <w:tc>
          <w:tcPr>
            <w:tcW w:w="574" w:type="pct"/>
            <w:noWrap/>
            <w:hideMark/>
          </w:tcPr>
          <w:p w14:paraId="1BC8FC0F"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087A832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536</w:t>
            </w:r>
          </w:p>
        </w:tc>
        <w:tc>
          <w:tcPr>
            <w:tcW w:w="1138" w:type="pct"/>
            <w:noWrap/>
            <w:hideMark/>
          </w:tcPr>
          <w:p w14:paraId="5F05148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Li et al (2018)</w:t>
            </w:r>
          </w:p>
        </w:tc>
      </w:tr>
      <w:tr w:rsidR="00285EF0" w:rsidRPr="00883530" w14:paraId="3E952AEA" w14:textId="77777777" w:rsidTr="00B36DA8">
        <w:trPr>
          <w:trHeight w:val="300"/>
        </w:trPr>
        <w:tc>
          <w:tcPr>
            <w:tcW w:w="674" w:type="pct"/>
            <w:noWrap/>
            <w:hideMark/>
          </w:tcPr>
          <w:p w14:paraId="25C3699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Raspberries</w:t>
            </w:r>
          </w:p>
        </w:tc>
        <w:tc>
          <w:tcPr>
            <w:tcW w:w="692" w:type="pct"/>
            <w:noWrap/>
            <w:hideMark/>
          </w:tcPr>
          <w:p w14:paraId="54B665D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Hepatitis A</w:t>
            </w:r>
          </w:p>
        </w:tc>
        <w:tc>
          <w:tcPr>
            <w:tcW w:w="1354" w:type="pct"/>
            <w:gridSpan w:val="2"/>
            <w:noWrap/>
            <w:hideMark/>
          </w:tcPr>
          <w:p w14:paraId="746E252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Turkey</w:t>
            </w:r>
          </w:p>
        </w:tc>
        <w:tc>
          <w:tcPr>
            <w:tcW w:w="574" w:type="pct"/>
            <w:noWrap/>
            <w:hideMark/>
          </w:tcPr>
          <w:p w14:paraId="4095060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20</w:t>
            </w:r>
          </w:p>
        </w:tc>
        <w:tc>
          <w:tcPr>
            <w:tcW w:w="568" w:type="pct"/>
            <w:noWrap/>
            <w:hideMark/>
          </w:tcPr>
          <w:p w14:paraId="30158D9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240</w:t>
            </w:r>
          </w:p>
        </w:tc>
        <w:tc>
          <w:tcPr>
            <w:tcW w:w="1138" w:type="pct"/>
            <w:noWrap/>
            <w:hideMark/>
          </w:tcPr>
          <w:p w14:paraId="45E6B40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Incili et al (2019)</w:t>
            </w:r>
          </w:p>
        </w:tc>
      </w:tr>
      <w:tr w:rsidR="00285EF0" w:rsidRPr="00883530" w14:paraId="520CA91C" w14:textId="77777777" w:rsidTr="00B36DA8">
        <w:trPr>
          <w:trHeight w:val="300"/>
        </w:trPr>
        <w:tc>
          <w:tcPr>
            <w:tcW w:w="674" w:type="pct"/>
            <w:noWrap/>
            <w:hideMark/>
          </w:tcPr>
          <w:p w14:paraId="7B9C199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Blueberries</w:t>
            </w:r>
          </w:p>
        </w:tc>
        <w:tc>
          <w:tcPr>
            <w:tcW w:w="692" w:type="pct"/>
            <w:noWrap/>
            <w:hideMark/>
          </w:tcPr>
          <w:p w14:paraId="2E8E93B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2EC6AA6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Australia</w:t>
            </w:r>
          </w:p>
        </w:tc>
        <w:tc>
          <w:tcPr>
            <w:tcW w:w="574" w:type="pct"/>
            <w:noWrap/>
            <w:hideMark/>
          </w:tcPr>
          <w:p w14:paraId="1684FF9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074E6EE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14</w:t>
            </w:r>
          </w:p>
        </w:tc>
        <w:tc>
          <w:tcPr>
            <w:tcW w:w="1138" w:type="pct"/>
            <w:noWrap/>
            <w:hideMark/>
          </w:tcPr>
          <w:p w14:paraId="6701FB2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Hodgson (2015)</w:t>
            </w:r>
          </w:p>
        </w:tc>
      </w:tr>
      <w:tr w:rsidR="00285EF0" w:rsidRPr="00883530" w14:paraId="1406C1D4" w14:textId="77777777" w:rsidTr="00B36DA8">
        <w:trPr>
          <w:trHeight w:val="300"/>
        </w:trPr>
        <w:tc>
          <w:tcPr>
            <w:tcW w:w="674" w:type="pct"/>
            <w:noWrap/>
            <w:hideMark/>
          </w:tcPr>
          <w:p w14:paraId="4AC07BE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Blueberries</w:t>
            </w:r>
          </w:p>
        </w:tc>
        <w:tc>
          <w:tcPr>
            <w:tcW w:w="692" w:type="pct"/>
            <w:noWrap/>
            <w:hideMark/>
          </w:tcPr>
          <w:p w14:paraId="555D1F0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707B795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China</w:t>
            </w:r>
          </w:p>
        </w:tc>
        <w:tc>
          <w:tcPr>
            <w:tcW w:w="574" w:type="pct"/>
            <w:noWrap/>
            <w:hideMark/>
          </w:tcPr>
          <w:p w14:paraId="4BEC360F"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12</w:t>
            </w:r>
          </w:p>
        </w:tc>
        <w:tc>
          <w:tcPr>
            <w:tcW w:w="568" w:type="pct"/>
            <w:noWrap/>
            <w:hideMark/>
          </w:tcPr>
          <w:p w14:paraId="3FE2C3B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120</w:t>
            </w:r>
          </w:p>
        </w:tc>
        <w:tc>
          <w:tcPr>
            <w:tcW w:w="1138" w:type="pct"/>
            <w:noWrap/>
            <w:hideMark/>
          </w:tcPr>
          <w:p w14:paraId="797B8E1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Gao et al (2019)</w:t>
            </w:r>
          </w:p>
        </w:tc>
      </w:tr>
      <w:tr w:rsidR="00285EF0" w:rsidRPr="00883530" w14:paraId="09EF1AE3" w14:textId="77777777" w:rsidTr="00B36DA8">
        <w:trPr>
          <w:trHeight w:val="300"/>
        </w:trPr>
        <w:tc>
          <w:tcPr>
            <w:tcW w:w="674" w:type="pct"/>
            <w:noWrap/>
            <w:hideMark/>
          </w:tcPr>
          <w:p w14:paraId="6246A1C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Blueberries</w:t>
            </w:r>
          </w:p>
        </w:tc>
        <w:tc>
          <w:tcPr>
            <w:tcW w:w="692" w:type="pct"/>
            <w:noWrap/>
            <w:hideMark/>
          </w:tcPr>
          <w:p w14:paraId="4AB93F3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3FBBC8D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China</w:t>
            </w:r>
          </w:p>
        </w:tc>
        <w:tc>
          <w:tcPr>
            <w:tcW w:w="574" w:type="pct"/>
            <w:noWrap/>
            <w:hideMark/>
          </w:tcPr>
          <w:p w14:paraId="2215F85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3FE40515"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108</w:t>
            </w:r>
          </w:p>
        </w:tc>
        <w:tc>
          <w:tcPr>
            <w:tcW w:w="1138" w:type="pct"/>
            <w:noWrap/>
            <w:hideMark/>
          </w:tcPr>
          <w:p w14:paraId="29A3BF5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Gao et al (2019)</w:t>
            </w:r>
          </w:p>
        </w:tc>
      </w:tr>
      <w:tr w:rsidR="00285EF0" w:rsidRPr="00883530" w14:paraId="0C949032" w14:textId="77777777" w:rsidTr="00B36DA8">
        <w:trPr>
          <w:trHeight w:val="300"/>
        </w:trPr>
        <w:tc>
          <w:tcPr>
            <w:tcW w:w="674" w:type="pct"/>
            <w:noWrap/>
            <w:hideMark/>
          </w:tcPr>
          <w:p w14:paraId="34E71A2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Blueberries</w:t>
            </w:r>
          </w:p>
        </w:tc>
        <w:tc>
          <w:tcPr>
            <w:tcW w:w="692" w:type="pct"/>
            <w:noWrap/>
            <w:hideMark/>
          </w:tcPr>
          <w:p w14:paraId="20E24F8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2511212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China</w:t>
            </w:r>
          </w:p>
        </w:tc>
        <w:tc>
          <w:tcPr>
            <w:tcW w:w="574" w:type="pct"/>
            <w:noWrap/>
            <w:hideMark/>
          </w:tcPr>
          <w:p w14:paraId="1D323A8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8</w:t>
            </w:r>
          </w:p>
        </w:tc>
        <w:tc>
          <w:tcPr>
            <w:tcW w:w="568" w:type="pct"/>
            <w:noWrap/>
            <w:hideMark/>
          </w:tcPr>
          <w:p w14:paraId="2AFC009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120</w:t>
            </w:r>
          </w:p>
        </w:tc>
        <w:tc>
          <w:tcPr>
            <w:tcW w:w="1138" w:type="pct"/>
            <w:noWrap/>
            <w:hideMark/>
          </w:tcPr>
          <w:p w14:paraId="20AF9FD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Gao et al (2019)</w:t>
            </w:r>
          </w:p>
        </w:tc>
      </w:tr>
      <w:tr w:rsidR="00285EF0" w:rsidRPr="00883530" w14:paraId="7918AA5E" w14:textId="77777777" w:rsidTr="00B36DA8">
        <w:trPr>
          <w:trHeight w:val="300"/>
        </w:trPr>
        <w:tc>
          <w:tcPr>
            <w:tcW w:w="674" w:type="pct"/>
            <w:noWrap/>
            <w:hideMark/>
          </w:tcPr>
          <w:p w14:paraId="3A6C766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Blueberries</w:t>
            </w:r>
          </w:p>
        </w:tc>
        <w:tc>
          <w:tcPr>
            <w:tcW w:w="692" w:type="pct"/>
            <w:noWrap/>
            <w:hideMark/>
          </w:tcPr>
          <w:p w14:paraId="6E0715A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20D65F0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Europe</w:t>
            </w:r>
          </w:p>
        </w:tc>
        <w:tc>
          <w:tcPr>
            <w:tcW w:w="574" w:type="pct"/>
            <w:noWrap/>
            <w:hideMark/>
          </w:tcPr>
          <w:p w14:paraId="5B08E57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w:t>
            </w:r>
          </w:p>
        </w:tc>
        <w:tc>
          <w:tcPr>
            <w:tcW w:w="568" w:type="pct"/>
            <w:noWrap/>
            <w:hideMark/>
          </w:tcPr>
          <w:p w14:paraId="7F57D01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126</w:t>
            </w:r>
          </w:p>
        </w:tc>
        <w:tc>
          <w:tcPr>
            <w:tcW w:w="1138" w:type="pct"/>
            <w:noWrap/>
            <w:hideMark/>
          </w:tcPr>
          <w:p w14:paraId="66D79FC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Li et al (2018)</w:t>
            </w:r>
          </w:p>
        </w:tc>
      </w:tr>
      <w:tr w:rsidR="00285EF0" w:rsidRPr="00883530" w14:paraId="1CCC6305" w14:textId="77777777" w:rsidTr="00B36DA8">
        <w:trPr>
          <w:trHeight w:val="300"/>
        </w:trPr>
        <w:tc>
          <w:tcPr>
            <w:tcW w:w="674" w:type="pct"/>
            <w:noWrap/>
            <w:hideMark/>
          </w:tcPr>
          <w:p w14:paraId="424CD0A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Blueberries</w:t>
            </w:r>
          </w:p>
        </w:tc>
        <w:tc>
          <w:tcPr>
            <w:tcW w:w="692" w:type="pct"/>
            <w:noWrap/>
            <w:hideMark/>
          </w:tcPr>
          <w:p w14:paraId="17ECB3B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Hepatitis A</w:t>
            </w:r>
          </w:p>
        </w:tc>
        <w:tc>
          <w:tcPr>
            <w:tcW w:w="1354" w:type="pct"/>
            <w:gridSpan w:val="2"/>
            <w:noWrap/>
            <w:hideMark/>
          </w:tcPr>
          <w:p w14:paraId="6EB642C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Australia</w:t>
            </w:r>
          </w:p>
        </w:tc>
        <w:tc>
          <w:tcPr>
            <w:tcW w:w="574" w:type="pct"/>
            <w:noWrap/>
            <w:hideMark/>
          </w:tcPr>
          <w:p w14:paraId="612D807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29A67F3F"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14</w:t>
            </w:r>
          </w:p>
        </w:tc>
        <w:tc>
          <w:tcPr>
            <w:tcW w:w="1138" w:type="pct"/>
            <w:noWrap/>
            <w:hideMark/>
          </w:tcPr>
          <w:p w14:paraId="736C4CD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Hodgson (2015)</w:t>
            </w:r>
          </w:p>
        </w:tc>
      </w:tr>
      <w:tr w:rsidR="00285EF0" w:rsidRPr="00883530" w14:paraId="6141654F" w14:textId="77777777" w:rsidTr="00B36DA8">
        <w:trPr>
          <w:trHeight w:val="300"/>
        </w:trPr>
        <w:tc>
          <w:tcPr>
            <w:tcW w:w="674" w:type="pct"/>
            <w:noWrap/>
            <w:hideMark/>
          </w:tcPr>
          <w:p w14:paraId="67FF6FF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Blueberries</w:t>
            </w:r>
          </w:p>
        </w:tc>
        <w:tc>
          <w:tcPr>
            <w:tcW w:w="692" w:type="pct"/>
            <w:noWrap/>
            <w:hideMark/>
          </w:tcPr>
          <w:p w14:paraId="4D78071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Hepatitis A</w:t>
            </w:r>
          </w:p>
        </w:tc>
        <w:tc>
          <w:tcPr>
            <w:tcW w:w="1354" w:type="pct"/>
            <w:gridSpan w:val="2"/>
            <w:noWrap/>
            <w:hideMark/>
          </w:tcPr>
          <w:p w14:paraId="10B4D07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Europe</w:t>
            </w:r>
          </w:p>
        </w:tc>
        <w:tc>
          <w:tcPr>
            <w:tcW w:w="574" w:type="pct"/>
            <w:noWrap/>
            <w:hideMark/>
          </w:tcPr>
          <w:p w14:paraId="03ADB67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3A3E32F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126</w:t>
            </w:r>
          </w:p>
        </w:tc>
        <w:tc>
          <w:tcPr>
            <w:tcW w:w="1138" w:type="pct"/>
            <w:noWrap/>
            <w:hideMark/>
          </w:tcPr>
          <w:p w14:paraId="7F364D53"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Li et al (2018)</w:t>
            </w:r>
          </w:p>
        </w:tc>
      </w:tr>
      <w:tr w:rsidR="00285EF0" w:rsidRPr="00883530" w14:paraId="6A172D2D" w14:textId="77777777" w:rsidTr="00B36DA8">
        <w:trPr>
          <w:trHeight w:val="300"/>
        </w:trPr>
        <w:tc>
          <w:tcPr>
            <w:tcW w:w="674" w:type="pct"/>
            <w:noWrap/>
            <w:hideMark/>
          </w:tcPr>
          <w:p w14:paraId="24D860C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Strawberries</w:t>
            </w:r>
          </w:p>
        </w:tc>
        <w:tc>
          <w:tcPr>
            <w:tcW w:w="692" w:type="pct"/>
            <w:noWrap/>
            <w:hideMark/>
          </w:tcPr>
          <w:p w14:paraId="1C05FE1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2CF1E15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Australia</w:t>
            </w:r>
          </w:p>
        </w:tc>
        <w:tc>
          <w:tcPr>
            <w:tcW w:w="574" w:type="pct"/>
            <w:noWrap/>
            <w:hideMark/>
          </w:tcPr>
          <w:p w14:paraId="565DD14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68320CA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138</w:t>
            </w:r>
          </w:p>
        </w:tc>
        <w:tc>
          <w:tcPr>
            <w:tcW w:w="1138" w:type="pct"/>
            <w:noWrap/>
            <w:hideMark/>
          </w:tcPr>
          <w:p w14:paraId="631CFCB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Hodgson (2015)</w:t>
            </w:r>
          </w:p>
        </w:tc>
      </w:tr>
      <w:tr w:rsidR="00285EF0" w:rsidRPr="00883530" w14:paraId="77D6F99C" w14:textId="77777777" w:rsidTr="00B36DA8">
        <w:trPr>
          <w:trHeight w:val="300"/>
        </w:trPr>
        <w:tc>
          <w:tcPr>
            <w:tcW w:w="674" w:type="pct"/>
            <w:noWrap/>
            <w:hideMark/>
          </w:tcPr>
          <w:p w14:paraId="162D027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Strawberries</w:t>
            </w:r>
          </w:p>
        </w:tc>
        <w:tc>
          <w:tcPr>
            <w:tcW w:w="692" w:type="pct"/>
            <w:noWrap/>
            <w:hideMark/>
          </w:tcPr>
          <w:p w14:paraId="57C5923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5187E84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Belgium</w:t>
            </w:r>
          </w:p>
        </w:tc>
        <w:tc>
          <w:tcPr>
            <w:tcW w:w="574" w:type="pct"/>
            <w:noWrap/>
            <w:hideMark/>
          </w:tcPr>
          <w:p w14:paraId="65E7D06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w:t>
            </w:r>
          </w:p>
        </w:tc>
        <w:tc>
          <w:tcPr>
            <w:tcW w:w="568" w:type="pct"/>
            <w:noWrap/>
            <w:hideMark/>
          </w:tcPr>
          <w:p w14:paraId="0931DD2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20</w:t>
            </w:r>
          </w:p>
        </w:tc>
        <w:tc>
          <w:tcPr>
            <w:tcW w:w="1138" w:type="pct"/>
            <w:noWrap/>
            <w:hideMark/>
          </w:tcPr>
          <w:p w14:paraId="58FCDDD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Stals et al (2011)</w:t>
            </w:r>
          </w:p>
        </w:tc>
      </w:tr>
      <w:tr w:rsidR="00285EF0" w:rsidRPr="00883530" w14:paraId="3B690B38" w14:textId="77777777" w:rsidTr="00B36DA8">
        <w:trPr>
          <w:trHeight w:val="300"/>
        </w:trPr>
        <w:tc>
          <w:tcPr>
            <w:tcW w:w="674" w:type="pct"/>
            <w:noWrap/>
            <w:hideMark/>
          </w:tcPr>
          <w:p w14:paraId="0D32CF9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Strawberries</w:t>
            </w:r>
          </w:p>
        </w:tc>
        <w:tc>
          <w:tcPr>
            <w:tcW w:w="692" w:type="pct"/>
            <w:noWrap/>
            <w:hideMark/>
          </w:tcPr>
          <w:p w14:paraId="71524EF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7DACFAC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Brazil</w:t>
            </w:r>
          </w:p>
        </w:tc>
        <w:tc>
          <w:tcPr>
            <w:tcW w:w="574" w:type="pct"/>
            <w:noWrap/>
            <w:hideMark/>
          </w:tcPr>
          <w:p w14:paraId="701E81F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5D6D6F9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12</w:t>
            </w:r>
          </w:p>
        </w:tc>
        <w:tc>
          <w:tcPr>
            <w:tcW w:w="1138" w:type="pct"/>
            <w:noWrap/>
            <w:hideMark/>
          </w:tcPr>
          <w:p w14:paraId="4A5F0C5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Marti et al (2017)</w:t>
            </w:r>
          </w:p>
        </w:tc>
      </w:tr>
      <w:tr w:rsidR="00285EF0" w:rsidRPr="00883530" w14:paraId="398E09A0" w14:textId="77777777" w:rsidTr="00B36DA8">
        <w:trPr>
          <w:trHeight w:val="300"/>
        </w:trPr>
        <w:tc>
          <w:tcPr>
            <w:tcW w:w="674" w:type="pct"/>
            <w:noWrap/>
            <w:hideMark/>
          </w:tcPr>
          <w:p w14:paraId="47E0443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Strawberries</w:t>
            </w:r>
          </w:p>
        </w:tc>
        <w:tc>
          <w:tcPr>
            <w:tcW w:w="692" w:type="pct"/>
            <w:noWrap/>
            <w:hideMark/>
          </w:tcPr>
          <w:p w14:paraId="01A6399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60FC2B7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China</w:t>
            </w:r>
          </w:p>
        </w:tc>
        <w:tc>
          <w:tcPr>
            <w:tcW w:w="574" w:type="pct"/>
            <w:noWrap/>
            <w:hideMark/>
          </w:tcPr>
          <w:p w14:paraId="451D989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64</w:t>
            </w:r>
          </w:p>
        </w:tc>
        <w:tc>
          <w:tcPr>
            <w:tcW w:w="568" w:type="pct"/>
            <w:noWrap/>
            <w:hideMark/>
          </w:tcPr>
          <w:p w14:paraId="1B734B3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300</w:t>
            </w:r>
          </w:p>
        </w:tc>
        <w:tc>
          <w:tcPr>
            <w:tcW w:w="1138" w:type="pct"/>
            <w:noWrap/>
            <w:hideMark/>
          </w:tcPr>
          <w:p w14:paraId="31197AF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Gao et al (2019)</w:t>
            </w:r>
          </w:p>
        </w:tc>
      </w:tr>
      <w:tr w:rsidR="00285EF0" w:rsidRPr="00883530" w14:paraId="2C26390D" w14:textId="77777777" w:rsidTr="00B36DA8">
        <w:trPr>
          <w:trHeight w:val="300"/>
        </w:trPr>
        <w:tc>
          <w:tcPr>
            <w:tcW w:w="674" w:type="pct"/>
            <w:noWrap/>
            <w:hideMark/>
          </w:tcPr>
          <w:p w14:paraId="1914210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Strawberries</w:t>
            </w:r>
          </w:p>
        </w:tc>
        <w:tc>
          <w:tcPr>
            <w:tcW w:w="692" w:type="pct"/>
            <w:noWrap/>
            <w:hideMark/>
          </w:tcPr>
          <w:p w14:paraId="3444FF7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56082DF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Czech Republic</w:t>
            </w:r>
          </w:p>
        </w:tc>
        <w:tc>
          <w:tcPr>
            <w:tcW w:w="574" w:type="pct"/>
            <w:noWrap/>
            <w:hideMark/>
          </w:tcPr>
          <w:p w14:paraId="12D9865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3E02ED3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70</w:t>
            </w:r>
          </w:p>
        </w:tc>
        <w:tc>
          <w:tcPr>
            <w:tcW w:w="1138" w:type="pct"/>
            <w:noWrap/>
            <w:hideMark/>
          </w:tcPr>
          <w:p w14:paraId="1152AF9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Dziedzinska et al (2018)</w:t>
            </w:r>
          </w:p>
        </w:tc>
      </w:tr>
      <w:tr w:rsidR="00285EF0" w:rsidRPr="00883530" w14:paraId="4197373E" w14:textId="77777777" w:rsidTr="00B36DA8">
        <w:trPr>
          <w:trHeight w:val="300"/>
        </w:trPr>
        <w:tc>
          <w:tcPr>
            <w:tcW w:w="674" w:type="pct"/>
            <w:noWrap/>
            <w:hideMark/>
          </w:tcPr>
          <w:p w14:paraId="5167665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Strawberries</w:t>
            </w:r>
          </w:p>
        </w:tc>
        <w:tc>
          <w:tcPr>
            <w:tcW w:w="692" w:type="pct"/>
            <w:noWrap/>
            <w:hideMark/>
          </w:tcPr>
          <w:p w14:paraId="06CED1E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475870A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Czech Republic, Poland and Serbia</w:t>
            </w:r>
          </w:p>
        </w:tc>
        <w:tc>
          <w:tcPr>
            <w:tcW w:w="574" w:type="pct"/>
            <w:noWrap/>
            <w:hideMark/>
          </w:tcPr>
          <w:p w14:paraId="26E589CF"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4EE4A25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21</w:t>
            </w:r>
          </w:p>
        </w:tc>
        <w:tc>
          <w:tcPr>
            <w:tcW w:w="1138" w:type="pct"/>
            <w:noWrap/>
            <w:hideMark/>
          </w:tcPr>
          <w:p w14:paraId="3433C84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Maunula et al (2013)</w:t>
            </w:r>
          </w:p>
        </w:tc>
      </w:tr>
      <w:tr w:rsidR="00285EF0" w:rsidRPr="00883530" w14:paraId="0A56FEA1" w14:textId="77777777" w:rsidTr="00B36DA8">
        <w:trPr>
          <w:trHeight w:val="300"/>
        </w:trPr>
        <w:tc>
          <w:tcPr>
            <w:tcW w:w="674" w:type="pct"/>
            <w:noWrap/>
            <w:hideMark/>
          </w:tcPr>
          <w:p w14:paraId="612F0B2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Strawberries</w:t>
            </w:r>
          </w:p>
        </w:tc>
        <w:tc>
          <w:tcPr>
            <w:tcW w:w="692" w:type="pct"/>
            <w:noWrap/>
            <w:hideMark/>
          </w:tcPr>
          <w:p w14:paraId="64CAE76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571B276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Europe</w:t>
            </w:r>
          </w:p>
        </w:tc>
        <w:tc>
          <w:tcPr>
            <w:tcW w:w="574" w:type="pct"/>
            <w:noWrap/>
            <w:hideMark/>
          </w:tcPr>
          <w:p w14:paraId="47C3E9A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41E82EFF"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918</w:t>
            </w:r>
          </w:p>
        </w:tc>
        <w:tc>
          <w:tcPr>
            <w:tcW w:w="1138" w:type="pct"/>
            <w:noWrap/>
            <w:hideMark/>
          </w:tcPr>
          <w:p w14:paraId="035FB95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Li et al (2018)</w:t>
            </w:r>
          </w:p>
        </w:tc>
      </w:tr>
      <w:tr w:rsidR="00285EF0" w:rsidRPr="00883530" w14:paraId="7BA67087" w14:textId="77777777" w:rsidTr="00B36DA8">
        <w:trPr>
          <w:trHeight w:val="300"/>
        </w:trPr>
        <w:tc>
          <w:tcPr>
            <w:tcW w:w="674" w:type="pct"/>
            <w:noWrap/>
            <w:hideMark/>
          </w:tcPr>
          <w:p w14:paraId="467311C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Strawberries</w:t>
            </w:r>
          </w:p>
        </w:tc>
        <w:tc>
          <w:tcPr>
            <w:tcW w:w="692" w:type="pct"/>
            <w:noWrap/>
            <w:hideMark/>
          </w:tcPr>
          <w:p w14:paraId="477E988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Norovirus</w:t>
            </w:r>
          </w:p>
        </w:tc>
        <w:tc>
          <w:tcPr>
            <w:tcW w:w="1354" w:type="pct"/>
            <w:gridSpan w:val="2"/>
            <w:noWrap/>
            <w:hideMark/>
          </w:tcPr>
          <w:p w14:paraId="5EAD34B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France</w:t>
            </w:r>
          </w:p>
        </w:tc>
        <w:tc>
          <w:tcPr>
            <w:tcW w:w="574" w:type="pct"/>
            <w:noWrap/>
            <w:hideMark/>
          </w:tcPr>
          <w:p w14:paraId="35CC8F5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4</w:t>
            </w:r>
          </w:p>
        </w:tc>
        <w:tc>
          <w:tcPr>
            <w:tcW w:w="568" w:type="pct"/>
            <w:noWrap/>
            <w:hideMark/>
          </w:tcPr>
          <w:p w14:paraId="03A32F22"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32</w:t>
            </w:r>
          </w:p>
        </w:tc>
        <w:tc>
          <w:tcPr>
            <w:tcW w:w="1138" w:type="pct"/>
            <w:noWrap/>
            <w:hideMark/>
          </w:tcPr>
          <w:p w14:paraId="2653E5D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Loutreul et al (2014)</w:t>
            </w:r>
          </w:p>
        </w:tc>
      </w:tr>
      <w:tr w:rsidR="00285EF0" w:rsidRPr="00883530" w14:paraId="2B036BBB" w14:textId="77777777" w:rsidTr="00B36DA8">
        <w:trPr>
          <w:trHeight w:val="300"/>
        </w:trPr>
        <w:tc>
          <w:tcPr>
            <w:tcW w:w="674" w:type="pct"/>
            <w:noWrap/>
            <w:hideMark/>
          </w:tcPr>
          <w:p w14:paraId="3B37E70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Strawberries</w:t>
            </w:r>
          </w:p>
        </w:tc>
        <w:tc>
          <w:tcPr>
            <w:tcW w:w="692" w:type="pct"/>
            <w:noWrap/>
            <w:hideMark/>
          </w:tcPr>
          <w:p w14:paraId="6AA7A8E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Hepatitis A</w:t>
            </w:r>
          </w:p>
        </w:tc>
        <w:tc>
          <w:tcPr>
            <w:tcW w:w="1354" w:type="pct"/>
            <w:gridSpan w:val="2"/>
            <w:noWrap/>
            <w:hideMark/>
          </w:tcPr>
          <w:p w14:paraId="3D067A5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Australia</w:t>
            </w:r>
          </w:p>
        </w:tc>
        <w:tc>
          <w:tcPr>
            <w:tcW w:w="574" w:type="pct"/>
            <w:noWrap/>
            <w:hideMark/>
          </w:tcPr>
          <w:p w14:paraId="3C8FEA5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781EE9A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138</w:t>
            </w:r>
          </w:p>
        </w:tc>
        <w:tc>
          <w:tcPr>
            <w:tcW w:w="1138" w:type="pct"/>
            <w:noWrap/>
            <w:hideMark/>
          </w:tcPr>
          <w:p w14:paraId="54F736F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Hodgson (2015)</w:t>
            </w:r>
          </w:p>
        </w:tc>
      </w:tr>
      <w:tr w:rsidR="00285EF0" w:rsidRPr="00883530" w14:paraId="2C49B95E" w14:textId="77777777" w:rsidTr="00B36DA8">
        <w:trPr>
          <w:trHeight w:val="300"/>
        </w:trPr>
        <w:tc>
          <w:tcPr>
            <w:tcW w:w="674" w:type="pct"/>
            <w:noWrap/>
            <w:hideMark/>
          </w:tcPr>
          <w:p w14:paraId="3D48B6E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Strawberries</w:t>
            </w:r>
          </w:p>
        </w:tc>
        <w:tc>
          <w:tcPr>
            <w:tcW w:w="692" w:type="pct"/>
            <w:noWrap/>
            <w:hideMark/>
          </w:tcPr>
          <w:p w14:paraId="299DB12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Hepatitis A</w:t>
            </w:r>
          </w:p>
        </w:tc>
        <w:tc>
          <w:tcPr>
            <w:tcW w:w="1354" w:type="pct"/>
            <w:gridSpan w:val="2"/>
            <w:noWrap/>
            <w:hideMark/>
          </w:tcPr>
          <w:p w14:paraId="21A315D1"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Brazil</w:t>
            </w:r>
          </w:p>
        </w:tc>
        <w:tc>
          <w:tcPr>
            <w:tcW w:w="574" w:type="pct"/>
            <w:noWrap/>
            <w:hideMark/>
          </w:tcPr>
          <w:p w14:paraId="0888C02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w:t>
            </w:r>
          </w:p>
        </w:tc>
        <w:tc>
          <w:tcPr>
            <w:tcW w:w="568" w:type="pct"/>
            <w:noWrap/>
            <w:hideMark/>
          </w:tcPr>
          <w:p w14:paraId="0141629B"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12</w:t>
            </w:r>
          </w:p>
        </w:tc>
        <w:tc>
          <w:tcPr>
            <w:tcW w:w="1138" w:type="pct"/>
            <w:noWrap/>
            <w:hideMark/>
          </w:tcPr>
          <w:p w14:paraId="4470892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Marti et al (2017)</w:t>
            </w:r>
          </w:p>
        </w:tc>
      </w:tr>
      <w:tr w:rsidR="00285EF0" w:rsidRPr="00883530" w14:paraId="3D31C1D4" w14:textId="77777777" w:rsidTr="00B36DA8">
        <w:trPr>
          <w:trHeight w:val="300"/>
        </w:trPr>
        <w:tc>
          <w:tcPr>
            <w:tcW w:w="674" w:type="pct"/>
            <w:noWrap/>
            <w:hideMark/>
          </w:tcPr>
          <w:p w14:paraId="23590C3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Strawberries</w:t>
            </w:r>
          </w:p>
        </w:tc>
        <w:tc>
          <w:tcPr>
            <w:tcW w:w="692" w:type="pct"/>
            <w:noWrap/>
            <w:hideMark/>
          </w:tcPr>
          <w:p w14:paraId="2A355A6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Hepatitis A</w:t>
            </w:r>
          </w:p>
        </w:tc>
        <w:tc>
          <w:tcPr>
            <w:tcW w:w="1354" w:type="pct"/>
            <w:gridSpan w:val="2"/>
            <w:noWrap/>
            <w:hideMark/>
          </w:tcPr>
          <w:p w14:paraId="5BD976B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Czech Republic, Poland and Serbia</w:t>
            </w:r>
          </w:p>
        </w:tc>
        <w:tc>
          <w:tcPr>
            <w:tcW w:w="574" w:type="pct"/>
            <w:noWrap/>
            <w:hideMark/>
          </w:tcPr>
          <w:p w14:paraId="40ABE96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1E26D51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21</w:t>
            </w:r>
          </w:p>
        </w:tc>
        <w:tc>
          <w:tcPr>
            <w:tcW w:w="1138" w:type="pct"/>
            <w:noWrap/>
            <w:hideMark/>
          </w:tcPr>
          <w:p w14:paraId="52CA7D3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Maunula et al (2013)</w:t>
            </w:r>
          </w:p>
        </w:tc>
      </w:tr>
      <w:tr w:rsidR="00285EF0" w:rsidRPr="00883530" w14:paraId="1CC0BFA5" w14:textId="77777777" w:rsidTr="00B36DA8">
        <w:trPr>
          <w:trHeight w:val="300"/>
        </w:trPr>
        <w:tc>
          <w:tcPr>
            <w:tcW w:w="674" w:type="pct"/>
            <w:noWrap/>
            <w:hideMark/>
          </w:tcPr>
          <w:p w14:paraId="38E5B39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Strawberries</w:t>
            </w:r>
          </w:p>
        </w:tc>
        <w:tc>
          <w:tcPr>
            <w:tcW w:w="692" w:type="pct"/>
            <w:noWrap/>
            <w:hideMark/>
          </w:tcPr>
          <w:p w14:paraId="5F28607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Hepatitis A</w:t>
            </w:r>
          </w:p>
        </w:tc>
        <w:tc>
          <w:tcPr>
            <w:tcW w:w="1354" w:type="pct"/>
            <w:gridSpan w:val="2"/>
            <w:noWrap/>
            <w:hideMark/>
          </w:tcPr>
          <w:p w14:paraId="2B093AD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Europe</w:t>
            </w:r>
          </w:p>
        </w:tc>
        <w:tc>
          <w:tcPr>
            <w:tcW w:w="574" w:type="pct"/>
            <w:noWrap/>
            <w:hideMark/>
          </w:tcPr>
          <w:p w14:paraId="1C23889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1A3B3EE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918</w:t>
            </w:r>
          </w:p>
        </w:tc>
        <w:tc>
          <w:tcPr>
            <w:tcW w:w="1138" w:type="pct"/>
            <w:noWrap/>
            <w:hideMark/>
          </w:tcPr>
          <w:p w14:paraId="6DE8F30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Li et al (2018)</w:t>
            </w:r>
          </w:p>
        </w:tc>
      </w:tr>
      <w:tr w:rsidR="00285EF0" w:rsidRPr="00883530" w14:paraId="6941D343" w14:textId="77777777" w:rsidTr="00285EF0">
        <w:trPr>
          <w:cantSplit/>
        </w:trPr>
        <w:tc>
          <w:tcPr>
            <w:tcW w:w="5000" w:type="pct"/>
            <w:gridSpan w:val="7"/>
          </w:tcPr>
          <w:p w14:paraId="2984DDE8" w14:textId="77777777" w:rsidR="00285EF0" w:rsidRPr="00883530" w:rsidRDefault="00285EF0" w:rsidP="00285EF0">
            <w:pPr>
              <w:rPr>
                <w:rFonts w:cs="Arial"/>
                <w:szCs w:val="20"/>
              </w:rPr>
            </w:pPr>
          </w:p>
        </w:tc>
      </w:tr>
    </w:tbl>
    <w:p w14:paraId="01D37BEF" w14:textId="77777777" w:rsidR="00C848EA" w:rsidRDefault="00C848EA">
      <w:r>
        <w:br w:type="page"/>
      </w:r>
    </w:p>
    <w:tbl>
      <w:tblPr>
        <w:tblStyle w:val="TableGrid"/>
        <w:tblW w:w="4872" w:type="pct"/>
        <w:tblLook w:val="04A0" w:firstRow="1" w:lastRow="0" w:firstColumn="1" w:lastColumn="0" w:noHBand="0" w:noVBand="1"/>
        <w:tblCaption w:val="Summary of prevalence studies for pathogens in fresh and minimally processed horticultural produce sampled from food businesses"/>
      </w:tblPr>
      <w:tblGrid>
        <w:gridCol w:w="1838"/>
        <w:gridCol w:w="2026"/>
        <w:gridCol w:w="3553"/>
        <w:gridCol w:w="1565"/>
        <w:gridCol w:w="1549"/>
        <w:gridCol w:w="3103"/>
      </w:tblGrid>
      <w:tr w:rsidR="00B36DA8" w:rsidRPr="00883530" w14:paraId="1011F444" w14:textId="77777777" w:rsidTr="00B36DA8">
        <w:trPr>
          <w:cantSplit/>
          <w:trHeight w:val="252"/>
          <w:tblHeader/>
        </w:trPr>
        <w:tc>
          <w:tcPr>
            <w:tcW w:w="674" w:type="pct"/>
            <w:shd w:val="clear" w:color="auto" w:fill="C6D9F1" w:themeFill="text2" w:themeFillTint="33"/>
          </w:tcPr>
          <w:p w14:paraId="1607B496" w14:textId="77777777" w:rsidR="00B36DA8" w:rsidRPr="00883530" w:rsidRDefault="00B36DA8" w:rsidP="00B36DA8">
            <w:pPr>
              <w:rPr>
                <w:rFonts w:cs="Arial"/>
                <w:b/>
                <w:szCs w:val="20"/>
              </w:rPr>
            </w:pPr>
            <w:r w:rsidRPr="00883530">
              <w:rPr>
                <w:rFonts w:cs="Arial"/>
                <w:b/>
                <w:szCs w:val="20"/>
              </w:rPr>
              <w:t>Commodity</w:t>
            </w:r>
          </w:p>
        </w:tc>
        <w:tc>
          <w:tcPr>
            <w:tcW w:w="743" w:type="pct"/>
            <w:shd w:val="clear" w:color="auto" w:fill="C6D9F1" w:themeFill="text2" w:themeFillTint="33"/>
          </w:tcPr>
          <w:p w14:paraId="40A789F3" w14:textId="77777777" w:rsidR="00B36DA8" w:rsidRPr="00883530" w:rsidRDefault="00B36DA8" w:rsidP="00B36DA8">
            <w:pPr>
              <w:rPr>
                <w:rFonts w:cs="Arial"/>
                <w:b/>
                <w:szCs w:val="20"/>
              </w:rPr>
            </w:pPr>
            <w:r w:rsidRPr="00883530">
              <w:rPr>
                <w:rFonts w:cs="Arial"/>
                <w:b/>
                <w:szCs w:val="20"/>
              </w:rPr>
              <w:t>Pathogen</w:t>
            </w:r>
          </w:p>
        </w:tc>
        <w:tc>
          <w:tcPr>
            <w:tcW w:w="1303" w:type="pct"/>
            <w:shd w:val="clear" w:color="auto" w:fill="C6D9F1" w:themeFill="text2" w:themeFillTint="33"/>
          </w:tcPr>
          <w:p w14:paraId="7664169A" w14:textId="77777777" w:rsidR="00B36DA8" w:rsidRPr="00883530" w:rsidRDefault="00B36DA8" w:rsidP="00B36DA8">
            <w:pPr>
              <w:rPr>
                <w:rFonts w:cs="Arial"/>
                <w:b/>
                <w:szCs w:val="20"/>
              </w:rPr>
            </w:pPr>
            <w:r w:rsidRPr="00883530">
              <w:rPr>
                <w:rFonts w:cs="Arial"/>
                <w:b/>
                <w:szCs w:val="20"/>
              </w:rPr>
              <w:t>Country</w:t>
            </w:r>
          </w:p>
        </w:tc>
        <w:tc>
          <w:tcPr>
            <w:tcW w:w="574" w:type="pct"/>
            <w:shd w:val="clear" w:color="auto" w:fill="C6D9F1" w:themeFill="text2" w:themeFillTint="33"/>
          </w:tcPr>
          <w:p w14:paraId="78C3FE4A" w14:textId="77777777" w:rsidR="00B36DA8" w:rsidRPr="00883530" w:rsidRDefault="00B36DA8" w:rsidP="00B36DA8">
            <w:pPr>
              <w:rPr>
                <w:rFonts w:cs="Arial"/>
                <w:b/>
                <w:szCs w:val="20"/>
              </w:rPr>
            </w:pPr>
            <w:r w:rsidRPr="00883530">
              <w:rPr>
                <w:rFonts w:cs="Arial"/>
                <w:b/>
                <w:szCs w:val="20"/>
              </w:rPr>
              <w:t>Positive samples</w:t>
            </w:r>
          </w:p>
        </w:tc>
        <w:tc>
          <w:tcPr>
            <w:tcW w:w="568" w:type="pct"/>
            <w:shd w:val="clear" w:color="auto" w:fill="C6D9F1" w:themeFill="text2" w:themeFillTint="33"/>
          </w:tcPr>
          <w:p w14:paraId="11FF4FE7" w14:textId="77777777" w:rsidR="00B36DA8" w:rsidRPr="00883530" w:rsidRDefault="00B36DA8" w:rsidP="00B36DA8">
            <w:pPr>
              <w:rPr>
                <w:rFonts w:cs="Arial"/>
                <w:b/>
                <w:szCs w:val="20"/>
              </w:rPr>
            </w:pPr>
            <w:r w:rsidRPr="00883530">
              <w:rPr>
                <w:rFonts w:cs="Arial"/>
                <w:b/>
                <w:szCs w:val="20"/>
              </w:rPr>
              <w:t>Total samples</w:t>
            </w:r>
          </w:p>
        </w:tc>
        <w:tc>
          <w:tcPr>
            <w:tcW w:w="1138" w:type="pct"/>
            <w:shd w:val="clear" w:color="auto" w:fill="C6D9F1" w:themeFill="text2" w:themeFillTint="33"/>
          </w:tcPr>
          <w:p w14:paraId="0AA8FD81" w14:textId="77777777" w:rsidR="00B36DA8" w:rsidRPr="00883530" w:rsidRDefault="00B36DA8" w:rsidP="00B36DA8">
            <w:pPr>
              <w:rPr>
                <w:rFonts w:cs="Arial"/>
                <w:b/>
                <w:szCs w:val="20"/>
              </w:rPr>
            </w:pPr>
            <w:r w:rsidRPr="00883530">
              <w:rPr>
                <w:rFonts w:cs="Arial"/>
                <w:b/>
                <w:szCs w:val="20"/>
              </w:rPr>
              <w:t>Reference</w:t>
            </w:r>
          </w:p>
        </w:tc>
      </w:tr>
      <w:tr w:rsidR="00B36DA8" w:rsidRPr="00883530" w14:paraId="42BB66EB" w14:textId="77777777" w:rsidTr="00B36DA8">
        <w:trPr>
          <w:cantSplit/>
        </w:trPr>
        <w:tc>
          <w:tcPr>
            <w:tcW w:w="5000" w:type="pct"/>
            <w:gridSpan w:val="6"/>
            <w:shd w:val="clear" w:color="auto" w:fill="FFFFFF" w:themeFill="background1"/>
          </w:tcPr>
          <w:p w14:paraId="1BD4833C" w14:textId="77777777" w:rsidR="00B36DA8" w:rsidRPr="00883530" w:rsidRDefault="00B36DA8" w:rsidP="00B36DA8">
            <w:pPr>
              <w:rPr>
                <w:rFonts w:cs="Arial"/>
                <w:szCs w:val="20"/>
              </w:rPr>
            </w:pPr>
          </w:p>
        </w:tc>
      </w:tr>
      <w:tr w:rsidR="00285EF0" w:rsidRPr="00883530" w14:paraId="06724A31" w14:textId="77777777" w:rsidTr="00285EF0">
        <w:trPr>
          <w:cantSplit/>
        </w:trPr>
        <w:tc>
          <w:tcPr>
            <w:tcW w:w="5000" w:type="pct"/>
            <w:gridSpan w:val="6"/>
            <w:shd w:val="clear" w:color="auto" w:fill="C6D9F1" w:themeFill="text2" w:themeFillTint="33"/>
          </w:tcPr>
          <w:p w14:paraId="1D52A435" w14:textId="7538098E" w:rsidR="00285EF0" w:rsidRPr="00883530" w:rsidRDefault="00285EF0" w:rsidP="00285EF0">
            <w:pPr>
              <w:rPr>
                <w:rFonts w:cs="Arial"/>
                <w:szCs w:val="20"/>
              </w:rPr>
            </w:pPr>
            <w:r w:rsidRPr="00883530">
              <w:rPr>
                <w:rFonts w:cs="Arial"/>
                <w:szCs w:val="20"/>
              </w:rPr>
              <w:t>Melons</w:t>
            </w:r>
          </w:p>
        </w:tc>
      </w:tr>
      <w:tr w:rsidR="00285EF0" w:rsidRPr="00883530" w14:paraId="4294ECD4" w14:textId="77777777" w:rsidTr="00C848EA">
        <w:trPr>
          <w:trHeight w:val="300"/>
        </w:trPr>
        <w:tc>
          <w:tcPr>
            <w:tcW w:w="674" w:type="pct"/>
            <w:noWrap/>
            <w:hideMark/>
          </w:tcPr>
          <w:p w14:paraId="6994F17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Rockmelon</w:t>
            </w:r>
          </w:p>
        </w:tc>
        <w:tc>
          <w:tcPr>
            <w:tcW w:w="743" w:type="pct"/>
            <w:noWrap/>
            <w:hideMark/>
          </w:tcPr>
          <w:p w14:paraId="1200873A"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39506E7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Germany</w:t>
            </w:r>
          </w:p>
        </w:tc>
        <w:tc>
          <w:tcPr>
            <w:tcW w:w="574" w:type="pct"/>
            <w:noWrap/>
            <w:hideMark/>
          </w:tcPr>
          <w:p w14:paraId="5DABE15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w:t>
            </w:r>
          </w:p>
        </w:tc>
        <w:tc>
          <w:tcPr>
            <w:tcW w:w="568" w:type="pct"/>
            <w:noWrap/>
            <w:hideMark/>
          </w:tcPr>
          <w:p w14:paraId="25F0B35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147</w:t>
            </w:r>
          </w:p>
        </w:tc>
        <w:tc>
          <w:tcPr>
            <w:tcW w:w="1138" w:type="pct"/>
            <w:noWrap/>
            <w:hideMark/>
          </w:tcPr>
          <w:p w14:paraId="1E1C668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Esteban-Cuesta et al (2018)</w:t>
            </w:r>
          </w:p>
        </w:tc>
      </w:tr>
      <w:tr w:rsidR="00285EF0" w:rsidRPr="00883530" w14:paraId="6AEA0E08" w14:textId="77777777" w:rsidTr="00C848EA">
        <w:trPr>
          <w:trHeight w:val="300"/>
        </w:trPr>
        <w:tc>
          <w:tcPr>
            <w:tcW w:w="674" w:type="pct"/>
            <w:noWrap/>
            <w:hideMark/>
          </w:tcPr>
          <w:p w14:paraId="664E60EC"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Rockmelon</w:t>
            </w:r>
          </w:p>
        </w:tc>
        <w:tc>
          <w:tcPr>
            <w:tcW w:w="743" w:type="pct"/>
            <w:noWrap/>
            <w:hideMark/>
          </w:tcPr>
          <w:p w14:paraId="67E92AC1"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771A12F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Germany</w:t>
            </w:r>
          </w:p>
        </w:tc>
        <w:tc>
          <w:tcPr>
            <w:tcW w:w="574" w:type="pct"/>
            <w:noWrap/>
            <w:hideMark/>
          </w:tcPr>
          <w:p w14:paraId="3E567A4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169EBD75"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147</w:t>
            </w:r>
          </w:p>
        </w:tc>
        <w:tc>
          <w:tcPr>
            <w:tcW w:w="1138" w:type="pct"/>
            <w:noWrap/>
            <w:hideMark/>
          </w:tcPr>
          <w:p w14:paraId="62D6F10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Esteban-Cuesta et al (2018)</w:t>
            </w:r>
          </w:p>
        </w:tc>
      </w:tr>
      <w:tr w:rsidR="00285EF0" w:rsidRPr="00883530" w14:paraId="4BE0998B" w14:textId="77777777" w:rsidTr="00C848EA">
        <w:trPr>
          <w:trHeight w:val="300"/>
        </w:trPr>
        <w:tc>
          <w:tcPr>
            <w:tcW w:w="674" w:type="pct"/>
            <w:noWrap/>
            <w:hideMark/>
          </w:tcPr>
          <w:p w14:paraId="30293D5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Rockmelon</w:t>
            </w:r>
          </w:p>
        </w:tc>
        <w:tc>
          <w:tcPr>
            <w:tcW w:w="743" w:type="pct"/>
            <w:noWrap/>
            <w:hideMark/>
          </w:tcPr>
          <w:p w14:paraId="39233D4C"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17F36EC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Honduras</w:t>
            </w:r>
          </w:p>
        </w:tc>
        <w:tc>
          <w:tcPr>
            <w:tcW w:w="574" w:type="pct"/>
            <w:noWrap/>
            <w:hideMark/>
          </w:tcPr>
          <w:p w14:paraId="70ED2D17"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55E7CE08"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35</w:t>
            </w:r>
          </w:p>
        </w:tc>
        <w:tc>
          <w:tcPr>
            <w:tcW w:w="1138" w:type="pct"/>
            <w:noWrap/>
            <w:hideMark/>
          </w:tcPr>
          <w:p w14:paraId="38D7DA5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Maradiaga et al (2015)</w:t>
            </w:r>
          </w:p>
        </w:tc>
      </w:tr>
      <w:tr w:rsidR="00285EF0" w:rsidRPr="00883530" w14:paraId="7A520428" w14:textId="77777777" w:rsidTr="00C848EA">
        <w:trPr>
          <w:trHeight w:val="300"/>
        </w:trPr>
        <w:tc>
          <w:tcPr>
            <w:tcW w:w="674" w:type="pct"/>
            <w:noWrap/>
            <w:hideMark/>
          </w:tcPr>
          <w:p w14:paraId="026F441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Rockmelon</w:t>
            </w:r>
          </w:p>
        </w:tc>
        <w:tc>
          <w:tcPr>
            <w:tcW w:w="743" w:type="pct"/>
            <w:noWrap/>
            <w:hideMark/>
          </w:tcPr>
          <w:p w14:paraId="0193CAA0"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1DD10C4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UK</w:t>
            </w:r>
          </w:p>
        </w:tc>
        <w:tc>
          <w:tcPr>
            <w:tcW w:w="574" w:type="pct"/>
            <w:noWrap/>
            <w:hideMark/>
          </w:tcPr>
          <w:p w14:paraId="77D1F54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4CBC8A6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870</w:t>
            </w:r>
          </w:p>
        </w:tc>
        <w:tc>
          <w:tcPr>
            <w:tcW w:w="1138" w:type="pct"/>
            <w:noWrap/>
            <w:hideMark/>
          </w:tcPr>
          <w:p w14:paraId="7815E07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Willis et al (2016)</w:t>
            </w:r>
          </w:p>
        </w:tc>
      </w:tr>
      <w:tr w:rsidR="00285EF0" w:rsidRPr="00883530" w14:paraId="25173A92" w14:textId="77777777" w:rsidTr="00C848EA">
        <w:trPr>
          <w:trHeight w:val="300"/>
        </w:trPr>
        <w:tc>
          <w:tcPr>
            <w:tcW w:w="674" w:type="pct"/>
            <w:noWrap/>
            <w:hideMark/>
          </w:tcPr>
          <w:p w14:paraId="3776705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Rockmelon</w:t>
            </w:r>
          </w:p>
        </w:tc>
        <w:tc>
          <w:tcPr>
            <w:tcW w:w="743" w:type="pct"/>
            <w:noWrap/>
            <w:hideMark/>
          </w:tcPr>
          <w:p w14:paraId="55C06C2E"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520311D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5AD0BCA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9</w:t>
            </w:r>
          </w:p>
        </w:tc>
        <w:tc>
          <w:tcPr>
            <w:tcW w:w="568" w:type="pct"/>
            <w:noWrap/>
            <w:hideMark/>
          </w:tcPr>
          <w:p w14:paraId="14E30294"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16</w:t>
            </w:r>
          </w:p>
        </w:tc>
        <w:tc>
          <w:tcPr>
            <w:tcW w:w="1138" w:type="pct"/>
            <w:noWrap/>
            <w:hideMark/>
          </w:tcPr>
          <w:p w14:paraId="63E6B76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Li et al (2017)</w:t>
            </w:r>
          </w:p>
        </w:tc>
      </w:tr>
      <w:tr w:rsidR="00285EF0" w:rsidRPr="00883530" w14:paraId="180E3A67" w14:textId="77777777" w:rsidTr="00C848EA">
        <w:trPr>
          <w:trHeight w:val="300"/>
        </w:trPr>
        <w:tc>
          <w:tcPr>
            <w:tcW w:w="674" w:type="pct"/>
            <w:noWrap/>
            <w:hideMark/>
          </w:tcPr>
          <w:p w14:paraId="072EBD7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Rockmelon</w:t>
            </w:r>
          </w:p>
        </w:tc>
        <w:tc>
          <w:tcPr>
            <w:tcW w:w="743" w:type="pct"/>
            <w:noWrap/>
            <w:hideMark/>
          </w:tcPr>
          <w:p w14:paraId="2726800E"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0B0B511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4C317A39"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14</w:t>
            </w:r>
          </w:p>
        </w:tc>
        <w:tc>
          <w:tcPr>
            <w:tcW w:w="568" w:type="pct"/>
            <w:noWrap/>
            <w:hideMark/>
          </w:tcPr>
          <w:p w14:paraId="212ACB6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16169</w:t>
            </w:r>
          </w:p>
        </w:tc>
        <w:tc>
          <w:tcPr>
            <w:tcW w:w="1138" w:type="pct"/>
            <w:noWrap/>
            <w:hideMark/>
          </w:tcPr>
          <w:p w14:paraId="01C90695"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Reddy et al (2016)</w:t>
            </w:r>
          </w:p>
        </w:tc>
      </w:tr>
      <w:tr w:rsidR="00285EF0" w:rsidRPr="00883530" w14:paraId="6CB5BF58" w14:textId="77777777" w:rsidTr="00C848EA">
        <w:trPr>
          <w:trHeight w:val="300"/>
        </w:trPr>
        <w:tc>
          <w:tcPr>
            <w:tcW w:w="674" w:type="pct"/>
            <w:noWrap/>
            <w:hideMark/>
          </w:tcPr>
          <w:p w14:paraId="74E344B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Rockmelon</w:t>
            </w:r>
          </w:p>
        </w:tc>
        <w:tc>
          <w:tcPr>
            <w:tcW w:w="743" w:type="pct"/>
            <w:noWrap/>
            <w:hideMark/>
          </w:tcPr>
          <w:p w14:paraId="4DCFA294"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Salmonella</w:t>
            </w:r>
            <w:r w:rsidRPr="00883530">
              <w:rPr>
                <w:rFonts w:cs="Arial"/>
                <w:color w:val="000000"/>
                <w:szCs w:val="20"/>
                <w:lang w:bidi="ar-SA"/>
              </w:rPr>
              <w:t xml:space="preserve"> spp.</w:t>
            </w:r>
          </w:p>
        </w:tc>
        <w:tc>
          <w:tcPr>
            <w:tcW w:w="1303" w:type="pct"/>
            <w:noWrap/>
            <w:hideMark/>
          </w:tcPr>
          <w:p w14:paraId="319CE4E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6B06434A"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2</w:t>
            </w:r>
          </w:p>
        </w:tc>
        <w:tc>
          <w:tcPr>
            <w:tcW w:w="568" w:type="pct"/>
            <w:noWrap/>
            <w:hideMark/>
          </w:tcPr>
          <w:p w14:paraId="6A5051C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1075</w:t>
            </w:r>
          </w:p>
        </w:tc>
        <w:tc>
          <w:tcPr>
            <w:tcW w:w="1138" w:type="pct"/>
            <w:noWrap/>
            <w:hideMark/>
          </w:tcPr>
          <w:p w14:paraId="265D84A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Zhang et al (2018)</w:t>
            </w:r>
          </w:p>
        </w:tc>
      </w:tr>
      <w:tr w:rsidR="00285EF0" w:rsidRPr="00883530" w14:paraId="786A626A" w14:textId="77777777" w:rsidTr="00C848EA">
        <w:trPr>
          <w:trHeight w:val="300"/>
        </w:trPr>
        <w:tc>
          <w:tcPr>
            <w:tcW w:w="674" w:type="pct"/>
            <w:noWrap/>
            <w:hideMark/>
          </w:tcPr>
          <w:p w14:paraId="137A8F47"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Rockmelon</w:t>
            </w:r>
          </w:p>
        </w:tc>
        <w:tc>
          <w:tcPr>
            <w:tcW w:w="743" w:type="pct"/>
            <w:noWrap/>
            <w:hideMark/>
          </w:tcPr>
          <w:p w14:paraId="5FD75774"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6342F3FA"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Germany</w:t>
            </w:r>
          </w:p>
        </w:tc>
        <w:tc>
          <w:tcPr>
            <w:tcW w:w="574" w:type="pct"/>
            <w:noWrap/>
            <w:hideMark/>
          </w:tcPr>
          <w:p w14:paraId="1A969ACF"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1EBDBAA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147</w:t>
            </w:r>
          </w:p>
        </w:tc>
        <w:tc>
          <w:tcPr>
            <w:tcW w:w="1138" w:type="pct"/>
            <w:noWrap/>
            <w:hideMark/>
          </w:tcPr>
          <w:p w14:paraId="6FADC4F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Esteban-Cuesta et al (2018)</w:t>
            </w:r>
          </w:p>
        </w:tc>
      </w:tr>
      <w:tr w:rsidR="00285EF0" w:rsidRPr="00883530" w14:paraId="4549E81B" w14:textId="77777777" w:rsidTr="00C848EA">
        <w:trPr>
          <w:trHeight w:val="300"/>
        </w:trPr>
        <w:tc>
          <w:tcPr>
            <w:tcW w:w="674" w:type="pct"/>
            <w:noWrap/>
            <w:hideMark/>
          </w:tcPr>
          <w:p w14:paraId="244E745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Rockmelon</w:t>
            </w:r>
          </w:p>
        </w:tc>
        <w:tc>
          <w:tcPr>
            <w:tcW w:w="743" w:type="pct"/>
            <w:noWrap/>
            <w:hideMark/>
          </w:tcPr>
          <w:p w14:paraId="70D13259"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248561E4"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Germany</w:t>
            </w:r>
          </w:p>
        </w:tc>
        <w:tc>
          <w:tcPr>
            <w:tcW w:w="574" w:type="pct"/>
            <w:noWrap/>
            <w:hideMark/>
          </w:tcPr>
          <w:p w14:paraId="2C092E7D"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77492FE6"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147</w:t>
            </w:r>
          </w:p>
        </w:tc>
        <w:tc>
          <w:tcPr>
            <w:tcW w:w="1138" w:type="pct"/>
            <w:noWrap/>
            <w:hideMark/>
          </w:tcPr>
          <w:p w14:paraId="4DBF7720"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Esteban-Cuesta et al (2018)</w:t>
            </w:r>
          </w:p>
        </w:tc>
      </w:tr>
      <w:tr w:rsidR="00285EF0" w:rsidRPr="00883530" w14:paraId="080341CB" w14:textId="77777777" w:rsidTr="00C848EA">
        <w:trPr>
          <w:trHeight w:val="300"/>
        </w:trPr>
        <w:tc>
          <w:tcPr>
            <w:tcW w:w="674" w:type="pct"/>
            <w:noWrap/>
            <w:hideMark/>
          </w:tcPr>
          <w:p w14:paraId="3F5A39B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Rockmelon</w:t>
            </w:r>
          </w:p>
        </w:tc>
        <w:tc>
          <w:tcPr>
            <w:tcW w:w="743" w:type="pct"/>
            <w:noWrap/>
            <w:hideMark/>
          </w:tcPr>
          <w:p w14:paraId="0364D629"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4E788A9B"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UK</w:t>
            </w:r>
          </w:p>
        </w:tc>
        <w:tc>
          <w:tcPr>
            <w:tcW w:w="574" w:type="pct"/>
            <w:noWrap/>
            <w:hideMark/>
          </w:tcPr>
          <w:p w14:paraId="016A407E"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51</w:t>
            </w:r>
          </w:p>
        </w:tc>
        <w:tc>
          <w:tcPr>
            <w:tcW w:w="568" w:type="pct"/>
            <w:noWrap/>
            <w:hideMark/>
          </w:tcPr>
          <w:p w14:paraId="6438CFA1"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870</w:t>
            </w:r>
          </w:p>
        </w:tc>
        <w:tc>
          <w:tcPr>
            <w:tcW w:w="1138" w:type="pct"/>
            <w:noWrap/>
            <w:hideMark/>
          </w:tcPr>
          <w:p w14:paraId="7282339F"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Willis et al (2016)</w:t>
            </w:r>
          </w:p>
        </w:tc>
      </w:tr>
      <w:tr w:rsidR="00285EF0" w:rsidRPr="00883530" w14:paraId="198C5566" w14:textId="77777777" w:rsidTr="00C848EA">
        <w:trPr>
          <w:trHeight w:val="300"/>
        </w:trPr>
        <w:tc>
          <w:tcPr>
            <w:tcW w:w="674" w:type="pct"/>
            <w:noWrap/>
            <w:hideMark/>
          </w:tcPr>
          <w:p w14:paraId="7FFFB2ED"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Rockmelon</w:t>
            </w:r>
          </w:p>
        </w:tc>
        <w:tc>
          <w:tcPr>
            <w:tcW w:w="743" w:type="pct"/>
            <w:noWrap/>
            <w:hideMark/>
          </w:tcPr>
          <w:p w14:paraId="0F80386B"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45012056"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57425750"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w:t>
            </w:r>
          </w:p>
        </w:tc>
        <w:tc>
          <w:tcPr>
            <w:tcW w:w="568" w:type="pct"/>
            <w:noWrap/>
            <w:hideMark/>
          </w:tcPr>
          <w:p w14:paraId="271C6A43"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16</w:t>
            </w:r>
          </w:p>
        </w:tc>
        <w:tc>
          <w:tcPr>
            <w:tcW w:w="1138" w:type="pct"/>
            <w:noWrap/>
            <w:hideMark/>
          </w:tcPr>
          <w:p w14:paraId="082549C9"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Li et al (2017)</w:t>
            </w:r>
          </w:p>
        </w:tc>
      </w:tr>
      <w:tr w:rsidR="00285EF0" w:rsidRPr="00883530" w14:paraId="223CA1FB" w14:textId="77777777" w:rsidTr="00C848EA">
        <w:trPr>
          <w:trHeight w:val="300"/>
        </w:trPr>
        <w:tc>
          <w:tcPr>
            <w:tcW w:w="674" w:type="pct"/>
            <w:noWrap/>
            <w:hideMark/>
          </w:tcPr>
          <w:p w14:paraId="37B4F86E"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Rockmelon</w:t>
            </w:r>
          </w:p>
        </w:tc>
        <w:tc>
          <w:tcPr>
            <w:tcW w:w="743" w:type="pct"/>
            <w:noWrap/>
            <w:hideMark/>
          </w:tcPr>
          <w:p w14:paraId="34AB6DA7" w14:textId="77777777" w:rsidR="00285EF0" w:rsidRPr="00883530" w:rsidRDefault="00285EF0" w:rsidP="00285EF0">
            <w:pPr>
              <w:widowControl/>
              <w:rPr>
                <w:rFonts w:cs="Arial"/>
                <w:color w:val="000000"/>
                <w:szCs w:val="20"/>
                <w:lang w:bidi="ar-SA"/>
              </w:rPr>
            </w:pPr>
            <w:r w:rsidRPr="00883530">
              <w:rPr>
                <w:rFonts w:cs="Arial"/>
                <w:i/>
                <w:color w:val="000000"/>
                <w:szCs w:val="20"/>
                <w:lang w:bidi="ar-SA"/>
              </w:rPr>
              <w:t>L</w:t>
            </w:r>
            <w:r w:rsidRPr="00883530">
              <w:rPr>
                <w:rFonts w:cs="Arial"/>
                <w:color w:val="000000"/>
                <w:szCs w:val="20"/>
                <w:lang w:bidi="ar-SA"/>
              </w:rPr>
              <w:t xml:space="preserve">. </w:t>
            </w:r>
            <w:r w:rsidRPr="00883530">
              <w:rPr>
                <w:rFonts w:cs="Arial"/>
                <w:i/>
                <w:color w:val="000000"/>
                <w:szCs w:val="20"/>
                <w:lang w:bidi="ar-SA"/>
              </w:rPr>
              <w:t>monocytogenes</w:t>
            </w:r>
          </w:p>
        </w:tc>
        <w:tc>
          <w:tcPr>
            <w:tcW w:w="1303" w:type="pct"/>
            <w:noWrap/>
            <w:hideMark/>
          </w:tcPr>
          <w:p w14:paraId="2F9A6368"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USA</w:t>
            </w:r>
          </w:p>
        </w:tc>
        <w:tc>
          <w:tcPr>
            <w:tcW w:w="574" w:type="pct"/>
            <w:noWrap/>
            <w:hideMark/>
          </w:tcPr>
          <w:p w14:paraId="50E4480C"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0</w:t>
            </w:r>
          </w:p>
        </w:tc>
        <w:tc>
          <w:tcPr>
            <w:tcW w:w="568" w:type="pct"/>
            <w:noWrap/>
            <w:hideMark/>
          </w:tcPr>
          <w:p w14:paraId="60ACE832" w14:textId="77777777" w:rsidR="00285EF0" w:rsidRPr="00883530" w:rsidRDefault="00285EF0" w:rsidP="00285EF0">
            <w:pPr>
              <w:widowControl/>
              <w:jc w:val="right"/>
              <w:rPr>
                <w:rFonts w:cs="Arial"/>
                <w:color w:val="000000"/>
                <w:szCs w:val="20"/>
                <w:lang w:bidi="ar-SA"/>
              </w:rPr>
            </w:pPr>
            <w:r w:rsidRPr="00883530">
              <w:rPr>
                <w:rFonts w:cs="Arial"/>
                <w:color w:val="000000"/>
                <w:szCs w:val="20"/>
                <w:lang w:bidi="ar-SA"/>
              </w:rPr>
              <w:t>1075</w:t>
            </w:r>
          </w:p>
        </w:tc>
        <w:tc>
          <w:tcPr>
            <w:tcW w:w="1138" w:type="pct"/>
            <w:noWrap/>
            <w:hideMark/>
          </w:tcPr>
          <w:p w14:paraId="6454BF52" w14:textId="77777777" w:rsidR="00285EF0" w:rsidRPr="00883530" w:rsidRDefault="00285EF0" w:rsidP="00285EF0">
            <w:pPr>
              <w:widowControl/>
              <w:rPr>
                <w:rFonts w:cs="Arial"/>
                <w:color w:val="000000"/>
                <w:szCs w:val="20"/>
                <w:lang w:bidi="ar-SA"/>
              </w:rPr>
            </w:pPr>
            <w:r w:rsidRPr="00883530">
              <w:rPr>
                <w:rFonts w:cs="Arial"/>
                <w:color w:val="000000"/>
                <w:szCs w:val="20"/>
                <w:lang w:bidi="ar-SA"/>
              </w:rPr>
              <w:t>Zhang et al (2018)</w:t>
            </w:r>
          </w:p>
        </w:tc>
      </w:tr>
    </w:tbl>
    <w:p w14:paraId="0B1ED0F6" w14:textId="77777777" w:rsidR="00285EF0" w:rsidRDefault="00285EF0" w:rsidP="00285EF0"/>
    <w:p w14:paraId="5CA13D7E" w14:textId="77777777" w:rsidR="001B4D3A" w:rsidRPr="00145A61" w:rsidRDefault="00285EF0" w:rsidP="00787E56">
      <w:pPr>
        <w:pStyle w:val="Heading3"/>
      </w:pPr>
      <w:bookmarkStart w:id="978" w:name="_Toc66881424"/>
      <w:bookmarkStart w:id="979" w:name="_Toc66882328"/>
      <w:bookmarkStart w:id="980" w:name="_Toc66883050"/>
      <w:bookmarkStart w:id="981" w:name="_Toc87614452"/>
      <w:bookmarkStart w:id="982" w:name="_Toc87860091"/>
      <w:bookmarkStart w:id="983" w:name="_Toc58313300"/>
      <w:r>
        <w:t>References</w:t>
      </w:r>
      <w:bookmarkEnd w:id="978"/>
      <w:bookmarkEnd w:id="979"/>
      <w:bookmarkEnd w:id="980"/>
      <w:bookmarkEnd w:id="981"/>
      <w:bookmarkEnd w:id="982"/>
    </w:p>
    <w:p w14:paraId="010AFEC2" w14:textId="00C33A53" w:rsidR="00285EF0" w:rsidRPr="001B4D3A" w:rsidRDefault="00285EF0" w:rsidP="001B4D3A">
      <w:pPr>
        <w:spacing w:after="120"/>
        <w:rPr>
          <w:sz w:val="20"/>
          <w:szCs w:val="20"/>
        </w:rPr>
      </w:pPr>
      <w:r w:rsidRPr="001B4D3A">
        <w:rPr>
          <w:sz w:val="20"/>
          <w:szCs w:val="20"/>
        </w:rPr>
        <w:t xml:space="preserve">Abatcha MG, Effarizah ME, Rusul G (2018) Prevalence, antimicrobial resistance, resistance genes and class 1 integrons of </w:t>
      </w:r>
      <w:r w:rsidRPr="00D92BF2">
        <w:rPr>
          <w:i/>
          <w:sz w:val="20"/>
          <w:szCs w:val="20"/>
        </w:rPr>
        <w:t>Salmonella</w:t>
      </w:r>
      <w:r w:rsidRPr="001B4D3A">
        <w:rPr>
          <w:sz w:val="20"/>
          <w:szCs w:val="20"/>
        </w:rPr>
        <w:t xml:space="preserve"> serovars in leafy vegetables, chicken carcasses and related processing environments in Malaysian fresh food markets. Food Control 91:170–180. </w:t>
      </w:r>
      <w:hyperlink r:id="rId507" w:history="1">
        <w:r w:rsidRPr="001B4D3A">
          <w:rPr>
            <w:rStyle w:val="Hyperlink"/>
            <w:rFonts w:cs="Arial"/>
            <w:sz w:val="20"/>
            <w:szCs w:val="20"/>
          </w:rPr>
          <w:t>https://doi.org/10.1016/j.foodcont.2018.02.039</w:t>
        </w:r>
      </w:hyperlink>
    </w:p>
    <w:p w14:paraId="1DDC10D3" w14:textId="77777777" w:rsidR="00285EF0" w:rsidRPr="00A24218" w:rsidRDefault="00285EF0" w:rsidP="00285EF0">
      <w:pPr>
        <w:pStyle w:val="CitaviBibliographyEntry"/>
        <w:spacing w:after="120"/>
        <w:ind w:left="0" w:firstLine="0"/>
        <w:rPr>
          <w:rFonts w:cs="Arial"/>
          <w:sz w:val="20"/>
          <w:szCs w:val="20"/>
        </w:rPr>
      </w:pPr>
      <w:bookmarkStart w:id="984" w:name="_CTVL001487f508d90eb4fe8b3e58b476c66c57b"/>
      <w:r w:rsidRPr="00A24218">
        <w:rPr>
          <w:rFonts w:cs="Arial"/>
          <w:sz w:val="20"/>
          <w:szCs w:val="20"/>
        </w:rPr>
        <w:t>Al-Holy M, Osaili T, El-Sayed S, Alshammari E, Ashankyty I (2013) Microbiological quality of leafy green vegetables sold in the local market of Saudi Arabia. Italian Journal of Food Science 25:446–452</w:t>
      </w:r>
    </w:p>
    <w:p w14:paraId="1E7E38E9" w14:textId="029AAEDD" w:rsidR="00285EF0" w:rsidRPr="00A24218" w:rsidRDefault="00285EF0" w:rsidP="00285EF0">
      <w:pPr>
        <w:pStyle w:val="CitaviBibliographyEntry"/>
        <w:spacing w:after="120"/>
        <w:ind w:left="0" w:firstLine="0"/>
        <w:rPr>
          <w:rFonts w:cs="Arial"/>
          <w:sz w:val="20"/>
          <w:szCs w:val="20"/>
        </w:rPr>
      </w:pPr>
      <w:bookmarkStart w:id="985" w:name="_CTVL001d8d1bb5b6de24dc697928842d9f26c0c"/>
      <w:bookmarkEnd w:id="984"/>
      <w:r w:rsidRPr="00A24218">
        <w:rPr>
          <w:rFonts w:cs="Arial"/>
          <w:sz w:val="20"/>
          <w:szCs w:val="20"/>
        </w:rPr>
        <w:t>Althaus D, Hofer E, Corti S, Julmi A, Stephan R (2012) Bacteriological survey of ready-to-eat lettuce, fresh-cut fruit, and s</w:t>
      </w:r>
      <w:r w:rsidR="00D92BF2">
        <w:rPr>
          <w:rFonts w:cs="Arial"/>
          <w:sz w:val="20"/>
          <w:szCs w:val="20"/>
        </w:rPr>
        <w:t>prouts collected from the Swiss </w:t>
      </w:r>
      <w:r w:rsidRPr="00A24218">
        <w:rPr>
          <w:rFonts w:cs="Arial"/>
          <w:sz w:val="20"/>
          <w:szCs w:val="20"/>
        </w:rPr>
        <w:t xml:space="preserve">market. Journal of Food Protection 75:1338–1341. </w:t>
      </w:r>
      <w:hyperlink r:id="rId508" w:history="1">
        <w:r w:rsidRPr="00A24218">
          <w:rPr>
            <w:rStyle w:val="Hyperlink"/>
            <w:rFonts w:cs="Arial"/>
            <w:sz w:val="20"/>
            <w:szCs w:val="20"/>
          </w:rPr>
          <w:t>https://doi.org/10.4315/0362-028X.JFP-12-022</w:t>
        </w:r>
      </w:hyperlink>
    </w:p>
    <w:p w14:paraId="752323ED" w14:textId="6D80BBCF" w:rsidR="009B7095" w:rsidRPr="00A24218" w:rsidRDefault="00285EF0" w:rsidP="00285EF0">
      <w:pPr>
        <w:pStyle w:val="CitaviBibliographyEntry"/>
        <w:spacing w:after="120"/>
        <w:ind w:left="0" w:firstLine="0"/>
        <w:rPr>
          <w:rFonts w:cs="Arial"/>
          <w:sz w:val="20"/>
          <w:szCs w:val="20"/>
        </w:rPr>
      </w:pPr>
      <w:bookmarkStart w:id="986" w:name="_CTVL00121d888ed8d784014aba6d7f3b4b96974"/>
      <w:bookmarkEnd w:id="985"/>
      <w:r w:rsidRPr="00A24218">
        <w:rPr>
          <w:rFonts w:cs="Arial"/>
          <w:sz w:val="20"/>
          <w:szCs w:val="20"/>
        </w:rPr>
        <w:t>Brandao MLL, Almeida DO, Bispo FCP, Bricio SML, Marin VA, Miagostovich MP (2014) Assessment of microbiological contamination of fresh, minimally processed, and ready-to-eat lettuces (</w:t>
      </w:r>
      <w:r w:rsidRPr="00D92BF2">
        <w:rPr>
          <w:rFonts w:cs="Arial"/>
          <w:i/>
          <w:sz w:val="20"/>
          <w:szCs w:val="20"/>
        </w:rPr>
        <w:t>Lactuca sativa</w:t>
      </w:r>
      <w:r w:rsidRPr="00A24218">
        <w:rPr>
          <w:rFonts w:cs="Arial"/>
          <w:sz w:val="20"/>
          <w:szCs w:val="20"/>
        </w:rPr>
        <w:t>), Rio de Janeiro State, Brazil. Journal of Food Science 79:M961-M966</w:t>
      </w:r>
      <w:r w:rsidR="009B7095">
        <w:rPr>
          <w:rFonts w:cs="Arial"/>
          <w:sz w:val="20"/>
          <w:szCs w:val="20"/>
        </w:rPr>
        <w:t xml:space="preserve">. </w:t>
      </w:r>
      <w:hyperlink r:id="rId509" w:history="1">
        <w:r w:rsidR="009B7095" w:rsidRPr="00C72075">
          <w:rPr>
            <w:rStyle w:val="Hyperlink"/>
            <w:rFonts w:cs="Arial"/>
            <w:sz w:val="20"/>
            <w:szCs w:val="20"/>
          </w:rPr>
          <w:t>https://doi.org/10.1111/1750-3841.12459</w:t>
        </w:r>
      </w:hyperlink>
    </w:p>
    <w:p w14:paraId="7705B0B1" w14:textId="7AF0FEC8" w:rsidR="00285EF0" w:rsidRPr="00A24218" w:rsidRDefault="00285EF0" w:rsidP="00285EF0">
      <w:pPr>
        <w:pStyle w:val="CitaviBibliographyEntry"/>
        <w:spacing w:after="120"/>
        <w:ind w:left="0" w:firstLine="0"/>
        <w:rPr>
          <w:rFonts w:cs="Arial"/>
          <w:sz w:val="20"/>
          <w:szCs w:val="20"/>
        </w:rPr>
      </w:pPr>
      <w:bookmarkStart w:id="987" w:name="_CTVL001894ac06ffe6748989a59d980b3e8dd9c"/>
      <w:bookmarkEnd w:id="986"/>
      <w:r w:rsidRPr="00A24218">
        <w:rPr>
          <w:rFonts w:cs="Arial"/>
          <w:sz w:val="20"/>
          <w:szCs w:val="20"/>
        </w:rPr>
        <w:t>Cook N, Williams L, D’A</w:t>
      </w:r>
      <w:r w:rsidR="00FA76C9">
        <w:rPr>
          <w:rFonts w:cs="Arial"/>
          <w:sz w:val="20"/>
          <w:szCs w:val="20"/>
        </w:rPr>
        <w:t>gostino M (2019) Prevalence of n</w:t>
      </w:r>
      <w:r w:rsidRPr="00A24218">
        <w:rPr>
          <w:rFonts w:cs="Arial"/>
          <w:sz w:val="20"/>
          <w:szCs w:val="20"/>
        </w:rPr>
        <w:t xml:space="preserve">orovirus in produce sold at retail in the United Kingdom. Food Microbiology 79:85–89. </w:t>
      </w:r>
      <w:hyperlink r:id="rId510" w:history="1">
        <w:r w:rsidRPr="00A24218">
          <w:rPr>
            <w:rStyle w:val="Hyperlink"/>
            <w:rFonts w:cs="Arial"/>
            <w:sz w:val="20"/>
            <w:szCs w:val="20"/>
          </w:rPr>
          <w:t>https://doi.org/10.1016/j.fm.2018.12.003</w:t>
        </w:r>
      </w:hyperlink>
    </w:p>
    <w:p w14:paraId="30586A37" w14:textId="77777777" w:rsidR="00285EF0" w:rsidRPr="00A24218" w:rsidRDefault="00285EF0" w:rsidP="00285EF0">
      <w:pPr>
        <w:pStyle w:val="CitaviBibliographyEntry"/>
        <w:spacing w:after="120"/>
        <w:ind w:left="0" w:firstLine="0"/>
        <w:rPr>
          <w:rFonts w:cs="Arial"/>
          <w:sz w:val="20"/>
          <w:szCs w:val="20"/>
        </w:rPr>
      </w:pPr>
      <w:bookmarkStart w:id="988" w:name="_CTVL001c00598c582554c539c8c04dfcda5889f"/>
      <w:bookmarkEnd w:id="987"/>
      <w:r w:rsidRPr="00A24218">
        <w:rPr>
          <w:rFonts w:cs="Arial"/>
          <w:sz w:val="20"/>
          <w:szCs w:val="20"/>
        </w:rPr>
        <w:t>Du Plessis E, Govender S, Pillay B</w:t>
      </w:r>
      <w:r>
        <w:rPr>
          <w:rFonts w:cs="Arial"/>
          <w:sz w:val="20"/>
          <w:szCs w:val="20"/>
        </w:rPr>
        <w:t>, Korsten L (2017) Exploratory study into the microbiological quality of spinach and cabbage p</w:t>
      </w:r>
      <w:r w:rsidRPr="00A24218">
        <w:rPr>
          <w:rFonts w:cs="Arial"/>
          <w:sz w:val="20"/>
          <w:szCs w:val="20"/>
        </w:rPr>
        <w:t>urcha</w:t>
      </w:r>
      <w:r>
        <w:rPr>
          <w:rFonts w:cs="Arial"/>
          <w:sz w:val="20"/>
          <w:szCs w:val="20"/>
        </w:rPr>
        <w:t>sed from street vendors and r</w:t>
      </w:r>
      <w:r w:rsidRPr="00A24218">
        <w:rPr>
          <w:rFonts w:cs="Arial"/>
          <w:sz w:val="20"/>
          <w:szCs w:val="20"/>
        </w:rPr>
        <w:t xml:space="preserve">etailers in Johannesburg, South Africa. Journal of Food Protection 80:1726–1733. </w:t>
      </w:r>
      <w:hyperlink r:id="rId511" w:history="1">
        <w:r w:rsidRPr="00A24218">
          <w:rPr>
            <w:rStyle w:val="Hyperlink"/>
            <w:rFonts w:cs="Arial"/>
            <w:sz w:val="20"/>
            <w:szCs w:val="20"/>
          </w:rPr>
          <w:t>https://doi.org/10.4315/0362-028X.JFP-16-540</w:t>
        </w:r>
      </w:hyperlink>
    </w:p>
    <w:bookmarkEnd w:id="988"/>
    <w:p w14:paraId="4AEF99D2" w14:textId="77777777" w:rsidR="00285EF0" w:rsidRPr="00A24218" w:rsidRDefault="00285EF0" w:rsidP="00285EF0">
      <w:pPr>
        <w:pStyle w:val="CitaviBibliographyEntry"/>
        <w:spacing w:after="120"/>
        <w:ind w:left="0" w:firstLine="0"/>
        <w:rPr>
          <w:rFonts w:cs="Arial"/>
          <w:sz w:val="20"/>
          <w:szCs w:val="20"/>
        </w:rPr>
      </w:pPr>
      <w:r w:rsidRPr="00A24218">
        <w:rPr>
          <w:rFonts w:cs="Arial"/>
          <w:sz w:val="20"/>
          <w:szCs w:val="20"/>
        </w:rPr>
        <w:t xml:space="preserve">Dziedzinska R, Vasickova P, Hrdy J, Slany M, Babak V, Moravkova M (2018) Foodborne bacterial, viral, and protozoan pathogens in field and market strawberries and environment of strawberry farms. Journal of Food Science 83:3069–3075. </w:t>
      </w:r>
      <w:hyperlink r:id="rId512" w:history="1">
        <w:r w:rsidRPr="00A24218">
          <w:rPr>
            <w:rStyle w:val="Hyperlink"/>
            <w:rFonts w:cs="Arial"/>
            <w:sz w:val="20"/>
            <w:szCs w:val="20"/>
          </w:rPr>
          <w:t>https://doi.org/10.1111/1750-3841.14401</w:t>
        </w:r>
      </w:hyperlink>
    </w:p>
    <w:p w14:paraId="6E325CC1" w14:textId="77777777" w:rsidR="00285EF0" w:rsidRPr="00A24218" w:rsidRDefault="00285EF0" w:rsidP="00285EF0">
      <w:pPr>
        <w:pStyle w:val="CitaviBibliographyEntry"/>
        <w:spacing w:after="120"/>
        <w:ind w:left="0" w:firstLine="0"/>
        <w:rPr>
          <w:rFonts w:cs="Arial"/>
          <w:sz w:val="20"/>
          <w:szCs w:val="20"/>
        </w:rPr>
      </w:pPr>
      <w:bookmarkStart w:id="989" w:name="_CTVL00125ed9a72b8aa4048907420468df48d49"/>
      <w:r w:rsidRPr="00A24218">
        <w:rPr>
          <w:rFonts w:cs="Arial"/>
          <w:sz w:val="20"/>
          <w:szCs w:val="20"/>
        </w:rPr>
        <w:t>Esteban</w:t>
      </w:r>
      <w:r w:rsidRPr="00A24218">
        <w:rPr>
          <w:rFonts w:ascii="Cambria Math" w:hAnsi="Cambria Math" w:cs="Cambria Math"/>
          <w:sz w:val="20"/>
          <w:szCs w:val="20"/>
        </w:rPr>
        <w:t>‐</w:t>
      </w:r>
      <w:r w:rsidRPr="00A24218">
        <w:rPr>
          <w:rFonts w:cs="Arial"/>
          <w:sz w:val="20"/>
          <w:szCs w:val="20"/>
        </w:rPr>
        <w:t>Cuesta I, Drees N, Ulrich S, Stauch P, Sperner B, Schwaiger K, Gareis M, Gottschalk C (2018) Endogenous microbial contamination of melons (</w:t>
      </w:r>
      <w:r w:rsidRPr="00D92BF2">
        <w:rPr>
          <w:rFonts w:cs="Arial"/>
          <w:i/>
          <w:sz w:val="20"/>
          <w:szCs w:val="20"/>
        </w:rPr>
        <w:t>Cucumis melo</w:t>
      </w:r>
      <w:r w:rsidRPr="00A24218">
        <w:rPr>
          <w:rFonts w:cs="Arial"/>
          <w:sz w:val="20"/>
          <w:szCs w:val="20"/>
        </w:rPr>
        <w:t xml:space="preserve">) from international trade: An underestimated risk for the consumer? Journal of the Science of Food &amp; Agriculture 98:5074–5081. </w:t>
      </w:r>
      <w:hyperlink r:id="rId513" w:history="1">
        <w:r w:rsidRPr="00A24218">
          <w:rPr>
            <w:rStyle w:val="Hyperlink"/>
            <w:rFonts w:cs="Arial"/>
            <w:sz w:val="20"/>
            <w:szCs w:val="20"/>
          </w:rPr>
          <w:t>https://doi.org/10.1002/jsfa.9045</w:t>
        </w:r>
      </w:hyperlink>
    </w:p>
    <w:p w14:paraId="1D1D4CB4" w14:textId="77777777" w:rsidR="00285EF0" w:rsidRPr="00A24218" w:rsidRDefault="00285EF0" w:rsidP="00285EF0">
      <w:pPr>
        <w:pStyle w:val="CitaviBibliographyEntry"/>
        <w:spacing w:after="120"/>
        <w:ind w:left="0" w:firstLine="0"/>
        <w:rPr>
          <w:rFonts w:cs="Arial"/>
          <w:sz w:val="20"/>
          <w:szCs w:val="20"/>
        </w:rPr>
      </w:pPr>
      <w:bookmarkStart w:id="990" w:name="_CTVL001c08941f3096948fdadec657a416ec653"/>
      <w:bookmarkEnd w:id="989"/>
      <w:r w:rsidRPr="00A24218">
        <w:rPr>
          <w:rFonts w:cs="Arial"/>
          <w:sz w:val="20"/>
          <w:szCs w:val="20"/>
        </w:rPr>
        <w:t xml:space="preserve">Feng PCH, Reddy SP (2014) Prevalence and diversity of enterotoxigenic </w:t>
      </w:r>
      <w:r w:rsidRPr="00D92BF2">
        <w:rPr>
          <w:rFonts w:cs="Arial"/>
          <w:i/>
          <w:sz w:val="20"/>
          <w:szCs w:val="20"/>
        </w:rPr>
        <w:t>Escherichia coli</w:t>
      </w:r>
      <w:r w:rsidRPr="00A24218">
        <w:rPr>
          <w:rFonts w:cs="Arial"/>
          <w:sz w:val="20"/>
          <w:szCs w:val="20"/>
        </w:rPr>
        <w:t xml:space="preserve"> strains in fresh produce. Journal of Food Protection 77:820–823. </w:t>
      </w:r>
      <w:hyperlink r:id="rId514" w:history="1">
        <w:r w:rsidRPr="00A24218">
          <w:rPr>
            <w:rStyle w:val="Hyperlink"/>
            <w:rFonts w:cs="Arial"/>
            <w:sz w:val="20"/>
            <w:szCs w:val="20"/>
          </w:rPr>
          <w:t>https://doi.org/10.4315/0362-028X.JFP-13-412</w:t>
        </w:r>
      </w:hyperlink>
    </w:p>
    <w:p w14:paraId="08146126" w14:textId="77777777" w:rsidR="00285EF0" w:rsidRPr="00A24218" w:rsidRDefault="00285EF0" w:rsidP="00285EF0">
      <w:pPr>
        <w:pStyle w:val="CitaviBibliographyEntry"/>
        <w:spacing w:after="120"/>
        <w:ind w:left="0" w:firstLine="0"/>
        <w:rPr>
          <w:rFonts w:cs="Arial"/>
          <w:sz w:val="20"/>
          <w:szCs w:val="20"/>
        </w:rPr>
      </w:pPr>
      <w:bookmarkStart w:id="991" w:name="_CTVL001ea77665d18a545b8bfa8d9d66175d425"/>
      <w:bookmarkEnd w:id="990"/>
      <w:r w:rsidRPr="00A24218">
        <w:rPr>
          <w:rFonts w:cs="Arial"/>
          <w:sz w:val="20"/>
          <w:szCs w:val="20"/>
        </w:rPr>
        <w:t xml:space="preserve">Gao X, Wang Z, Wang Y, Liu Z, Guan X, Ma Y, Zhou H, Jiang Y, Cui W, Wang L, Xu Y (2019) Surveillance of norovirus contamination in commercial fresh/frozen berries from Heilongjiang Province, China, using a TaqMan real-time RT-PCR assay. Food Microbiology 82:119–126. </w:t>
      </w:r>
      <w:hyperlink r:id="rId515" w:history="1">
        <w:r w:rsidRPr="00A24218">
          <w:rPr>
            <w:rStyle w:val="Hyperlink"/>
            <w:rFonts w:cs="Arial"/>
            <w:sz w:val="20"/>
            <w:szCs w:val="20"/>
          </w:rPr>
          <w:t>https://doi.org/10.1016/j.fm.2019.01.017</w:t>
        </w:r>
      </w:hyperlink>
    </w:p>
    <w:p w14:paraId="10DF946C" w14:textId="77777777" w:rsidR="00285EF0" w:rsidRPr="00A24218" w:rsidRDefault="00285EF0" w:rsidP="00285EF0">
      <w:pPr>
        <w:pStyle w:val="CitaviBibliographyEntry"/>
        <w:spacing w:after="120"/>
        <w:ind w:left="0" w:firstLine="0"/>
        <w:rPr>
          <w:rFonts w:cs="Arial"/>
          <w:sz w:val="20"/>
          <w:szCs w:val="20"/>
        </w:rPr>
      </w:pPr>
      <w:bookmarkStart w:id="992" w:name="_CTVL0018fd9f3ae48bb417d9c10f03a3cc4d9de"/>
      <w:bookmarkEnd w:id="991"/>
      <w:r w:rsidRPr="00A24218">
        <w:rPr>
          <w:rFonts w:cs="Arial"/>
          <w:sz w:val="20"/>
          <w:szCs w:val="20"/>
        </w:rPr>
        <w:t xml:space="preserve">Gonzalez J, Cadona JS, Sanz M, Bustamante AV, Sanso AM (2017) Molecular characterization of diarrheagenic </w:t>
      </w:r>
      <w:r w:rsidRPr="00702034">
        <w:rPr>
          <w:rFonts w:cs="Arial"/>
          <w:i/>
          <w:sz w:val="20"/>
          <w:szCs w:val="20"/>
        </w:rPr>
        <w:t>Escherichia coli</w:t>
      </w:r>
      <w:r w:rsidRPr="00A24218">
        <w:rPr>
          <w:rFonts w:cs="Arial"/>
          <w:sz w:val="20"/>
          <w:szCs w:val="20"/>
        </w:rPr>
        <w:t xml:space="preserve"> isolated from vegetables in Argentina. International Journal of Food Microbiology 261:57–61. </w:t>
      </w:r>
      <w:hyperlink r:id="rId516" w:history="1">
        <w:r w:rsidRPr="00A24218">
          <w:rPr>
            <w:rStyle w:val="Hyperlink"/>
            <w:rFonts w:cs="Arial"/>
            <w:sz w:val="20"/>
            <w:szCs w:val="20"/>
          </w:rPr>
          <w:t>https://doi.org/10.1016/j.ijfoodmicro.2017.09.021</w:t>
        </w:r>
      </w:hyperlink>
    </w:p>
    <w:p w14:paraId="6C4DADC0" w14:textId="77777777" w:rsidR="00285EF0" w:rsidRPr="00A24218" w:rsidRDefault="00285EF0" w:rsidP="00285EF0">
      <w:pPr>
        <w:pStyle w:val="CitaviBibliographyEntry"/>
        <w:spacing w:after="120"/>
        <w:ind w:left="0" w:firstLine="0"/>
        <w:rPr>
          <w:rFonts w:cs="Arial"/>
          <w:sz w:val="20"/>
          <w:szCs w:val="20"/>
        </w:rPr>
      </w:pPr>
      <w:bookmarkStart w:id="993" w:name="_CTVL00183d77d88f6fb458a8c4a140bc7f1c816"/>
      <w:bookmarkEnd w:id="992"/>
      <w:r w:rsidRPr="00A24218">
        <w:rPr>
          <w:rFonts w:cs="Arial"/>
          <w:sz w:val="20"/>
          <w:szCs w:val="20"/>
        </w:rPr>
        <w:t xml:space="preserve">Gunel E, Polat kilic G, Bulut E, Durul B, Acar S, Alpas H, Soyer Y (2015) </w:t>
      </w:r>
      <w:r w:rsidRPr="00702034">
        <w:rPr>
          <w:rFonts w:cs="Arial"/>
          <w:i/>
          <w:sz w:val="20"/>
          <w:szCs w:val="20"/>
        </w:rPr>
        <w:t>Salmonella</w:t>
      </w:r>
      <w:r w:rsidRPr="00A24218">
        <w:rPr>
          <w:rFonts w:cs="Arial"/>
          <w:sz w:val="20"/>
          <w:szCs w:val="20"/>
        </w:rPr>
        <w:t xml:space="preserve"> surveillance on fresh produce in retail in Turkey. International Journal of Food Microbiology 199:72–77</w:t>
      </w:r>
    </w:p>
    <w:p w14:paraId="7B0F99A1" w14:textId="77777777" w:rsidR="00285EF0" w:rsidRPr="00A24218" w:rsidRDefault="00285EF0" w:rsidP="00285EF0">
      <w:pPr>
        <w:pStyle w:val="CitaviBibliographyEntry"/>
        <w:spacing w:after="120"/>
        <w:ind w:left="0" w:firstLine="0"/>
        <w:rPr>
          <w:rFonts w:cs="Arial"/>
          <w:sz w:val="20"/>
          <w:szCs w:val="20"/>
        </w:rPr>
      </w:pPr>
      <w:bookmarkStart w:id="994" w:name="_CTVL001d3dcfc64fd7b483fa019b5ba17aebab1"/>
      <w:bookmarkEnd w:id="993"/>
      <w:r w:rsidRPr="00A24218">
        <w:rPr>
          <w:rFonts w:cs="Arial"/>
          <w:sz w:val="20"/>
          <w:szCs w:val="20"/>
        </w:rPr>
        <w:t xml:space="preserve">Hara-Kudo Y, Konuma H, Kamata Y, Miyahara M, Takatori K, Onoue Y, Sugita-Konishi Y, Ohnishi T (2013) Prevalence of the main food-borne pathogens in retail food under the national food surveillance system in Japan. Food Additives &amp; Contaminants. Part A: Chemistry, Analysis, Control, Exposure &amp; Risk Assessment 30:1450–1458. </w:t>
      </w:r>
      <w:hyperlink r:id="rId517" w:history="1">
        <w:r w:rsidRPr="00A24218">
          <w:rPr>
            <w:rStyle w:val="Hyperlink"/>
            <w:rFonts w:cs="Arial"/>
            <w:sz w:val="20"/>
            <w:szCs w:val="20"/>
          </w:rPr>
          <w:t>https://doi.org/10.1080/19440049.2012.745097</w:t>
        </w:r>
      </w:hyperlink>
    </w:p>
    <w:p w14:paraId="2085B17F" w14:textId="55F26DF3" w:rsidR="00285EF0" w:rsidRPr="00A24218" w:rsidRDefault="00285EF0" w:rsidP="00285EF0">
      <w:pPr>
        <w:pStyle w:val="CitaviBibliographyEntry"/>
        <w:spacing w:after="120"/>
        <w:ind w:left="0" w:firstLine="0"/>
        <w:rPr>
          <w:rFonts w:cs="Arial"/>
          <w:sz w:val="20"/>
          <w:szCs w:val="20"/>
        </w:rPr>
      </w:pPr>
      <w:bookmarkStart w:id="995" w:name="_CTVL001ae87c9f25413465ca742f8e30825fb99"/>
      <w:bookmarkEnd w:id="994"/>
      <w:r w:rsidRPr="00A24218">
        <w:rPr>
          <w:rFonts w:cs="Arial"/>
          <w:sz w:val="20"/>
          <w:szCs w:val="20"/>
        </w:rPr>
        <w:t>Hodgson K, Tan J</w:t>
      </w:r>
      <w:r w:rsidR="00702034">
        <w:rPr>
          <w:rFonts w:cs="Arial"/>
          <w:sz w:val="20"/>
          <w:szCs w:val="20"/>
        </w:rPr>
        <w:t>, Torok V (2015) Norovirus and h</w:t>
      </w:r>
      <w:r w:rsidRPr="00A24218">
        <w:rPr>
          <w:rFonts w:cs="Arial"/>
          <w:sz w:val="20"/>
          <w:szCs w:val="20"/>
        </w:rPr>
        <w:t>epatitis A virus in fresh Australian berries and leafy greens at retail. South Australian Research and Development Institute, Adelaide</w:t>
      </w:r>
    </w:p>
    <w:p w14:paraId="43F7204A" w14:textId="36C2C1B1" w:rsidR="00285EF0" w:rsidRPr="00A24218" w:rsidRDefault="00285EF0" w:rsidP="00285EF0">
      <w:pPr>
        <w:pStyle w:val="CitaviBibliographyEntry"/>
        <w:spacing w:after="120"/>
        <w:ind w:left="0" w:firstLine="0"/>
        <w:rPr>
          <w:rFonts w:cs="Arial"/>
          <w:sz w:val="20"/>
          <w:szCs w:val="20"/>
        </w:rPr>
      </w:pPr>
      <w:bookmarkStart w:id="996" w:name="_CTVL001bc0c606edd6941bb88e3bfcb0fbe68bc"/>
      <w:bookmarkEnd w:id="995"/>
      <w:r w:rsidRPr="00A24218">
        <w:rPr>
          <w:rFonts w:cs="Arial"/>
          <w:sz w:val="20"/>
          <w:szCs w:val="20"/>
        </w:rPr>
        <w:t>Incili GK, Koluman A, Di</w:t>
      </w:r>
      <w:r w:rsidR="00702034">
        <w:rPr>
          <w:rFonts w:cs="Arial"/>
          <w:sz w:val="20"/>
          <w:szCs w:val="20"/>
        </w:rPr>
        <w:t>kici A (2019) Determination of h</w:t>
      </w:r>
      <w:r w:rsidRPr="00A24218">
        <w:rPr>
          <w:rFonts w:cs="Arial"/>
          <w:sz w:val="20"/>
          <w:szCs w:val="20"/>
        </w:rPr>
        <w:t xml:space="preserve">epatitis A virus, Enterobacteriaceae, coliform and </w:t>
      </w:r>
      <w:r w:rsidRPr="00702034">
        <w:rPr>
          <w:rFonts w:cs="Arial"/>
          <w:i/>
          <w:sz w:val="20"/>
          <w:szCs w:val="20"/>
        </w:rPr>
        <w:t>Escherichia coli</w:t>
      </w:r>
      <w:r w:rsidRPr="00A24218">
        <w:rPr>
          <w:rFonts w:cs="Arial"/>
          <w:sz w:val="20"/>
          <w:szCs w:val="20"/>
        </w:rPr>
        <w:t xml:space="preserve"> contamination of frozen raspberries. Journal of Faculty of Veterinary Medicine, Erciyes University 16:38–42</w:t>
      </w:r>
    </w:p>
    <w:p w14:paraId="7A9E97D6" w14:textId="77777777" w:rsidR="00285EF0" w:rsidRPr="00A24218" w:rsidRDefault="00285EF0" w:rsidP="00285EF0">
      <w:pPr>
        <w:pStyle w:val="CitaviBibliographyEntry"/>
        <w:spacing w:after="120"/>
        <w:ind w:left="0" w:firstLine="0"/>
        <w:rPr>
          <w:rFonts w:cs="Arial"/>
          <w:sz w:val="20"/>
          <w:szCs w:val="20"/>
        </w:rPr>
      </w:pPr>
      <w:bookmarkStart w:id="997" w:name="_CTVL001314d8e535eb14d6c95feb0f38e062c52"/>
      <w:bookmarkEnd w:id="996"/>
      <w:r w:rsidRPr="00A24218">
        <w:rPr>
          <w:rFonts w:cs="Arial"/>
          <w:sz w:val="20"/>
          <w:szCs w:val="20"/>
        </w:rPr>
        <w:t xml:space="preserve">Jamali H, Chai LC, Thong KL (2013) Detection and isolation of </w:t>
      </w:r>
      <w:r w:rsidRPr="00702034">
        <w:rPr>
          <w:rFonts w:cs="Arial"/>
          <w:i/>
          <w:sz w:val="20"/>
          <w:szCs w:val="20"/>
        </w:rPr>
        <w:t>Listeria</w:t>
      </w:r>
      <w:r w:rsidRPr="00A24218">
        <w:rPr>
          <w:rFonts w:cs="Arial"/>
          <w:sz w:val="20"/>
          <w:szCs w:val="20"/>
        </w:rPr>
        <w:t xml:space="preserve"> spp. and </w:t>
      </w:r>
      <w:r w:rsidRPr="00702034">
        <w:rPr>
          <w:rFonts w:cs="Arial"/>
          <w:i/>
          <w:sz w:val="20"/>
          <w:szCs w:val="20"/>
        </w:rPr>
        <w:t>Listeria monocytogenes</w:t>
      </w:r>
      <w:r w:rsidRPr="00A24218">
        <w:rPr>
          <w:rFonts w:cs="Arial"/>
          <w:sz w:val="20"/>
          <w:szCs w:val="20"/>
        </w:rPr>
        <w:t xml:space="preserve"> in ready-to-eat foods with various selective culture media. Food Control 32:19–24. </w:t>
      </w:r>
      <w:hyperlink r:id="rId518" w:history="1">
        <w:r w:rsidRPr="00A24218">
          <w:rPr>
            <w:rStyle w:val="Hyperlink"/>
            <w:rFonts w:cs="Arial"/>
            <w:sz w:val="20"/>
            <w:szCs w:val="20"/>
          </w:rPr>
          <w:t>https://doi.org/10.1016/j.foodcont.2012.11.033</w:t>
        </w:r>
      </w:hyperlink>
    </w:p>
    <w:p w14:paraId="3133EE98" w14:textId="77777777" w:rsidR="00285EF0" w:rsidRPr="00A24218" w:rsidRDefault="00285EF0" w:rsidP="00285EF0">
      <w:pPr>
        <w:pStyle w:val="CitaviBibliographyEntry"/>
        <w:spacing w:after="120"/>
        <w:ind w:left="0" w:firstLine="0"/>
        <w:rPr>
          <w:rFonts w:cs="Arial"/>
          <w:sz w:val="20"/>
          <w:szCs w:val="20"/>
        </w:rPr>
      </w:pPr>
      <w:bookmarkStart w:id="998" w:name="_CTVL001a23def4bb1e54562812efcbbb5236b17"/>
      <w:bookmarkEnd w:id="997"/>
      <w:r w:rsidRPr="00A24218">
        <w:rPr>
          <w:rFonts w:cs="Arial"/>
          <w:sz w:val="20"/>
          <w:szCs w:val="20"/>
        </w:rPr>
        <w:t xml:space="preserve">Keuckelaere A de, Li D, Deliens B, Stals A, Uyttendaele M (2015) Batch testing for noroviruses in frozen raspberries. International Journal of Food Microbiology 192:43–50. </w:t>
      </w:r>
      <w:hyperlink r:id="rId519" w:history="1">
        <w:r w:rsidRPr="00A24218">
          <w:rPr>
            <w:rStyle w:val="Hyperlink"/>
            <w:rFonts w:cs="Arial"/>
            <w:sz w:val="20"/>
            <w:szCs w:val="20"/>
          </w:rPr>
          <w:t>https://doi.org/10.1016/j.ijfoodmicro.2014.09.024</w:t>
        </w:r>
      </w:hyperlink>
    </w:p>
    <w:p w14:paraId="30550ED1" w14:textId="77777777" w:rsidR="00285EF0" w:rsidRPr="00A24218" w:rsidRDefault="00285EF0" w:rsidP="00285EF0">
      <w:pPr>
        <w:pStyle w:val="CitaviBibliographyEntry"/>
        <w:spacing w:after="120"/>
        <w:ind w:left="0" w:firstLine="0"/>
        <w:rPr>
          <w:rFonts w:cs="Arial"/>
          <w:sz w:val="20"/>
          <w:szCs w:val="20"/>
        </w:rPr>
      </w:pPr>
      <w:bookmarkStart w:id="999" w:name="_CTVL0012abb36b6a4c8495cabf9c5272c87ada9"/>
      <w:bookmarkEnd w:id="998"/>
      <w:r w:rsidRPr="00A24218">
        <w:rPr>
          <w:rFonts w:cs="Arial"/>
          <w:sz w:val="20"/>
          <w:szCs w:val="20"/>
        </w:rPr>
        <w:t xml:space="preserve">Korir RC, Parveen S, Hashem F, Bowers J (2016) Microbiological quality of fresh produce obtained from retail stores on the Eastern Shore of Maryland, United States of America. Food Microbiology 56:29–34. </w:t>
      </w:r>
      <w:hyperlink r:id="rId520" w:history="1">
        <w:r w:rsidRPr="00A24218">
          <w:rPr>
            <w:rStyle w:val="Hyperlink"/>
            <w:rFonts w:cs="Arial"/>
            <w:sz w:val="20"/>
            <w:szCs w:val="20"/>
          </w:rPr>
          <w:t>https://doi.org/10.1016/j.fm.2015.12.003</w:t>
        </w:r>
      </w:hyperlink>
    </w:p>
    <w:p w14:paraId="4A263A59" w14:textId="77777777" w:rsidR="00285EF0" w:rsidRPr="00A24218" w:rsidRDefault="00285EF0" w:rsidP="00285EF0">
      <w:pPr>
        <w:pStyle w:val="CitaviBibliographyEntry"/>
        <w:spacing w:after="120"/>
        <w:ind w:left="0" w:firstLine="0"/>
        <w:rPr>
          <w:rFonts w:cs="Arial"/>
          <w:sz w:val="20"/>
          <w:szCs w:val="20"/>
        </w:rPr>
      </w:pPr>
      <w:bookmarkStart w:id="1000" w:name="_CTVL0011cbe0db2d98d43efa1c6d3b0ce5cf084"/>
      <w:bookmarkEnd w:id="999"/>
      <w:r w:rsidRPr="00A24218">
        <w:rPr>
          <w:rFonts w:cs="Arial"/>
          <w:sz w:val="20"/>
          <w:szCs w:val="20"/>
        </w:rPr>
        <w:t xml:space="preserve">Koseki S, Mizuno Y, Kawasaki S, Yamamoto K (2011) A survey of iceberg lettuce for the presence of </w:t>
      </w:r>
      <w:r w:rsidRPr="00702034">
        <w:rPr>
          <w:rFonts w:cs="Arial"/>
          <w:i/>
          <w:sz w:val="20"/>
          <w:szCs w:val="20"/>
        </w:rPr>
        <w:t>Salmonella</w:t>
      </w:r>
      <w:r w:rsidRPr="00A24218">
        <w:rPr>
          <w:rFonts w:cs="Arial"/>
          <w:sz w:val="20"/>
          <w:szCs w:val="20"/>
        </w:rPr>
        <w:t xml:space="preserve">, </w:t>
      </w:r>
      <w:r w:rsidRPr="00702034">
        <w:rPr>
          <w:rFonts w:cs="Arial"/>
          <w:i/>
          <w:sz w:val="20"/>
          <w:szCs w:val="20"/>
        </w:rPr>
        <w:t>Escherichia coli</w:t>
      </w:r>
      <w:r>
        <w:rPr>
          <w:rFonts w:cs="Arial"/>
          <w:sz w:val="20"/>
          <w:szCs w:val="20"/>
        </w:rPr>
        <w:t xml:space="preserve"> O157:H7, and </w:t>
      </w:r>
      <w:r w:rsidRPr="00702034">
        <w:rPr>
          <w:rFonts w:cs="Arial"/>
          <w:i/>
          <w:sz w:val="20"/>
          <w:szCs w:val="20"/>
        </w:rPr>
        <w:t>Listeria monocytogenes</w:t>
      </w:r>
      <w:r w:rsidRPr="00A24218">
        <w:rPr>
          <w:rFonts w:cs="Arial"/>
          <w:sz w:val="20"/>
          <w:szCs w:val="20"/>
        </w:rPr>
        <w:t xml:space="preserve"> in Japan. Journal of Food Protection 74:1543–1546. </w:t>
      </w:r>
      <w:hyperlink r:id="rId521" w:history="1">
        <w:r w:rsidRPr="00A24218">
          <w:rPr>
            <w:rStyle w:val="Hyperlink"/>
            <w:rFonts w:cs="Arial"/>
            <w:sz w:val="20"/>
            <w:szCs w:val="20"/>
          </w:rPr>
          <w:t>https://doi.org/10.4315/0362-028X.JFP-10-424</w:t>
        </w:r>
      </w:hyperlink>
    </w:p>
    <w:p w14:paraId="75DD5EC7" w14:textId="77777777" w:rsidR="00B36DA8" w:rsidRDefault="00B36DA8">
      <w:pPr>
        <w:widowControl/>
        <w:rPr>
          <w:rFonts w:cs="Arial"/>
          <w:color w:val="000000" w:themeColor="text1"/>
          <w:sz w:val="20"/>
          <w:szCs w:val="20"/>
        </w:rPr>
      </w:pPr>
      <w:bookmarkStart w:id="1001" w:name="_CTVL001085b339649424092bb2c10b95cb84494"/>
      <w:bookmarkEnd w:id="1000"/>
      <w:r>
        <w:rPr>
          <w:rFonts w:cs="Arial"/>
          <w:sz w:val="20"/>
          <w:szCs w:val="20"/>
        </w:rPr>
        <w:br w:type="page"/>
      </w:r>
    </w:p>
    <w:p w14:paraId="37993AAE" w14:textId="13F9EBF2" w:rsidR="00285EF0" w:rsidRPr="00A24218" w:rsidRDefault="00285EF0" w:rsidP="00285EF0">
      <w:pPr>
        <w:pStyle w:val="CitaviBibliographyEntry"/>
        <w:spacing w:after="120"/>
        <w:ind w:left="0" w:firstLine="0"/>
        <w:rPr>
          <w:rFonts w:cs="Arial"/>
          <w:sz w:val="20"/>
          <w:szCs w:val="20"/>
        </w:rPr>
      </w:pPr>
      <w:r w:rsidRPr="00A24218">
        <w:rPr>
          <w:rFonts w:cs="Arial"/>
          <w:sz w:val="20"/>
          <w:szCs w:val="20"/>
        </w:rPr>
        <w:t xml:space="preserve">Li R, Tan X, Xiao J, Wang H, Liu Z, Zhou M, Bi W, Miyamoto T (2016) Molecular screening and characterization of Shiga toxin-producing </w:t>
      </w:r>
      <w:r w:rsidRPr="00DB681B">
        <w:rPr>
          <w:rFonts w:cs="Arial"/>
          <w:i/>
          <w:sz w:val="20"/>
          <w:szCs w:val="20"/>
        </w:rPr>
        <w:t>Escherichia coli</w:t>
      </w:r>
      <w:r w:rsidRPr="00A24218">
        <w:rPr>
          <w:rFonts w:cs="Arial"/>
          <w:sz w:val="20"/>
          <w:szCs w:val="20"/>
        </w:rPr>
        <w:t xml:space="preserve"> in retail foods. Food Control 60:180–188. </w:t>
      </w:r>
      <w:hyperlink r:id="rId522" w:history="1">
        <w:r w:rsidRPr="00A24218">
          <w:rPr>
            <w:rStyle w:val="Hyperlink"/>
            <w:rFonts w:cs="Arial"/>
            <w:sz w:val="20"/>
            <w:szCs w:val="20"/>
          </w:rPr>
          <w:t>https://doi.org/10.1016/j.foodcont.2015.07.045</w:t>
        </w:r>
      </w:hyperlink>
    </w:p>
    <w:p w14:paraId="0C6CF098" w14:textId="326F43FA" w:rsidR="00285EF0" w:rsidRPr="00A24218" w:rsidRDefault="00285EF0" w:rsidP="00285EF0">
      <w:pPr>
        <w:pStyle w:val="CitaviBibliographyEntry"/>
        <w:spacing w:after="120"/>
        <w:ind w:left="0" w:firstLine="0"/>
        <w:rPr>
          <w:rFonts w:cs="Arial"/>
          <w:sz w:val="20"/>
          <w:szCs w:val="20"/>
        </w:rPr>
      </w:pPr>
      <w:bookmarkStart w:id="1002" w:name="_CTVL00130d421001e5f486bbe0b8db687a15da4"/>
      <w:bookmarkEnd w:id="1001"/>
      <w:r w:rsidRPr="00A24218">
        <w:rPr>
          <w:rFonts w:cs="Arial"/>
          <w:sz w:val="20"/>
          <w:szCs w:val="20"/>
        </w:rPr>
        <w:t xml:space="preserve">Li K, Weidhaas J, Lemonakis L, Khouryieh H, Stone M, Jones L, Shen C (2017) Microbiological quality and safety of fresh produce in West Virginia and Kentucky farmers’ markets and validation of a post-harvest washing practice with antimicrobials to inactivate </w:t>
      </w:r>
      <w:r w:rsidRPr="00702034">
        <w:rPr>
          <w:rFonts w:cs="Arial"/>
          <w:i/>
          <w:sz w:val="20"/>
          <w:szCs w:val="20"/>
        </w:rPr>
        <w:t>Salmonella</w:t>
      </w:r>
      <w:r w:rsidRPr="00A24218">
        <w:rPr>
          <w:rFonts w:cs="Arial"/>
          <w:sz w:val="20"/>
          <w:szCs w:val="20"/>
        </w:rPr>
        <w:t xml:space="preserve"> and </w:t>
      </w:r>
      <w:r w:rsidRPr="00702034">
        <w:rPr>
          <w:rFonts w:cs="Arial"/>
          <w:i/>
          <w:sz w:val="20"/>
          <w:szCs w:val="20"/>
        </w:rPr>
        <w:t>Listeria monocytogenes</w:t>
      </w:r>
      <w:r w:rsidR="00B36DA8">
        <w:rPr>
          <w:rFonts w:cs="Arial"/>
          <w:sz w:val="20"/>
          <w:szCs w:val="20"/>
        </w:rPr>
        <w:t>. Food </w:t>
      </w:r>
      <w:r w:rsidRPr="00A24218">
        <w:rPr>
          <w:rFonts w:cs="Arial"/>
          <w:sz w:val="20"/>
          <w:szCs w:val="20"/>
        </w:rPr>
        <w:t xml:space="preserve">Control 79:101–108. </w:t>
      </w:r>
      <w:hyperlink r:id="rId523" w:history="1">
        <w:r w:rsidRPr="00A24218">
          <w:rPr>
            <w:rStyle w:val="Hyperlink"/>
            <w:rFonts w:cs="Arial"/>
            <w:sz w:val="20"/>
            <w:szCs w:val="20"/>
          </w:rPr>
          <w:t>https://doi.org/10.1016/j.foodcont.2017.03.031</w:t>
        </w:r>
      </w:hyperlink>
    </w:p>
    <w:p w14:paraId="753414C7" w14:textId="28CC3628" w:rsidR="00F96FD2" w:rsidRPr="00A24218" w:rsidRDefault="00285EF0" w:rsidP="00285EF0">
      <w:pPr>
        <w:pStyle w:val="CitaviBibliographyEntry"/>
        <w:spacing w:after="120"/>
        <w:ind w:left="0" w:firstLine="0"/>
        <w:rPr>
          <w:rFonts w:cs="Arial"/>
          <w:sz w:val="20"/>
          <w:szCs w:val="20"/>
        </w:rPr>
      </w:pPr>
      <w:bookmarkStart w:id="1003" w:name="_CTVL0019ff5574b87324bb6b252f61ad2be1a3e"/>
      <w:bookmarkEnd w:id="1002"/>
      <w:r w:rsidRPr="00A24218">
        <w:rPr>
          <w:rFonts w:cs="Arial"/>
          <w:sz w:val="20"/>
          <w:szCs w:val="20"/>
        </w:rPr>
        <w:t>Li D, Butot S, Zuber S, Uyttendaele M (2018) Monitoring of foodborne viruses in berries and considerations on the use of RT-PCR methods in surveillance. Food Control 89:235–240</w:t>
      </w:r>
      <w:r w:rsidR="00F96FD2">
        <w:rPr>
          <w:rFonts w:cs="Arial"/>
          <w:sz w:val="20"/>
          <w:szCs w:val="20"/>
        </w:rPr>
        <w:t xml:space="preserve">. </w:t>
      </w:r>
      <w:hyperlink r:id="rId524" w:history="1">
        <w:r w:rsidR="00F96FD2" w:rsidRPr="00C72075">
          <w:rPr>
            <w:rStyle w:val="Hyperlink"/>
            <w:rFonts w:cs="Arial"/>
            <w:sz w:val="20"/>
            <w:szCs w:val="20"/>
          </w:rPr>
          <w:t>https://doi.org/10.1016/j.foodcont.2018.02.024</w:t>
        </w:r>
      </w:hyperlink>
    </w:p>
    <w:p w14:paraId="7852922E" w14:textId="023A536D" w:rsidR="00285EF0" w:rsidRPr="00A24218" w:rsidRDefault="00285EF0" w:rsidP="00285EF0">
      <w:pPr>
        <w:pStyle w:val="CitaviBibliographyEntry"/>
        <w:spacing w:after="120"/>
        <w:ind w:left="0" w:firstLine="0"/>
        <w:rPr>
          <w:rFonts w:cs="Arial"/>
          <w:sz w:val="20"/>
          <w:szCs w:val="20"/>
        </w:rPr>
      </w:pPr>
      <w:bookmarkStart w:id="1004" w:name="_CTVL00133a6e102d58e4100a9ef98c68bfd2280"/>
      <w:bookmarkEnd w:id="1003"/>
      <w:r w:rsidRPr="00A24218">
        <w:rPr>
          <w:rFonts w:cs="Arial"/>
          <w:sz w:val="20"/>
          <w:szCs w:val="20"/>
        </w:rPr>
        <w:t>Liu S, Kilonzo-Nthenge A (2017) Prevalence of multidr</w:t>
      </w:r>
      <w:r w:rsidR="00702034">
        <w:rPr>
          <w:rFonts w:cs="Arial"/>
          <w:sz w:val="20"/>
          <w:szCs w:val="20"/>
        </w:rPr>
        <w:t xml:space="preserve">ug-resistant bacteria from U.S. </w:t>
      </w:r>
      <w:r w:rsidRPr="00A24218">
        <w:rPr>
          <w:rFonts w:cs="Arial"/>
          <w:sz w:val="20"/>
          <w:szCs w:val="20"/>
        </w:rPr>
        <w:t xml:space="preserve">grown and imported fresh produce retailed in chain supermarkets and ethnic stores of Davidson County, Tennessee. Journal of Food Protection 80:506–514. </w:t>
      </w:r>
      <w:hyperlink r:id="rId525" w:history="1">
        <w:r w:rsidRPr="00A24218">
          <w:rPr>
            <w:rStyle w:val="Hyperlink"/>
            <w:rFonts w:cs="Arial"/>
            <w:sz w:val="20"/>
            <w:szCs w:val="20"/>
          </w:rPr>
          <w:t>https://doi.org/10.4315/0362-028X.JFP-16-178</w:t>
        </w:r>
      </w:hyperlink>
    </w:p>
    <w:p w14:paraId="12BEE7B9" w14:textId="77777777" w:rsidR="00285EF0" w:rsidRPr="00A24218" w:rsidRDefault="00285EF0" w:rsidP="00285EF0">
      <w:pPr>
        <w:pStyle w:val="CitaviBibliographyEntry"/>
        <w:spacing w:after="120"/>
        <w:ind w:left="0" w:firstLine="0"/>
        <w:rPr>
          <w:rFonts w:cs="Arial"/>
          <w:sz w:val="20"/>
          <w:szCs w:val="20"/>
        </w:rPr>
      </w:pPr>
      <w:bookmarkStart w:id="1005" w:name="_CTVL00126f3a693d3b94ea8a47e45bdfb9b7f6c"/>
      <w:bookmarkEnd w:id="1004"/>
      <w:r w:rsidRPr="00A24218">
        <w:rPr>
          <w:rFonts w:cs="Arial"/>
          <w:sz w:val="20"/>
          <w:szCs w:val="20"/>
        </w:rPr>
        <w:t>Loutreul J, Cazeaux C, Levert D, Nicolas A, Vautier S, Le Sauvage AL, Perelle S, Morin T (2014) Prevalence of human noroviruses in frozen marketed shellfish, red fruits and fresh vegetables. Food and Environmental Virology 6:157–168</w:t>
      </w:r>
    </w:p>
    <w:p w14:paraId="40CC652C" w14:textId="77777777" w:rsidR="00285EF0" w:rsidRPr="00A24218" w:rsidRDefault="00285EF0" w:rsidP="00285EF0">
      <w:pPr>
        <w:pStyle w:val="CitaviBibliographyEntry"/>
        <w:spacing w:after="120"/>
        <w:ind w:left="0" w:firstLine="0"/>
        <w:rPr>
          <w:rFonts w:cs="Arial"/>
          <w:sz w:val="20"/>
          <w:szCs w:val="20"/>
        </w:rPr>
      </w:pPr>
      <w:bookmarkStart w:id="1006" w:name="_CTVL001802a1b64e5294f87aeba7bbcdad372d0"/>
      <w:bookmarkEnd w:id="1005"/>
      <w:r w:rsidRPr="00A24218">
        <w:rPr>
          <w:rFonts w:cs="Arial"/>
          <w:sz w:val="20"/>
          <w:szCs w:val="20"/>
        </w:rPr>
        <w:t xml:space="preserve">Maffei DF, Silveira NFdA, Catanozi MdPLM (2013) Microbiological quality of organic and conventional vegetables sold in Brazil. Food Control 29:226–230. </w:t>
      </w:r>
      <w:hyperlink r:id="rId526" w:history="1">
        <w:r w:rsidRPr="00A24218">
          <w:rPr>
            <w:rStyle w:val="Hyperlink"/>
            <w:rFonts w:cs="Arial"/>
            <w:sz w:val="20"/>
            <w:szCs w:val="20"/>
          </w:rPr>
          <w:t>https://doi.org/10.1016/j.foodcont.2012.06.013</w:t>
        </w:r>
      </w:hyperlink>
    </w:p>
    <w:p w14:paraId="7C520EF7" w14:textId="77777777" w:rsidR="00285EF0" w:rsidRPr="00A24218" w:rsidRDefault="00285EF0" w:rsidP="00285EF0">
      <w:pPr>
        <w:pStyle w:val="CitaviBibliographyEntry"/>
        <w:spacing w:after="120"/>
        <w:ind w:left="0" w:firstLine="0"/>
        <w:rPr>
          <w:rFonts w:cs="Arial"/>
          <w:sz w:val="20"/>
          <w:szCs w:val="20"/>
        </w:rPr>
      </w:pPr>
      <w:bookmarkStart w:id="1007" w:name="_CTVL001bd955d0e8b1e4713b5a2618fede9d865"/>
      <w:bookmarkEnd w:id="1006"/>
      <w:r w:rsidRPr="00A24218">
        <w:rPr>
          <w:rFonts w:cs="Arial"/>
          <w:sz w:val="20"/>
          <w:szCs w:val="20"/>
        </w:rPr>
        <w:t xml:space="preserve">Maradiaga M, Miller MF, Thompson L, Pond A, Gragg SE, Echeverry A, Garcia LG, Loneragan GH, Brashears MM (2015) </w:t>
      </w:r>
      <w:r w:rsidRPr="00702034">
        <w:rPr>
          <w:rFonts w:cs="Arial"/>
          <w:i/>
          <w:sz w:val="20"/>
          <w:szCs w:val="20"/>
        </w:rPr>
        <w:t>Salmonella</w:t>
      </w:r>
      <w:r w:rsidRPr="00A24218">
        <w:rPr>
          <w:rFonts w:cs="Arial"/>
          <w:sz w:val="20"/>
          <w:szCs w:val="20"/>
        </w:rPr>
        <w:t xml:space="preserve"> in beef and produce from honduras. Journal of Food Protection 78:498–502. </w:t>
      </w:r>
      <w:hyperlink r:id="rId527" w:history="1">
        <w:r w:rsidRPr="00A24218">
          <w:rPr>
            <w:rStyle w:val="Hyperlink"/>
            <w:rFonts w:cs="Arial"/>
            <w:sz w:val="20"/>
            <w:szCs w:val="20"/>
          </w:rPr>
          <w:t>https://doi.org/10.4315/0362-028X.JFP-14-450</w:t>
        </w:r>
      </w:hyperlink>
    </w:p>
    <w:p w14:paraId="73150C98" w14:textId="34DB036F" w:rsidR="00285EF0" w:rsidRPr="00A24218" w:rsidRDefault="00285EF0" w:rsidP="00285EF0">
      <w:pPr>
        <w:pStyle w:val="CitaviBibliographyEntry"/>
        <w:spacing w:after="120"/>
        <w:ind w:left="0" w:firstLine="0"/>
        <w:rPr>
          <w:rFonts w:cs="Arial"/>
          <w:sz w:val="20"/>
          <w:szCs w:val="20"/>
        </w:rPr>
      </w:pPr>
      <w:bookmarkStart w:id="1008" w:name="_CTVL0019a5d0b9db7344609a50e79af52dc73da"/>
      <w:bookmarkEnd w:id="1007"/>
      <w:r w:rsidRPr="00A24218">
        <w:rPr>
          <w:rFonts w:cs="Arial"/>
          <w:sz w:val="20"/>
          <w:szCs w:val="20"/>
        </w:rPr>
        <w:t>Marti E, Ferrary-Americo M, Barardi CRM (2017) Detection of potential infectious enteric viruses in fresh produce by (RT)-q</w:t>
      </w:r>
      <w:r w:rsidR="00702034">
        <w:rPr>
          <w:rFonts w:cs="Arial"/>
          <w:sz w:val="20"/>
          <w:szCs w:val="20"/>
        </w:rPr>
        <w:t>PCR</w:t>
      </w:r>
      <w:r w:rsidRPr="00A24218">
        <w:rPr>
          <w:rFonts w:cs="Arial"/>
          <w:sz w:val="20"/>
          <w:szCs w:val="20"/>
        </w:rPr>
        <w:t xml:space="preserve"> preceded by nuclease treatment. Food and Environmental Virology:444. </w:t>
      </w:r>
      <w:hyperlink r:id="rId528" w:history="1">
        <w:r w:rsidRPr="00A24218">
          <w:rPr>
            <w:rStyle w:val="Hyperlink"/>
            <w:rFonts w:cs="Arial"/>
            <w:sz w:val="20"/>
            <w:szCs w:val="20"/>
          </w:rPr>
          <w:t>https://doi.org/10.1007/s12560-017-9300-x</w:t>
        </w:r>
      </w:hyperlink>
    </w:p>
    <w:bookmarkEnd w:id="1008"/>
    <w:p w14:paraId="09910E98" w14:textId="7A05420A" w:rsidR="00285EF0" w:rsidRPr="00A24218" w:rsidRDefault="00285EF0" w:rsidP="00285EF0">
      <w:pPr>
        <w:pStyle w:val="CitaviBibliographyEntry"/>
        <w:spacing w:after="120"/>
        <w:ind w:left="0" w:firstLine="0"/>
        <w:rPr>
          <w:rFonts w:cs="Arial"/>
          <w:sz w:val="20"/>
          <w:szCs w:val="20"/>
        </w:rPr>
      </w:pPr>
      <w:r w:rsidRPr="00A24218">
        <w:rPr>
          <w:rFonts w:cs="Arial"/>
          <w:sz w:val="20"/>
          <w:szCs w:val="20"/>
        </w:rPr>
        <w:t>Maunula L, Kaupke A, Vasickova P, Söderberg K, Kozyra I, Lazic S, van der Poel WH, Bouwknegt M, Rutjes S, Willems KA</w:t>
      </w:r>
      <w:r w:rsidR="00DB681B">
        <w:rPr>
          <w:rFonts w:cs="Arial"/>
          <w:sz w:val="20"/>
          <w:szCs w:val="20"/>
        </w:rPr>
        <w:t>, Moloney R, D’Agostino M, Roda </w:t>
      </w:r>
      <w:r w:rsidRPr="00A24218">
        <w:rPr>
          <w:rFonts w:cs="Arial"/>
          <w:sz w:val="20"/>
          <w:szCs w:val="20"/>
        </w:rPr>
        <w:t xml:space="preserve">Husman AM de, Bonsdorff C-H von, Rzeżutka A, Pavlik I, Petrovic T, Cook N (2013) Tracing enteric viruses in the European berry fruit supply chain. International Journal of Food Microbiology 167:177–185. </w:t>
      </w:r>
      <w:hyperlink r:id="rId529" w:history="1">
        <w:r w:rsidRPr="00A24218">
          <w:rPr>
            <w:rStyle w:val="Hyperlink"/>
            <w:rFonts w:cs="Arial"/>
            <w:sz w:val="20"/>
            <w:szCs w:val="20"/>
          </w:rPr>
          <w:t>https://doi.org/10.1016/j.ijfoodmicro.2013.09.003</w:t>
        </w:r>
      </w:hyperlink>
    </w:p>
    <w:p w14:paraId="1CE99BF0" w14:textId="77777777" w:rsidR="00285EF0" w:rsidRPr="00A24218" w:rsidRDefault="00285EF0" w:rsidP="00285EF0">
      <w:pPr>
        <w:pStyle w:val="CitaviBibliographyEntry"/>
        <w:spacing w:after="120"/>
        <w:ind w:left="0" w:firstLine="0"/>
        <w:rPr>
          <w:rFonts w:cs="Arial"/>
          <w:sz w:val="20"/>
          <w:szCs w:val="20"/>
        </w:rPr>
      </w:pPr>
      <w:bookmarkStart w:id="1009" w:name="_CTVL0017e6ad2b57a884c1f9ba0037200132b5b"/>
      <w:r w:rsidRPr="00A24218">
        <w:rPr>
          <w:rFonts w:cs="Arial"/>
          <w:sz w:val="20"/>
          <w:szCs w:val="20"/>
        </w:rPr>
        <w:t>Moreno Y, Sánchez-Contreras J, Montes RM, García-Hernández J, Ballesteros L, Ferrús MA (2012) Detection and</w:t>
      </w:r>
      <w:r>
        <w:rPr>
          <w:rFonts w:cs="Arial"/>
          <w:sz w:val="20"/>
          <w:szCs w:val="20"/>
        </w:rPr>
        <w:t xml:space="preserve"> enumeration of viable </w:t>
      </w:r>
      <w:r w:rsidRPr="00702034">
        <w:rPr>
          <w:rFonts w:cs="Arial"/>
          <w:i/>
          <w:sz w:val="20"/>
          <w:szCs w:val="20"/>
        </w:rPr>
        <w:t>Listeria monocytogenes</w:t>
      </w:r>
      <w:r w:rsidRPr="00A24218">
        <w:rPr>
          <w:rFonts w:cs="Arial"/>
          <w:sz w:val="20"/>
          <w:szCs w:val="20"/>
        </w:rPr>
        <w:t xml:space="preserve"> cells from ready-to-eat and processed vegetable foods by culture and DVC-FISH. Food Control 27:374–379. </w:t>
      </w:r>
      <w:hyperlink r:id="rId530" w:history="1">
        <w:r w:rsidRPr="00A24218">
          <w:rPr>
            <w:rStyle w:val="Hyperlink"/>
            <w:rFonts w:cs="Arial"/>
            <w:sz w:val="20"/>
            <w:szCs w:val="20"/>
          </w:rPr>
          <w:t>https://doi.org/10.1016/j.foodcont.2012.04.017</w:t>
        </w:r>
      </w:hyperlink>
    </w:p>
    <w:p w14:paraId="490FFAF0" w14:textId="77777777" w:rsidR="00285EF0" w:rsidRPr="00A24218" w:rsidRDefault="00285EF0" w:rsidP="00285EF0">
      <w:pPr>
        <w:pStyle w:val="CitaviBibliographyEntry"/>
        <w:spacing w:after="120"/>
        <w:ind w:left="0" w:firstLine="0"/>
        <w:rPr>
          <w:rFonts w:cs="Arial"/>
          <w:sz w:val="20"/>
          <w:szCs w:val="20"/>
        </w:rPr>
      </w:pPr>
      <w:bookmarkStart w:id="1010" w:name="_CTVL001e20aa8b1cfb344ed957ef7e039359757"/>
      <w:bookmarkEnd w:id="1009"/>
      <w:r w:rsidRPr="00A24218">
        <w:rPr>
          <w:rFonts w:cs="Arial"/>
          <w:sz w:val="20"/>
          <w:szCs w:val="20"/>
        </w:rPr>
        <w:t xml:space="preserve">Mritunjay SK, Kumar V (2017) Microbial quality, safety, and pathogen detection by using quantitative pcr of raw salad vegetables sold in Dhanbad City, India. Journal of Food Protection 80:121–126. </w:t>
      </w:r>
      <w:hyperlink r:id="rId531" w:history="1">
        <w:r w:rsidRPr="00A24218">
          <w:rPr>
            <w:rStyle w:val="Hyperlink"/>
            <w:rFonts w:cs="Arial"/>
            <w:sz w:val="20"/>
            <w:szCs w:val="20"/>
          </w:rPr>
          <w:t>https://doi.org/10.4315/0362-028X.JFP-16-223</w:t>
        </w:r>
      </w:hyperlink>
    </w:p>
    <w:p w14:paraId="051A9E3C" w14:textId="77777777" w:rsidR="00285EF0" w:rsidRPr="00A24218" w:rsidRDefault="00285EF0" w:rsidP="00285EF0">
      <w:pPr>
        <w:pStyle w:val="CitaviBibliographyEntry"/>
        <w:spacing w:after="120"/>
        <w:ind w:left="0" w:firstLine="0"/>
        <w:rPr>
          <w:rFonts w:cs="Arial"/>
          <w:sz w:val="20"/>
          <w:szCs w:val="20"/>
        </w:rPr>
      </w:pPr>
      <w:bookmarkStart w:id="1011" w:name="_CTVL001d8d8ede8644942579e06ea3bf4068131"/>
      <w:bookmarkEnd w:id="1010"/>
      <w:r w:rsidRPr="00A24218">
        <w:rPr>
          <w:rFonts w:cs="Arial"/>
          <w:sz w:val="20"/>
          <w:szCs w:val="20"/>
        </w:rPr>
        <w:t xml:space="preserve">Ni P, Xu Q, Yin Y, Liu D, Zhang J, Wu Q, Tian P, Shi X, Wang D (2018) Prevalence and characterization of </w:t>
      </w:r>
      <w:r w:rsidRPr="00702034">
        <w:rPr>
          <w:rFonts w:cs="Arial"/>
          <w:i/>
          <w:sz w:val="20"/>
          <w:szCs w:val="20"/>
        </w:rPr>
        <w:t>Salmonella</w:t>
      </w:r>
      <w:r w:rsidRPr="00A24218">
        <w:rPr>
          <w:rFonts w:cs="Arial"/>
          <w:sz w:val="20"/>
          <w:szCs w:val="20"/>
        </w:rPr>
        <w:t xml:space="preserve"> serovars isolated from farm products in Shanghai. Food Control 85:269–275. </w:t>
      </w:r>
      <w:hyperlink r:id="rId532" w:history="1">
        <w:r w:rsidRPr="00A24218">
          <w:rPr>
            <w:rStyle w:val="Hyperlink"/>
            <w:rFonts w:cs="Arial"/>
            <w:sz w:val="20"/>
            <w:szCs w:val="20"/>
          </w:rPr>
          <w:t>https://doi.org/10.1016/j.foodcont.2017.10.009</w:t>
        </w:r>
      </w:hyperlink>
    </w:p>
    <w:p w14:paraId="69351D7D" w14:textId="77777777" w:rsidR="00285EF0" w:rsidRPr="00A24218" w:rsidRDefault="00285EF0" w:rsidP="00285EF0">
      <w:pPr>
        <w:pStyle w:val="CitaviBibliographyEntry"/>
        <w:spacing w:after="120"/>
        <w:ind w:left="0" w:firstLine="0"/>
        <w:rPr>
          <w:rFonts w:cs="Arial"/>
          <w:sz w:val="20"/>
          <w:szCs w:val="20"/>
        </w:rPr>
      </w:pPr>
      <w:bookmarkStart w:id="1012" w:name="_CTVL001a75bba7ddef44c33a0e831ee41b4bc9a"/>
      <w:bookmarkEnd w:id="1011"/>
      <w:r w:rsidRPr="00A24218">
        <w:rPr>
          <w:rFonts w:cs="Arial"/>
          <w:sz w:val="20"/>
          <w:szCs w:val="20"/>
        </w:rPr>
        <w:t xml:space="preserve">Niyomdecha N, Mungkornkaew N, Samosornsuk W (2016) </w:t>
      </w:r>
      <w:r>
        <w:rPr>
          <w:rFonts w:cs="Arial"/>
          <w:sz w:val="20"/>
          <w:szCs w:val="20"/>
        </w:rPr>
        <w:t>S</w:t>
      </w:r>
      <w:r w:rsidRPr="00A24218">
        <w:rPr>
          <w:rFonts w:cs="Arial"/>
          <w:sz w:val="20"/>
          <w:szCs w:val="20"/>
        </w:rPr>
        <w:t>erotypes a</w:t>
      </w:r>
      <w:r>
        <w:rPr>
          <w:rFonts w:cs="Arial"/>
          <w:sz w:val="20"/>
          <w:szCs w:val="20"/>
        </w:rPr>
        <w:t xml:space="preserve">nd antimicrobial resistance of </w:t>
      </w:r>
      <w:r w:rsidRPr="00702034">
        <w:rPr>
          <w:rFonts w:cs="Arial"/>
          <w:i/>
          <w:sz w:val="20"/>
          <w:szCs w:val="20"/>
        </w:rPr>
        <w:t>Salmonella enterica</w:t>
      </w:r>
      <w:r w:rsidRPr="00A24218">
        <w:rPr>
          <w:rFonts w:cs="Arial"/>
          <w:sz w:val="20"/>
          <w:szCs w:val="20"/>
        </w:rPr>
        <w:t xml:space="preserve"> isolated from p</w:t>
      </w:r>
      <w:r>
        <w:rPr>
          <w:rFonts w:cs="Arial"/>
          <w:sz w:val="20"/>
          <w:szCs w:val="20"/>
        </w:rPr>
        <w:t>ork, chicken meat and lettuce, Bangkok and central T</w:t>
      </w:r>
      <w:r w:rsidRPr="00A24218">
        <w:rPr>
          <w:rFonts w:cs="Arial"/>
          <w:sz w:val="20"/>
          <w:szCs w:val="20"/>
        </w:rPr>
        <w:t>hailand. Southeast Asian J Trop Med Public Health 47:31–39</w:t>
      </w:r>
    </w:p>
    <w:p w14:paraId="213D8EC5" w14:textId="42E09161" w:rsidR="00F96FD2" w:rsidRPr="00A24218" w:rsidRDefault="00285EF0" w:rsidP="00285EF0">
      <w:pPr>
        <w:pStyle w:val="CitaviBibliographyEntry"/>
        <w:spacing w:after="120"/>
        <w:ind w:left="0" w:firstLine="0"/>
        <w:rPr>
          <w:rFonts w:cs="Arial"/>
          <w:sz w:val="20"/>
          <w:szCs w:val="20"/>
        </w:rPr>
      </w:pPr>
      <w:bookmarkStart w:id="1013" w:name="_CTVL001e8306e32f320482fa29253f5ea42c5fd"/>
      <w:bookmarkEnd w:id="1012"/>
      <w:r w:rsidRPr="00A24218">
        <w:rPr>
          <w:rFonts w:cs="Arial"/>
          <w:sz w:val="20"/>
          <w:szCs w:val="20"/>
        </w:rPr>
        <w:t xml:space="preserve">Ozpinar H, Turan B, Tekiner IH, Tezmen G, Gokce I, Akineden O (2013) Evaluation of pathogenic </w:t>
      </w:r>
      <w:r w:rsidRPr="00702034">
        <w:rPr>
          <w:rFonts w:cs="Arial"/>
          <w:i/>
          <w:sz w:val="20"/>
          <w:szCs w:val="20"/>
        </w:rPr>
        <w:t>Escherichia coli</w:t>
      </w:r>
      <w:r w:rsidRPr="00A24218">
        <w:rPr>
          <w:rFonts w:cs="Arial"/>
          <w:sz w:val="20"/>
          <w:szCs w:val="20"/>
        </w:rPr>
        <w:t xml:space="preserve"> occurrence in vegetable samples from district bazaars in Istanbul using real-time PCR. Letters in Applied Microbiology 57:362–367</w:t>
      </w:r>
      <w:r w:rsidR="00F96FD2">
        <w:rPr>
          <w:rFonts w:cs="Arial"/>
          <w:sz w:val="20"/>
          <w:szCs w:val="20"/>
        </w:rPr>
        <w:t xml:space="preserve">. </w:t>
      </w:r>
      <w:hyperlink r:id="rId533" w:history="1">
        <w:r w:rsidR="00F96FD2" w:rsidRPr="00C72075">
          <w:rPr>
            <w:rStyle w:val="Hyperlink"/>
            <w:rFonts w:cs="Arial"/>
            <w:sz w:val="20"/>
            <w:szCs w:val="20"/>
          </w:rPr>
          <w:t>https://doi.org/10.1111/lam.12122</w:t>
        </w:r>
      </w:hyperlink>
    </w:p>
    <w:bookmarkEnd w:id="1013"/>
    <w:p w14:paraId="28D09875" w14:textId="77777777" w:rsidR="00B36DA8" w:rsidRDefault="00B36DA8">
      <w:pPr>
        <w:widowControl/>
        <w:rPr>
          <w:rFonts w:cs="Arial"/>
          <w:color w:val="000000" w:themeColor="text1"/>
          <w:sz w:val="20"/>
          <w:szCs w:val="20"/>
        </w:rPr>
      </w:pPr>
      <w:r>
        <w:rPr>
          <w:rFonts w:cs="Arial"/>
          <w:sz w:val="20"/>
          <w:szCs w:val="20"/>
        </w:rPr>
        <w:br w:type="page"/>
      </w:r>
    </w:p>
    <w:p w14:paraId="1EC0D5C3" w14:textId="2A08A5E2" w:rsidR="00285EF0" w:rsidRPr="00A24218" w:rsidRDefault="00285EF0" w:rsidP="00285EF0">
      <w:pPr>
        <w:pStyle w:val="CitaviBibliographyEntry"/>
        <w:spacing w:after="120"/>
        <w:ind w:left="0" w:firstLine="0"/>
        <w:rPr>
          <w:rFonts w:cs="Arial"/>
          <w:sz w:val="20"/>
          <w:szCs w:val="20"/>
        </w:rPr>
      </w:pPr>
      <w:r w:rsidRPr="00A24218">
        <w:rPr>
          <w:rFonts w:cs="Arial"/>
          <w:sz w:val="20"/>
          <w:szCs w:val="20"/>
        </w:rPr>
        <w:t xml:space="preserve">Reddy SP, Wang H, Adams JK, Feng PCH (2016) Prevalence and characteristics of </w:t>
      </w:r>
      <w:r w:rsidRPr="00702034">
        <w:rPr>
          <w:rFonts w:cs="Arial"/>
          <w:i/>
          <w:sz w:val="20"/>
          <w:szCs w:val="20"/>
        </w:rPr>
        <w:t>Salmonella</w:t>
      </w:r>
      <w:r w:rsidRPr="00A24218">
        <w:rPr>
          <w:rFonts w:cs="Arial"/>
          <w:sz w:val="20"/>
          <w:szCs w:val="20"/>
        </w:rPr>
        <w:t xml:space="preserve"> serotypes isolated from fresh</w:t>
      </w:r>
      <w:r>
        <w:rPr>
          <w:rFonts w:cs="Arial"/>
          <w:sz w:val="20"/>
          <w:szCs w:val="20"/>
        </w:rPr>
        <w:t xml:space="preserve"> produce marketed in the United </w:t>
      </w:r>
      <w:r w:rsidRPr="00A24218">
        <w:rPr>
          <w:rFonts w:cs="Arial"/>
          <w:sz w:val="20"/>
          <w:szCs w:val="20"/>
        </w:rPr>
        <w:t xml:space="preserve">States. Journal of Food Protection 79:6–16. </w:t>
      </w:r>
      <w:hyperlink r:id="rId534" w:history="1">
        <w:r w:rsidRPr="00A24218">
          <w:rPr>
            <w:rStyle w:val="Hyperlink"/>
            <w:rFonts w:cs="Arial"/>
            <w:sz w:val="20"/>
            <w:szCs w:val="20"/>
          </w:rPr>
          <w:t>https://doi.org/10.4315/0362-028X.JFP-15-274</w:t>
        </w:r>
      </w:hyperlink>
    </w:p>
    <w:p w14:paraId="66D560CB" w14:textId="77777777" w:rsidR="00285EF0" w:rsidRPr="00A24218" w:rsidRDefault="00285EF0" w:rsidP="00285EF0">
      <w:pPr>
        <w:pStyle w:val="CitaviBibliographyEntry"/>
        <w:spacing w:after="120"/>
        <w:ind w:left="0" w:firstLine="0"/>
        <w:rPr>
          <w:rFonts w:cs="Arial"/>
          <w:sz w:val="20"/>
          <w:szCs w:val="20"/>
        </w:rPr>
      </w:pPr>
      <w:bookmarkStart w:id="1014" w:name="_CTVL00115eb1276c963441890e96849800808cc"/>
      <w:r w:rsidRPr="00A24218">
        <w:rPr>
          <w:rFonts w:cs="Arial"/>
          <w:sz w:val="20"/>
          <w:szCs w:val="20"/>
        </w:rPr>
        <w:t xml:space="preserve">Roth L, Simonne A, House L, Ahn S (2018) Microbiological analysis of fresh produce sold at Florida farmers’ markets. Food Control 92:444–449. </w:t>
      </w:r>
      <w:hyperlink r:id="rId535" w:history="1">
        <w:r w:rsidRPr="00A24218">
          <w:rPr>
            <w:rStyle w:val="Hyperlink"/>
            <w:rFonts w:cs="Arial"/>
            <w:sz w:val="20"/>
            <w:szCs w:val="20"/>
          </w:rPr>
          <w:t>https://doi.org/10.1016/j.foodcont.2018.05.030</w:t>
        </w:r>
      </w:hyperlink>
    </w:p>
    <w:p w14:paraId="51559A0B" w14:textId="77777777" w:rsidR="00285EF0" w:rsidRPr="00A24218" w:rsidRDefault="00285EF0" w:rsidP="00285EF0">
      <w:pPr>
        <w:pStyle w:val="CitaviBibliographyEntry"/>
        <w:spacing w:after="120"/>
        <w:ind w:left="0" w:firstLine="0"/>
        <w:rPr>
          <w:rFonts w:cs="Arial"/>
          <w:sz w:val="20"/>
          <w:szCs w:val="20"/>
        </w:rPr>
      </w:pPr>
      <w:bookmarkStart w:id="1015" w:name="_CTVL0014710324e738a4323968fbc1a6cbf4a2e"/>
      <w:bookmarkEnd w:id="1014"/>
      <w:r w:rsidRPr="00A24218">
        <w:rPr>
          <w:rFonts w:cs="Arial"/>
          <w:sz w:val="20"/>
          <w:szCs w:val="20"/>
        </w:rPr>
        <w:t>Sant’Ana AS, Igarashi MC, Landgraf M, Destro MT, Franco BDGM (2012) Prevalence, populations and pheno- and genoty</w:t>
      </w:r>
      <w:r>
        <w:rPr>
          <w:rFonts w:cs="Arial"/>
          <w:sz w:val="20"/>
          <w:szCs w:val="20"/>
        </w:rPr>
        <w:t xml:space="preserve">pic characteristics of </w:t>
      </w:r>
      <w:r w:rsidRPr="00702034">
        <w:rPr>
          <w:rFonts w:cs="Arial"/>
          <w:i/>
          <w:sz w:val="20"/>
          <w:szCs w:val="20"/>
        </w:rPr>
        <w:t>Listeria monocytogenes</w:t>
      </w:r>
      <w:r w:rsidRPr="00A24218">
        <w:rPr>
          <w:rFonts w:cs="Arial"/>
          <w:sz w:val="20"/>
          <w:szCs w:val="20"/>
        </w:rPr>
        <w:t xml:space="preserve"> isolated from ready-to-eat vegetables marketed in São Paulo, Brazil. International Journal of Food Microbiology 155:1–9. </w:t>
      </w:r>
      <w:hyperlink r:id="rId536" w:history="1">
        <w:r w:rsidRPr="00A24218">
          <w:rPr>
            <w:rStyle w:val="Hyperlink"/>
            <w:rFonts w:cs="Arial"/>
            <w:sz w:val="20"/>
            <w:szCs w:val="20"/>
          </w:rPr>
          <w:t>https://doi.org/10.1016/j.ijfoodmicro.2011.12.036</w:t>
        </w:r>
      </w:hyperlink>
    </w:p>
    <w:p w14:paraId="5C037AE6" w14:textId="77777777" w:rsidR="00285EF0" w:rsidRPr="00A24218" w:rsidRDefault="00285EF0" w:rsidP="00285EF0">
      <w:pPr>
        <w:pStyle w:val="CitaviBibliographyEntry"/>
        <w:spacing w:after="120"/>
        <w:ind w:left="0" w:firstLine="0"/>
        <w:rPr>
          <w:rFonts w:cs="Arial"/>
          <w:sz w:val="20"/>
          <w:szCs w:val="20"/>
        </w:rPr>
      </w:pPr>
      <w:bookmarkStart w:id="1016" w:name="_CTVL0019c461272549e47fbb27c6af54541f758"/>
      <w:bookmarkEnd w:id="1015"/>
      <w:r w:rsidRPr="00A24218">
        <w:rPr>
          <w:rFonts w:cs="Arial"/>
          <w:sz w:val="20"/>
          <w:szCs w:val="20"/>
        </w:rPr>
        <w:t xml:space="preserve">Santarelli GA, Migliorati G, Pomilio F, Marfoglia C, Centorame P, D’Agostino A, D’Aurelio R, Scarpone R, Battistelli N, Di Simone F, Aprea G, Iannetti L (2018) Assessment of pesticide residues and microbial contamination in raw leafy green vegetables marketed in Italy. Food Control 85:350–358. </w:t>
      </w:r>
      <w:hyperlink r:id="rId537" w:history="1">
        <w:r w:rsidRPr="00A24218">
          <w:rPr>
            <w:rStyle w:val="Hyperlink"/>
            <w:rFonts w:cs="Arial"/>
            <w:sz w:val="20"/>
            <w:szCs w:val="20"/>
          </w:rPr>
          <w:t>https://doi.org/10.1016/j.foodcont.2017.09.035</w:t>
        </w:r>
      </w:hyperlink>
    </w:p>
    <w:p w14:paraId="0C8EC0C5" w14:textId="77777777" w:rsidR="00285EF0" w:rsidRPr="00A24218" w:rsidRDefault="00285EF0" w:rsidP="00285EF0">
      <w:pPr>
        <w:pStyle w:val="CitaviBibliographyEntry"/>
        <w:spacing w:after="120"/>
        <w:ind w:left="0" w:firstLine="0"/>
        <w:rPr>
          <w:rFonts w:cs="Arial"/>
          <w:sz w:val="20"/>
          <w:szCs w:val="20"/>
        </w:rPr>
      </w:pPr>
      <w:bookmarkStart w:id="1017" w:name="_CTVL001cee618ab97024ceb870a6501211dbf08"/>
      <w:bookmarkEnd w:id="1016"/>
      <w:r w:rsidRPr="00A24218">
        <w:rPr>
          <w:rFonts w:cs="Arial"/>
          <w:sz w:val="20"/>
          <w:szCs w:val="20"/>
        </w:rPr>
        <w:t xml:space="preserve">Santos MI, Cavaco A, Gouveia J, Novais MR, Nogueira PJ, Pedroso L, Ferreira MASS (2012) Evaluation of minimally processed salads commercialized in Portugal. Food Control 23:275–281. </w:t>
      </w:r>
      <w:hyperlink r:id="rId538" w:history="1">
        <w:r w:rsidRPr="00A24218">
          <w:rPr>
            <w:rStyle w:val="Hyperlink"/>
            <w:rFonts w:cs="Arial"/>
            <w:sz w:val="20"/>
            <w:szCs w:val="20"/>
          </w:rPr>
          <w:t>https://doi.org/10.1016/j.foodcont.2011.06.022</w:t>
        </w:r>
      </w:hyperlink>
    </w:p>
    <w:p w14:paraId="5B85F8AB" w14:textId="77777777" w:rsidR="00285EF0" w:rsidRPr="00A24218" w:rsidRDefault="00285EF0" w:rsidP="00285EF0">
      <w:pPr>
        <w:pStyle w:val="CitaviBibliographyEntry"/>
        <w:spacing w:after="120"/>
        <w:ind w:left="0" w:firstLine="0"/>
        <w:rPr>
          <w:rFonts w:cs="Arial"/>
          <w:sz w:val="20"/>
          <w:szCs w:val="20"/>
        </w:rPr>
      </w:pPr>
      <w:bookmarkStart w:id="1018" w:name="_CTVL0018e1ac2a6a8e14dbaa8663e7d614a62c4"/>
      <w:bookmarkEnd w:id="1017"/>
      <w:r w:rsidRPr="00A24218">
        <w:rPr>
          <w:rFonts w:cs="Arial"/>
          <w:sz w:val="20"/>
          <w:szCs w:val="20"/>
        </w:rPr>
        <w:t>Scheinberg JA, Dudley EG, Campbell J, Roberts B, DiMarzio M, DebRoy C, Cutter CN (2017) Prevalence and phylogenetic charact</w:t>
      </w:r>
      <w:r>
        <w:rPr>
          <w:rFonts w:cs="Arial"/>
          <w:sz w:val="20"/>
          <w:szCs w:val="20"/>
        </w:rPr>
        <w:t xml:space="preserve">erization of </w:t>
      </w:r>
      <w:r w:rsidRPr="004B3D31">
        <w:rPr>
          <w:rFonts w:cs="Arial"/>
          <w:i/>
          <w:sz w:val="20"/>
          <w:szCs w:val="20"/>
        </w:rPr>
        <w:t>Escherichia coli</w:t>
      </w:r>
      <w:r w:rsidRPr="00A24218">
        <w:rPr>
          <w:rFonts w:cs="Arial"/>
          <w:sz w:val="20"/>
          <w:szCs w:val="20"/>
        </w:rPr>
        <w:t xml:space="preserve"> and hygiene indicator bacteria isolated from leafy green produce, beef, and pork obtained from farmers’ markets in Pennsylvania. Journal of Food Protection 80:237–244. </w:t>
      </w:r>
      <w:hyperlink r:id="rId539" w:history="1">
        <w:r w:rsidRPr="00A24218">
          <w:rPr>
            <w:rStyle w:val="Hyperlink"/>
            <w:rFonts w:cs="Arial"/>
            <w:sz w:val="20"/>
            <w:szCs w:val="20"/>
          </w:rPr>
          <w:t>https://doi.org/10.4315/0362-028X.JFP-16-282</w:t>
        </w:r>
      </w:hyperlink>
    </w:p>
    <w:p w14:paraId="3DA18D51" w14:textId="77777777" w:rsidR="00285EF0" w:rsidRPr="00A24218" w:rsidRDefault="00285EF0" w:rsidP="00285EF0">
      <w:pPr>
        <w:pStyle w:val="CitaviBibliographyEntry"/>
        <w:spacing w:after="120"/>
        <w:ind w:left="0" w:firstLine="0"/>
        <w:rPr>
          <w:rFonts w:cs="Arial"/>
          <w:sz w:val="20"/>
          <w:szCs w:val="20"/>
        </w:rPr>
      </w:pPr>
      <w:bookmarkStart w:id="1019" w:name="_CTVL001ca0f22d5b4fd4131a34485c0979b0ea2"/>
      <w:bookmarkEnd w:id="1018"/>
      <w:r w:rsidRPr="00A24218">
        <w:rPr>
          <w:rFonts w:cs="Arial"/>
          <w:sz w:val="20"/>
          <w:szCs w:val="20"/>
        </w:rPr>
        <w:t xml:space="preserve">Stals A, Baert L, Jasson V, van Coillie E, Uyttendaele M (2011) Screening of fruit products for norovirus and the difficulty of interpreting positive PCR results. Journal of Food Protection 74:425–431. </w:t>
      </w:r>
      <w:hyperlink r:id="rId540" w:history="1">
        <w:r w:rsidRPr="00A24218">
          <w:rPr>
            <w:rStyle w:val="Hyperlink"/>
            <w:rFonts w:cs="Arial"/>
            <w:sz w:val="20"/>
            <w:szCs w:val="20"/>
          </w:rPr>
          <w:t>https://doi.org/10.4315/0362-028X.JFP-10-209</w:t>
        </w:r>
      </w:hyperlink>
    </w:p>
    <w:bookmarkEnd w:id="1019"/>
    <w:p w14:paraId="79B7240E" w14:textId="77777777" w:rsidR="00285EF0" w:rsidRPr="00A24218" w:rsidRDefault="00285EF0" w:rsidP="00285EF0">
      <w:pPr>
        <w:pStyle w:val="CitaviBibliographyEntry"/>
        <w:spacing w:after="120"/>
        <w:ind w:left="0" w:firstLine="0"/>
        <w:rPr>
          <w:rFonts w:cs="Arial"/>
          <w:sz w:val="20"/>
          <w:szCs w:val="20"/>
        </w:rPr>
      </w:pPr>
      <w:r w:rsidRPr="00A24218">
        <w:rPr>
          <w:rFonts w:cs="Arial"/>
          <w:sz w:val="20"/>
          <w:szCs w:val="20"/>
        </w:rPr>
        <w:t xml:space="preserve">Tango CN, Choi N-J, Chung M-S, Oh DH (2014) Bacteriological quality of vegetables from organic and conventional production in different areas of Korea. Journal of Food Protection 77:1411–1417. </w:t>
      </w:r>
      <w:hyperlink r:id="rId541" w:history="1">
        <w:r w:rsidRPr="00A24218">
          <w:rPr>
            <w:rStyle w:val="Hyperlink"/>
            <w:rFonts w:cs="Arial"/>
            <w:sz w:val="20"/>
            <w:szCs w:val="20"/>
          </w:rPr>
          <w:t>https://doi.org/10.4315/0362-028X.JFP-13-514</w:t>
        </w:r>
      </w:hyperlink>
    </w:p>
    <w:p w14:paraId="01EF1FCE" w14:textId="77777777" w:rsidR="00285EF0" w:rsidRPr="00A24218" w:rsidRDefault="00285EF0" w:rsidP="00285EF0">
      <w:pPr>
        <w:pStyle w:val="CitaviBibliographyEntry"/>
        <w:spacing w:after="120"/>
        <w:ind w:left="0" w:firstLine="0"/>
        <w:rPr>
          <w:rFonts w:cs="Arial"/>
          <w:sz w:val="20"/>
          <w:szCs w:val="20"/>
        </w:rPr>
      </w:pPr>
      <w:bookmarkStart w:id="1020" w:name="_CTVL001c22d76b37e204cd481e985ce4014520e"/>
      <w:r w:rsidRPr="00A24218">
        <w:rPr>
          <w:rFonts w:cs="Arial"/>
          <w:sz w:val="20"/>
          <w:szCs w:val="20"/>
        </w:rPr>
        <w:t xml:space="preserve">Tango CN, Wei S, Khan I, Hussain MS, Kounkeu PN, Park J, Kim S, Oh DH (2018) </w:t>
      </w:r>
      <w:r>
        <w:rPr>
          <w:rFonts w:cs="Arial"/>
          <w:sz w:val="20"/>
          <w:szCs w:val="20"/>
        </w:rPr>
        <w:t>M</w:t>
      </w:r>
      <w:r w:rsidRPr="00A24218">
        <w:rPr>
          <w:rFonts w:cs="Arial"/>
          <w:sz w:val="20"/>
          <w:szCs w:val="20"/>
        </w:rPr>
        <w:t xml:space="preserve">icrobiological quality and safety of fresh fruits and vegetables at retail levels in Korea. Journal of Food Science 83:386–392. </w:t>
      </w:r>
      <w:hyperlink r:id="rId542" w:history="1">
        <w:r w:rsidRPr="00A24218">
          <w:rPr>
            <w:rStyle w:val="Hyperlink"/>
            <w:rFonts w:cs="Arial"/>
            <w:sz w:val="20"/>
            <w:szCs w:val="20"/>
          </w:rPr>
          <w:t>https://doi.org/10.1111/1750-3841.13992</w:t>
        </w:r>
      </w:hyperlink>
    </w:p>
    <w:p w14:paraId="4DA3D8E8" w14:textId="77777777" w:rsidR="00285EF0" w:rsidRPr="00A24218" w:rsidRDefault="00285EF0" w:rsidP="00285EF0">
      <w:pPr>
        <w:pStyle w:val="CitaviBibliographyEntry"/>
        <w:spacing w:after="120"/>
        <w:ind w:left="0" w:firstLine="0"/>
        <w:rPr>
          <w:rFonts w:cs="Arial"/>
          <w:sz w:val="20"/>
          <w:szCs w:val="20"/>
        </w:rPr>
      </w:pPr>
      <w:bookmarkStart w:id="1021" w:name="_CTVL001d8bd3c55e6344150b208ac0403fe7d52"/>
      <w:bookmarkEnd w:id="1020"/>
      <w:r w:rsidRPr="00A24218">
        <w:rPr>
          <w:rFonts w:cs="Arial"/>
          <w:sz w:val="20"/>
          <w:szCs w:val="20"/>
        </w:rPr>
        <w:t xml:space="preserve">Terio V, Bottaro M, Pavoni E, Losio MN, Serraino A, Giacometti F, Martella V, Mottola A, Di Pinto A, Tantillo G (2017) Occurrence of hepatitis A and E and norovirus GI and GII in ready-to-eat vegetables in Italy. International Journal of Food Microbiology 249:61–65. </w:t>
      </w:r>
      <w:hyperlink r:id="rId543" w:history="1">
        <w:r w:rsidRPr="00A24218">
          <w:rPr>
            <w:rStyle w:val="Hyperlink"/>
            <w:rFonts w:cs="Arial"/>
            <w:sz w:val="20"/>
            <w:szCs w:val="20"/>
          </w:rPr>
          <w:t>https://doi.org/10.1016/j.ijfoodmicro.2017.03.008</w:t>
        </w:r>
      </w:hyperlink>
    </w:p>
    <w:bookmarkEnd w:id="1021"/>
    <w:p w14:paraId="21C52988" w14:textId="7590A16D" w:rsidR="00285EF0" w:rsidRPr="00A24218" w:rsidRDefault="00285EF0" w:rsidP="00285EF0">
      <w:pPr>
        <w:pStyle w:val="CitaviBibliographyEntry"/>
        <w:spacing w:after="120"/>
        <w:ind w:left="0" w:firstLine="0"/>
        <w:rPr>
          <w:rFonts w:cs="Arial"/>
          <w:sz w:val="20"/>
          <w:szCs w:val="20"/>
        </w:rPr>
      </w:pPr>
      <w:r w:rsidRPr="00A24218">
        <w:rPr>
          <w:rFonts w:cs="Arial"/>
          <w:sz w:val="20"/>
          <w:szCs w:val="20"/>
        </w:rPr>
        <w:t>Vital PG, Dimasuay KGB, Widmer KW, Rivera WL (2014) Microbiological quality of fresh produce from open air markets and supermarkets in the Philippines. Scientific</w:t>
      </w:r>
      <w:r w:rsidR="004B3D31">
        <w:rPr>
          <w:rFonts w:cs="Arial"/>
          <w:sz w:val="20"/>
          <w:szCs w:val="20"/>
        </w:rPr>
        <w:t xml:space="preserve"> </w:t>
      </w:r>
      <w:r w:rsidRPr="00A24218">
        <w:rPr>
          <w:rFonts w:cs="Arial"/>
          <w:sz w:val="20"/>
          <w:szCs w:val="20"/>
        </w:rPr>
        <w:t>World</w:t>
      </w:r>
      <w:r w:rsidR="004B3D31">
        <w:rPr>
          <w:rFonts w:cs="Arial"/>
          <w:sz w:val="20"/>
          <w:szCs w:val="20"/>
        </w:rPr>
        <w:t xml:space="preserve"> </w:t>
      </w:r>
      <w:r w:rsidRPr="00A24218">
        <w:rPr>
          <w:rFonts w:cs="Arial"/>
          <w:sz w:val="20"/>
          <w:szCs w:val="20"/>
        </w:rPr>
        <w:t xml:space="preserve">Journal 2014:219534. </w:t>
      </w:r>
      <w:hyperlink r:id="rId544" w:history="1">
        <w:r w:rsidRPr="00A24218">
          <w:rPr>
            <w:rStyle w:val="Hyperlink"/>
            <w:rFonts w:cs="Arial"/>
            <w:sz w:val="20"/>
            <w:szCs w:val="20"/>
          </w:rPr>
          <w:t>https://doi.org/10.1155/2014/219534</w:t>
        </w:r>
      </w:hyperlink>
    </w:p>
    <w:p w14:paraId="23D70A71" w14:textId="77777777" w:rsidR="00285EF0" w:rsidRPr="00A24218" w:rsidRDefault="00285EF0" w:rsidP="00285EF0">
      <w:pPr>
        <w:pStyle w:val="CitaviBibliographyEntry"/>
        <w:spacing w:after="120"/>
        <w:ind w:left="0" w:firstLine="0"/>
        <w:rPr>
          <w:rFonts w:cs="Arial"/>
          <w:sz w:val="20"/>
          <w:szCs w:val="20"/>
        </w:rPr>
      </w:pPr>
      <w:bookmarkStart w:id="1022" w:name="_CTVL001f7e6d3ac4baa4221b301b5e6f25955f8"/>
      <w:r w:rsidRPr="00A24218">
        <w:rPr>
          <w:rFonts w:cs="Arial"/>
          <w:sz w:val="20"/>
          <w:szCs w:val="20"/>
        </w:rPr>
        <w:t xml:space="preserve">Vojkovská H, Myšková P, Gelbíčová T, Skočková A, Koláčková I, Karpíšková R (2017) Occurrence and characterization of food-borne pathogens isolated from fruit, vegetables and sprouts retailed in the Czech Republic. Food Microbiology 63:147–152. </w:t>
      </w:r>
      <w:hyperlink r:id="rId545" w:history="1">
        <w:r w:rsidRPr="00A24218">
          <w:rPr>
            <w:rStyle w:val="Hyperlink"/>
            <w:rFonts w:cs="Arial"/>
            <w:sz w:val="20"/>
            <w:szCs w:val="20"/>
          </w:rPr>
          <w:t>https://doi.org/10.1016/j.fm.2016.11.012</w:t>
        </w:r>
      </w:hyperlink>
    </w:p>
    <w:p w14:paraId="0BB86832" w14:textId="77777777" w:rsidR="00285EF0" w:rsidRPr="00A24218" w:rsidRDefault="00285EF0" w:rsidP="00285EF0">
      <w:pPr>
        <w:pStyle w:val="CitaviBibliographyEntry"/>
        <w:spacing w:after="120"/>
        <w:ind w:left="0" w:firstLine="0"/>
        <w:rPr>
          <w:rFonts w:cs="Arial"/>
          <w:sz w:val="20"/>
          <w:szCs w:val="20"/>
        </w:rPr>
      </w:pPr>
      <w:bookmarkStart w:id="1023" w:name="_CTVL0018e888a7492be40eab813d214f6c28247"/>
      <w:bookmarkEnd w:id="1022"/>
      <w:r w:rsidRPr="00A24218">
        <w:rPr>
          <w:rFonts w:cs="Arial"/>
          <w:sz w:val="20"/>
          <w:szCs w:val="20"/>
        </w:rPr>
        <w:t xml:space="preserve">Wijnands LM, Delfgou-van Asch EHM, Beerepoot-Mensink ME, van der Meij-Florijn A, Fitz-James I, van Leusden FM, Pielaat A (2014) Prevalence and concentration of bacterial pathogens in raw produce and minimally processed packaged salads produced in and for the Netherlands. Journal of Food Protection 77:388–394. </w:t>
      </w:r>
      <w:hyperlink r:id="rId546" w:history="1">
        <w:r w:rsidRPr="00A24218">
          <w:rPr>
            <w:rStyle w:val="Hyperlink"/>
            <w:rFonts w:cs="Arial"/>
            <w:sz w:val="20"/>
            <w:szCs w:val="20"/>
          </w:rPr>
          <w:t>https://doi.org/10.4315/0362-028X.JFP-13-135</w:t>
        </w:r>
      </w:hyperlink>
    </w:p>
    <w:p w14:paraId="01B6D7BB" w14:textId="77777777" w:rsidR="00B36DA8" w:rsidRDefault="00B36DA8">
      <w:pPr>
        <w:widowControl/>
        <w:rPr>
          <w:rFonts w:cs="Arial"/>
          <w:color w:val="000000" w:themeColor="text1"/>
          <w:sz w:val="20"/>
          <w:szCs w:val="20"/>
        </w:rPr>
      </w:pPr>
      <w:bookmarkStart w:id="1024" w:name="_CTVL00198405368cfa04e18a0b58c0f6e60b295"/>
      <w:bookmarkEnd w:id="1023"/>
      <w:r>
        <w:rPr>
          <w:rFonts w:cs="Arial"/>
          <w:sz w:val="20"/>
          <w:szCs w:val="20"/>
        </w:rPr>
        <w:br w:type="page"/>
      </w:r>
    </w:p>
    <w:p w14:paraId="3C820328" w14:textId="6CBF4B40" w:rsidR="00285EF0" w:rsidRPr="00A24218" w:rsidRDefault="00285EF0" w:rsidP="00285EF0">
      <w:pPr>
        <w:pStyle w:val="CitaviBibliographyEntry"/>
        <w:spacing w:after="120"/>
        <w:ind w:left="0" w:firstLine="0"/>
        <w:rPr>
          <w:rFonts w:cs="Arial"/>
          <w:sz w:val="20"/>
          <w:szCs w:val="20"/>
        </w:rPr>
      </w:pPr>
      <w:r w:rsidRPr="00A24218">
        <w:rPr>
          <w:rFonts w:cs="Arial"/>
          <w:sz w:val="20"/>
          <w:szCs w:val="20"/>
        </w:rPr>
        <w:t xml:space="preserve">Willis C, McLauchlin J, Amar C, Sadler-Reeves L, Elviss N, Aird H, Fox A, Kaye M (2016) Assessment of the microbiological safety of precut fruit from retail and catering premises in the United Kingdom. Journal of Food Protection 79:598–604. </w:t>
      </w:r>
      <w:hyperlink r:id="rId547" w:history="1">
        <w:r w:rsidRPr="00A24218">
          <w:rPr>
            <w:rStyle w:val="Hyperlink"/>
            <w:rFonts w:cs="Arial"/>
            <w:sz w:val="20"/>
            <w:szCs w:val="20"/>
          </w:rPr>
          <w:t>https://doi.org/10.4315/0362-028X.JFP-15-460</w:t>
        </w:r>
      </w:hyperlink>
    </w:p>
    <w:p w14:paraId="62BFE9D3" w14:textId="0A4772FB" w:rsidR="00285EF0" w:rsidRPr="00A24218" w:rsidRDefault="00285EF0" w:rsidP="00285EF0">
      <w:pPr>
        <w:pStyle w:val="CitaviBibliographyEntry"/>
        <w:spacing w:after="120"/>
        <w:ind w:left="0" w:firstLine="0"/>
        <w:rPr>
          <w:rFonts w:cs="Arial"/>
          <w:sz w:val="20"/>
          <w:szCs w:val="20"/>
        </w:rPr>
      </w:pPr>
      <w:bookmarkStart w:id="1025" w:name="_CTVL001df836855844142c3855188ec42cafb37"/>
      <w:bookmarkEnd w:id="1024"/>
      <w:r w:rsidRPr="00A24218">
        <w:rPr>
          <w:rFonts w:cs="Arial"/>
          <w:sz w:val="20"/>
          <w:szCs w:val="20"/>
        </w:rPr>
        <w:t>Wood JL, Chen JC, Friesen E, Delaquis P, Allen KJ (2015) Microbiological survey of locally grown lettuce sold at farmers</w:t>
      </w:r>
      <w:r w:rsidR="00DB681B">
        <w:rPr>
          <w:rFonts w:cs="Arial"/>
          <w:sz w:val="20"/>
          <w:szCs w:val="20"/>
        </w:rPr>
        <w:t>’ markets in Vancouver, British </w:t>
      </w:r>
      <w:r w:rsidRPr="00A24218">
        <w:rPr>
          <w:rFonts w:cs="Arial"/>
          <w:sz w:val="20"/>
          <w:szCs w:val="20"/>
        </w:rPr>
        <w:t xml:space="preserve">Columbia. Journal of Food Protection 78:203–208. </w:t>
      </w:r>
      <w:hyperlink r:id="rId548" w:history="1">
        <w:r w:rsidRPr="00A24218">
          <w:rPr>
            <w:rStyle w:val="Hyperlink"/>
            <w:rFonts w:cs="Arial"/>
            <w:sz w:val="20"/>
            <w:szCs w:val="20"/>
          </w:rPr>
          <w:t>https://doi.org/10.4315/0362-028X.JFP-14-199</w:t>
        </w:r>
      </w:hyperlink>
    </w:p>
    <w:p w14:paraId="24C7058E" w14:textId="77777777" w:rsidR="00285EF0" w:rsidRPr="00A24218" w:rsidRDefault="00285EF0" w:rsidP="00285EF0">
      <w:pPr>
        <w:pStyle w:val="CitaviBibliographyEntry"/>
        <w:spacing w:after="120"/>
        <w:ind w:left="0" w:firstLine="0"/>
        <w:rPr>
          <w:rFonts w:cs="Arial"/>
          <w:sz w:val="20"/>
          <w:szCs w:val="20"/>
        </w:rPr>
      </w:pPr>
      <w:bookmarkStart w:id="1026" w:name="_CTVL0011eee5dd9581744efad5e7a3996f1559e"/>
      <w:bookmarkEnd w:id="1025"/>
      <w:r w:rsidRPr="00A24218">
        <w:rPr>
          <w:rFonts w:cs="Arial"/>
          <w:sz w:val="20"/>
          <w:szCs w:val="20"/>
        </w:rPr>
        <w:t xml:space="preserve">Zhang G, Chen Y, Hu L, Melka D, Wang H, Laasri A, Brown EW, Strain E, Allard M, Bunning VK, Parish M, Musser SM, Hammack TS (2018) Survey of foodborne pathogens, aerobic plate counts, total coliform counts, and </w:t>
      </w:r>
      <w:r w:rsidRPr="00FA76C9">
        <w:rPr>
          <w:rFonts w:cs="Arial"/>
          <w:i/>
          <w:sz w:val="20"/>
          <w:szCs w:val="20"/>
        </w:rPr>
        <w:t>Escherichia coli</w:t>
      </w:r>
      <w:r w:rsidRPr="00A24218">
        <w:rPr>
          <w:rFonts w:cs="Arial"/>
          <w:sz w:val="20"/>
          <w:szCs w:val="20"/>
        </w:rPr>
        <w:t xml:space="preserve"> counts in leafy greens, sprouts, and melons marketed in </w:t>
      </w:r>
      <w:r>
        <w:rPr>
          <w:rFonts w:cs="Arial"/>
          <w:sz w:val="20"/>
          <w:szCs w:val="20"/>
        </w:rPr>
        <w:t>the United </w:t>
      </w:r>
      <w:r w:rsidRPr="00A24218">
        <w:rPr>
          <w:rFonts w:cs="Arial"/>
          <w:sz w:val="20"/>
          <w:szCs w:val="20"/>
        </w:rPr>
        <w:t xml:space="preserve">States. Journal of Food Protection 81:400–411. </w:t>
      </w:r>
      <w:hyperlink r:id="rId549" w:history="1">
        <w:r w:rsidRPr="00A24218">
          <w:rPr>
            <w:rStyle w:val="Hyperlink"/>
            <w:rFonts w:cs="Arial"/>
            <w:sz w:val="20"/>
            <w:szCs w:val="20"/>
          </w:rPr>
          <w:t>https://doi.org/10.4315/0362-028X.JFP-17-253</w:t>
        </w:r>
      </w:hyperlink>
      <w:bookmarkEnd w:id="1026"/>
    </w:p>
    <w:p w14:paraId="022CF188" w14:textId="77777777" w:rsidR="00285EF0" w:rsidRPr="00594090" w:rsidRDefault="00285EF0" w:rsidP="00285EF0">
      <w:pPr>
        <w:sectPr w:rsidR="00285EF0" w:rsidRPr="00594090" w:rsidSect="009327FE">
          <w:pgSz w:w="16838" w:h="11906" w:orient="landscape"/>
          <w:pgMar w:top="1418" w:right="1418" w:bottom="1418" w:left="1418" w:header="709" w:footer="709" w:gutter="0"/>
          <w:cols w:space="708"/>
          <w:docGrid w:linePitch="360"/>
        </w:sectPr>
      </w:pPr>
    </w:p>
    <w:p w14:paraId="113A92D3" w14:textId="47AF2C79" w:rsidR="00285EF0" w:rsidRDefault="00C839B6" w:rsidP="00285EF0">
      <w:pPr>
        <w:pStyle w:val="Heading2"/>
      </w:pPr>
      <w:bookmarkStart w:id="1027" w:name="_Toc87860092"/>
      <w:r>
        <w:t>Appendix 4</w:t>
      </w:r>
      <w:r w:rsidRPr="00C839B6">
        <w:t xml:space="preserve"> – </w:t>
      </w:r>
      <w:r w:rsidR="00285EF0">
        <w:t>Commodity Consumption</w:t>
      </w:r>
      <w:bookmarkEnd w:id="983"/>
      <w:r w:rsidR="00285EF0">
        <w:rPr>
          <w:rStyle w:val="FootnoteReference"/>
        </w:rPr>
        <w:footnoteReference w:id="26"/>
      </w:r>
      <w:bookmarkEnd w:id="1027"/>
    </w:p>
    <w:p w14:paraId="0F1F66C6" w14:textId="77777777" w:rsidR="00285EF0" w:rsidRDefault="00285EF0" w:rsidP="00787E56">
      <w:pPr>
        <w:pStyle w:val="Heading3"/>
      </w:pPr>
      <w:bookmarkStart w:id="1029" w:name="_Toc58327774"/>
      <w:bookmarkStart w:id="1030" w:name="_Toc58333954"/>
      <w:bookmarkStart w:id="1031" w:name="_Toc58336801"/>
      <w:bookmarkStart w:id="1032" w:name="_Toc66883052"/>
      <w:bookmarkStart w:id="1033" w:name="_Toc87614454"/>
      <w:bookmarkStart w:id="1034" w:name="_Toc87860093"/>
      <w:r>
        <w:t>Consumption by commodity sector</w:t>
      </w:r>
      <w:bookmarkEnd w:id="1029"/>
      <w:bookmarkEnd w:id="1030"/>
      <w:bookmarkEnd w:id="1031"/>
      <w:bookmarkEnd w:id="1032"/>
      <w:bookmarkEnd w:id="1033"/>
      <w:bookmarkEnd w:id="1034"/>
    </w:p>
    <w:p w14:paraId="42B6744D" w14:textId="7277D1A1" w:rsidR="00285EF0" w:rsidRDefault="00285EF0" w:rsidP="00285EF0">
      <w:r>
        <w:t>To provide an indication of the overall consumption for the commodity sectors, the consumption data has been summarised for those leafy vegetables eaten ‘as is’ (</w:t>
      </w:r>
      <w:r w:rsidRPr="00DF6333">
        <w:t>i.e.</w:t>
      </w:r>
      <w:r>
        <w:t xml:space="preserve"> fresh or raw), eaten combined fresh and raw ‘as salads’, and also eaten as part of a ‘mixed dishes’. This is because not all leafy vegetables, melons, and berries produced in Australia will be consumed fresh, some will be cooked or mixed with other products and processed in a variety of ways. ‘Mixed dishes’ represent those dishes that may combine multiple foods and may or may not be cooked</w:t>
      </w:r>
      <w:r>
        <w:rPr>
          <w:rStyle w:val="FootnoteReference"/>
        </w:rPr>
        <w:footnoteReference w:id="27"/>
      </w:r>
      <w:r>
        <w:t xml:space="preserve">. Cooking will reduce the likelihood of pathogens being present when consumed and therefore the risk. As such, to understand the potential risk associated with fresh produce it is important to understand what proportions of commodities are consumed as is or are potentially undergoing some type of processing that could </w:t>
      </w:r>
      <w:r w:rsidR="006B32C8">
        <w:t>provide a reduction in risk.</w:t>
      </w:r>
    </w:p>
    <w:p w14:paraId="6C98748D" w14:textId="77777777" w:rsidR="00285EF0" w:rsidRDefault="00285EF0" w:rsidP="00285EF0"/>
    <w:p w14:paraId="2FBC4979" w14:textId="77777777" w:rsidR="00285EF0" w:rsidRDefault="00285EF0" w:rsidP="00285EF0">
      <w:r>
        <w:t>Leafy vegetable consumption has been summarised for leafy vegetables eaten as is, eaten as salads and from mixed dishes.</w:t>
      </w:r>
    </w:p>
    <w:p w14:paraId="655B715C" w14:textId="77777777" w:rsidR="00285EF0" w:rsidRDefault="00285EF0" w:rsidP="00285EF0"/>
    <w:p w14:paraId="0018BE6D" w14:textId="77777777" w:rsidR="00285EF0" w:rsidRDefault="00285EF0" w:rsidP="00285EF0">
      <w:r>
        <w:t xml:space="preserve">For berries, consumption has been summarised for berries eaten as is (this includes both fresh and frozen berries), from mixed dishes (a list of the mixed dishes is provided in </w:t>
      </w:r>
      <w:r w:rsidRPr="00052FB2">
        <w:t>Appendix 5), and</w:t>
      </w:r>
      <w:r>
        <w:t xml:space="preserve"> as juices. Juices may or may not undergo a pathogen reduction step depending on if they are made in the home with fresh or frozen berries or produced commercially where heat and/or pressure may be used in production to reduce the likelihood of contamination by pathogens.</w:t>
      </w:r>
    </w:p>
    <w:p w14:paraId="504E1392" w14:textId="77777777" w:rsidR="00285EF0" w:rsidRDefault="00285EF0" w:rsidP="00285EF0"/>
    <w:p w14:paraId="5E5195D1" w14:textId="77777777" w:rsidR="00285EF0" w:rsidRDefault="00285EF0" w:rsidP="00285EF0">
      <w:r>
        <w:t>Melon consumption has been summarised for melons eaten as is and from mixed dishes as no other category had sufficient responses to be included.</w:t>
      </w:r>
    </w:p>
    <w:p w14:paraId="7AED48DE" w14:textId="77777777" w:rsidR="00285EF0" w:rsidRDefault="00285EF0" w:rsidP="00285EF0"/>
    <w:p w14:paraId="7C115399" w14:textId="77777777" w:rsidR="00285EF0" w:rsidRDefault="00285EF0" w:rsidP="00285EF0">
      <w:r>
        <w:t>The percentage of respondents reporting to consume products from the commodity sectors as is (</w:t>
      </w:r>
      <w:r w:rsidRPr="00DF6333">
        <w:t>i.e</w:t>
      </w:r>
      <w:r>
        <w:t>. fresh or raw) as well as from mixed dishes, as salads (leafy vegetables only), or as juices (berries only),</w:t>
      </w:r>
      <w:r>
        <w:rPr>
          <w:b/>
        </w:rPr>
        <w:t xml:space="preserve"> </w:t>
      </w:r>
      <w:r w:rsidRPr="008A5393">
        <w:t>and</w:t>
      </w:r>
      <w:r>
        <w:t xml:space="preserve"> the percentage of respondents only reporting to consume products from the commodity sectors as is (</w:t>
      </w:r>
      <w:r w:rsidRPr="00DF6333">
        <w:t>i.e.</w:t>
      </w:r>
      <w:r>
        <w:t xml:space="preserve"> fresh or raw) are presented </w:t>
      </w:r>
      <w:r w:rsidRPr="00097E65">
        <w:t>in</w:t>
      </w:r>
      <w:r>
        <w:t xml:space="preserve"> Figure A4-1</w:t>
      </w:r>
      <w:r w:rsidRPr="00097E65">
        <w:t>.</w:t>
      </w:r>
      <w:r>
        <w:t xml:space="preserve"> The mean daily amounts consumed for respondents reporting to consume products from the commodity sectors are presented in Figure A4-2.</w:t>
      </w:r>
    </w:p>
    <w:p w14:paraId="3FC1049A" w14:textId="77777777" w:rsidR="00285EF0" w:rsidRDefault="00285EF0" w:rsidP="00285EF0">
      <w:pPr>
        <w:rPr>
          <w:b/>
        </w:rPr>
      </w:pPr>
    </w:p>
    <w:p w14:paraId="1AC7CEA3" w14:textId="77777777" w:rsidR="00B36DA8" w:rsidRDefault="00B36DA8">
      <w:pPr>
        <w:widowControl/>
        <w:rPr>
          <w:b/>
        </w:rPr>
      </w:pPr>
      <w:r>
        <w:rPr>
          <w:b/>
        </w:rPr>
        <w:br w:type="page"/>
      </w:r>
    </w:p>
    <w:p w14:paraId="6ADA50B3" w14:textId="3994C149" w:rsidR="00285EF0" w:rsidRPr="00286B9B" w:rsidRDefault="00285EF0" w:rsidP="00285EF0">
      <w:pPr>
        <w:rPr>
          <w:b/>
        </w:rPr>
      </w:pPr>
      <w:r w:rsidRPr="00286B9B">
        <w:rPr>
          <w:b/>
        </w:rPr>
        <w:t>Leafy vege</w:t>
      </w:r>
      <w:r>
        <w:rPr>
          <w:b/>
        </w:rPr>
        <w:t>table commodity sector consumption</w:t>
      </w:r>
    </w:p>
    <w:p w14:paraId="5456CB2D" w14:textId="77777777" w:rsidR="00285EF0" w:rsidRDefault="00285EF0" w:rsidP="00285EF0"/>
    <w:p w14:paraId="20BD69C5" w14:textId="77777777" w:rsidR="00285EF0" w:rsidRDefault="00285EF0" w:rsidP="00285EF0">
      <w:r>
        <w:t>The types of leafy vegetables included in the survey that were eaten as is included; Lettuce, cos, raw; Lettuce, iceberg, raw; Lettuce, mignonette, raw; Lettuce, raw, not further defined; Parsley, continental, raw; Parsley, curly, raw; Parsley, not further defined, raw; Rocket, raw; Mixed leafy greens, for salad recipes, lettuce, spinach &amp; rocket, raw; Silverbeet, fresh or frozen, raw; Spinach (fresh, raw); and Mixed vegetables, fresh or frozen, raw.</w:t>
      </w:r>
    </w:p>
    <w:p w14:paraId="1D8F7E0A" w14:textId="77777777" w:rsidR="00285EF0" w:rsidRDefault="00285EF0" w:rsidP="00285EF0"/>
    <w:p w14:paraId="24E30673" w14:textId="3CA23842" w:rsidR="00285EF0" w:rsidRDefault="00285EF0" w:rsidP="00285EF0">
      <w:r>
        <w:t>The types of leafy vegetables included in the survey that were eaten as salads included; Chinese cabbage (Pe-tsai, Celery cabbage, Pak-tsai</w:t>
      </w:r>
      <w:r w:rsidR="00DB681B">
        <w:t>); Lettuce, cos, raw; Lettuce, h</w:t>
      </w:r>
      <w:r>
        <w:t>ead; Rucola (Arrugula, Rocket salad, Roquette); and Spinach. The list of mixed dishes including leafy vegetables is not provided as it includes dishes that may or may not be cooked or processed.</w:t>
      </w:r>
    </w:p>
    <w:p w14:paraId="347B21D3" w14:textId="77777777" w:rsidR="00285EF0" w:rsidRDefault="00285EF0" w:rsidP="00285EF0"/>
    <w:p w14:paraId="72CD7065" w14:textId="77777777" w:rsidR="00285EF0" w:rsidRPr="007720B1" w:rsidRDefault="00285EF0" w:rsidP="00285EF0">
      <w:r w:rsidRPr="007720B1">
        <w:t>Respondents that reported eating fresh leafy vegetables as is, as a salad, and from mixed dishes were greater than 50% in each age grou</w:t>
      </w:r>
      <w:r>
        <w:t>p ((2-16 year group (51%), 17-</w:t>
      </w:r>
      <w:r w:rsidRPr="007720B1">
        <w:t>69 years (69%), 70+ years (57%)) (</w:t>
      </w:r>
      <w:r>
        <w:t xml:space="preserve">Figure A4-1 </w:t>
      </w:r>
      <w:r w:rsidRPr="00EA5432">
        <w:t>A</w:t>
      </w:r>
      <w:r w:rsidRPr="007720B1">
        <w:t>). The mean daily amount consumed was sim</w:t>
      </w:r>
      <w:r>
        <w:t>ilar across the age groups 17-</w:t>
      </w:r>
      <w:r w:rsidRPr="007720B1">
        <w:t>69 years (30g/day), and 70+ years (24g/day)), and lowest for the 2-16 year group (17g/day) (</w:t>
      </w:r>
      <w:r>
        <w:t>Figure A4-2 A</w:t>
      </w:r>
      <w:r w:rsidRPr="007720B1">
        <w:t xml:space="preserve">). </w:t>
      </w:r>
    </w:p>
    <w:p w14:paraId="4E5DBD3D" w14:textId="77777777" w:rsidR="00285EF0" w:rsidRPr="007720B1" w:rsidRDefault="00285EF0" w:rsidP="00285EF0"/>
    <w:p w14:paraId="7D31B263" w14:textId="77777777" w:rsidR="00285EF0" w:rsidRPr="007720B1" w:rsidRDefault="00285EF0" w:rsidP="00285EF0">
      <w:r w:rsidRPr="007720B1">
        <w:t>The percentage of respondent consuming leafy vegetables as par</w:t>
      </w:r>
      <w:r>
        <w:t>t of a salad were greatest 17-</w:t>
      </w:r>
      <w:r w:rsidRPr="007720B1">
        <w:t>69 years (20%), 70+ years (17%), followed by 2-16 year group (11%). The mean daily amount consu</w:t>
      </w:r>
      <w:r>
        <w:t>med highest in the 17-</w:t>
      </w:r>
      <w:r w:rsidRPr="007720B1">
        <w:t xml:space="preserve">69 years (25g/day) followed by 70+ years (19g/day)), and lowest for the 2-16 year group (14g/day) (data not shown). </w:t>
      </w:r>
    </w:p>
    <w:p w14:paraId="76956903" w14:textId="77777777" w:rsidR="00285EF0" w:rsidRPr="007720B1" w:rsidRDefault="00285EF0" w:rsidP="00285EF0"/>
    <w:p w14:paraId="5CEA8B67" w14:textId="57067BC6" w:rsidR="00285EF0" w:rsidRPr="00321A57" w:rsidRDefault="00285EF0" w:rsidP="00285EF0">
      <w:r w:rsidRPr="007720B1">
        <w:t>Leafy vegetables only eaten as is were consumed by the greatest percen</w:t>
      </w:r>
      <w:r>
        <w:t>tage of respondents in the 17-</w:t>
      </w:r>
      <w:r w:rsidRPr="007720B1">
        <w:t>69 years (17.4%) group, follow</w:t>
      </w:r>
      <w:r>
        <w:t>ed by 70+ years (15.1%) and 2-</w:t>
      </w:r>
      <w:r w:rsidR="00DB681B">
        <w:t>16 </w:t>
      </w:r>
      <w:r w:rsidRPr="007720B1">
        <w:t>years (10.1%) (</w:t>
      </w:r>
      <w:r>
        <w:t xml:space="preserve">Figure A4-1 </w:t>
      </w:r>
      <w:r w:rsidRPr="007720B1">
        <w:t xml:space="preserve">B). The mean daily amount consumed was similar across the age groups </w:t>
      </w:r>
      <w:r>
        <w:t>(2-16 year group (21g/day),17-</w:t>
      </w:r>
      <w:r w:rsidRPr="007720B1">
        <w:t>69 years (29g/day), and 70+ years (28g/day)) (</w:t>
      </w:r>
      <w:r>
        <w:t xml:space="preserve">Figure A4-2 </w:t>
      </w:r>
      <w:r w:rsidRPr="007720B1">
        <w:t xml:space="preserve">B). </w:t>
      </w:r>
    </w:p>
    <w:p w14:paraId="2CF2DD3D" w14:textId="77777777" w:rsidR="00285EF0" w:rsidRPr="00321A57" w:rsidRDefault="00285EF0" w:rsidP="00285EF0"/>
    <w:p w14:paraId="7C1E396F" w14:textId="77777777" w:rsidR="00285EF0" w:rsidRPr="00321A57" w:rsidRDefault="00285EF0" w:rsidP="00285EF0">
      <w:r>
        <w:t xml:space="preserve">The survey results indicate that </w:t>
      </w:r>
      <w:r w:rsidRPr="00321A57">
        <w:t xml:space="preserve">leafy vegetables were eaten by </w:t>
      </w:r>
      <w:r>
        <w:t xml:space="preserve">a large proportion of respondents </w:t>
      </w:r>
      <w:r w:rsidRPr="00321A57">
        <w:t>mainly</w:t>
      </w:r>
      <w:r>
        <w:t xml:space="preserve"> as</w:t>
      </w:r>
      <w:r w:rsidRPr="00321A57">
        <w:t xml:space="preserve"> mixed dishes </w:t>
      </w:r>
      <w:r>
        <w:t>(</w:t>
      </w:r>
      <w:r w:rsidRPr="00321A57">
        <w:t>that may</w:t>
      </w:r>
      <w:r>
        <w:t xml:space="preserve"> or may not </w:t>
      </w:r>
      <w:r w:rsidRPr="00321A57">
        <w:t>have been cooked reducing the likelihood for pathogens to be present at consumption</w:t>
      </w:r>
      <w:r>
        <w:t>),</w:t>
      </w:r>
      <w:r w:rsidRPr="00321A57">
        <w:t xml:space="preserve"> and a lower proportion ate leafy vegetables as </w:t>
      </w:r>
      <w:r>
        <w:t xml:space="preserve">is </w:t>
      </w:r>
      <w:r w:rsidRPr="00321A57">
        <w:t xml:space="preserve">with </w:t>
      </w:r>
      <w:r>
        <w:t xml:space="preserve">little or </w:t>
      </w:r>
      <w:r w:rsidRPr="00321A57">
        <w:t>no further processing</w:t>
      </w:r>
      <w:r>
        <w:t>. The average amount consumed was</w:t>
      </w:r>
      <w:r w:rsidRPr="00321A57">
        <w:t xml:space="preserve"> </w:t>
      </w:r>
      <w:r>
        <w:t xml:space="preserve">generally </w:t>
      </w:r>
      <w:r w:rsidRPr="00321A57">
        <w:t>less than 30g/day.</w:t>
      </w:r>
    </w:p>
    <w:p w14:paraId="2E8E5415" w14:textId="77777777" w:rsidR="00285EF0" w:rsidRDefault="00285EF0" w:rsidP="00285EF0"/>
    <w:p w14:paraId="253C6DBE" w14:textId="77777777" w:rsidR="00285EF0" w:rsidRDefault="00285EF0" w:rsidP="00285EF0">
      <w:pPr>
        <w:keepNext/>
        <w:jc w:val="right"/>
      </w:pPr>
      <w:r>
        <w:rPr>
          <w:b/>
          <w:noProof/>
          <w:lang w:eastAsia="en-GB" w:bidi="ar-SA"/>
        </w:rPr>
        <w:drawing>
          <wp:inline distT="0" distB="0" distL="0" distR="0" wp14:anchorId="2B8A7D13" wp14:editId="7AED1272">
            <wp:extent cx="4990686" cy="6486475"/>
            <wp:effectExtent l="0" t="0" r="635" b="0"/>
            <wp:docPr id="5" name="Picture 5" descr="C:\Users\bartlz\AppData\Local\Microsoft\Windows\INetCache\Content.Word\Comparison by s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tlz\AppData\Local\Microsoft\Windows\INetCache\Content.Word\Comparison by sector.jpg"/>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4993119" cy="6489637"/>
                    </a:xfrm>
                    <a:prstGeom prst="rect">
                      <a:avLst/>
                    </a:prstGeom>
                    <a:noFill/>
                    <a:ln>
                      <a:noFill/>
                    </a:ln>
                  </pic:spPr>
                </pic:pic>
              </a:graphicData>
            </a:graphic>
          </wp:inline>
        </w:drawing>
      </w:r>
    </w:p>
    <w:p w14:paraId="1A4AC9C6" w14:textId="77777777" w:rsidR="00285EF0" w:rsidRDefault="00285EF0" w:rsidP="00285EF0">
      <w:pPr>
        <w:pStyle w:val="Caption"/>
      </w:pPr>
      <w:bookmarkStart w:id="1035" w:name="_Ref58344729"/>
      <w:r>
        <w:t xml:space="preserve">Figure </w:t>
      </w:r>
      <w:bookmarkEnd w:id="1035"/>
      <w:r>
        <w:t>A4-1. The percentage of respondents reporting to consume products from the commodity sectors as is (</w:t>
      </w:r>
      <w:r w:rsidRPr="00DF6333">
        <w:t>i.e</w:t>
      </w:r>
      <w:r>
        <w:t>. fresh or raw) as well as from mixed dishes, as salads (leafy vegetables only), or as juices (berries only) (</w:t>
      </w:r>
      <w:r w:rsidRPr="00251899">
        <w:rPr>
          <w:b/>
        </w:rPr>
        <w:t>A</w:t>
      </w:r>
      <w:r>
        <w:t>)</w:t>
      </w:r>
      <w:r>
        <w:rPr>
          <w:b/>
        </w:rPr>
        <w:t xml:space="preserve"> </w:t>
      </w:r>
      <w:r w:rsidRPr="008A5393">
        <w:t>and</w:t>
      </w:r>
      <w:r>
        <w:t xml:space="preserve"> the percentage of respondents only reporting to consume the products as is (</w:t>
      </w:r>
      <w:r w:rsidRPr="00251899">
        <w:rPr>
          <w:b/>
        </w:rPr>
        <w:t>B</w:t>
      </w:r>
      <w:r>
        <w:t>).</w:t>
      </w:r>
    </w:p>
    <w:p w14:paraId="422B69CD" w14:textId="77777777" w:rsidR="00285EF0" w:rsidRPr="00073018" w:rsidRDefault="00285EF0" w:rsidP="00285EF0">
      <w:pPr>
        <w:rPr>
          <w:b/>
        </w:rPr>
      </w:pPr>
      <w:r w:rsidRPr="00073018">
        <w:rPr>
          <w:b/>
        </w:rPr>
        <w:t>Berry</w:t>
      </w:r>
      <w:r>
        <w:rPr>
          <w:b/>
        </w:rPr>
        <w:t xml:space="preserve"> commodity sector</w:t>
      </w:r>
      <w:r w:rsidRPr="00073018">
        <w:rPr>
          <w:b/>
        </w:rPr>
        <w:t xml:space="preserve"> consumption</w:t>
      </w:r>
    </w:p>
    <w:p w14:paraId="1686B225" w14:textId="77777777" w:rsidR="00285EF0" w:rsidRDefault="00285EF0" w:rsidP="00285EF0"/>
    <w:p w14:paraId="486CF2A8" w14:textId="77777777" w:rsidR="00285EF0" w:rsidRDefault="00285EF0" w:rsidP="00285EF0">
      <w:r>
        <w:t xml:space="preserve">The berry types reported in the survey to be consumed as is included; fresh and frozen Raspberry, Blueberry, Strawberry, Blackberry; and fresh Cranberry and Mulberry. Example lists of types of mixed dishes reported to be consumed and include a type of berry are </w:t>
      </w:r>
      <w:r w:rsidRPr="00052FB2">
        <w:t>provided in Appendix 5.</w:t>
      </w:r>
      <w:r>
        <w:t xml:space="preserve"> </w:t>
      </w:r>
    </w:p>
    <w:p w14:paraId="16A6003C" w14:textId="77777777" w:rsidR="00285EF0" w:rsidRDefault="00285EF0" w:rsidP="00285EF0"/>
    <w:p w14:paraId="7ABEECB7" w14:textId="77777777" w:rsidR="00B36DA8" w:rsidRDefault="00B36DA8">
      <w:pPr>
        <w:widowControl/>
      </w:pPr>
      <w:r>
        <w:br w:type="page"/>
      </w:r>
    </w:p>
    <w:p w14:paraId="15EA3466" w14:textId="05DC97F9" w:rsidR="00DB681B" w:rsidRDefault="00285EF0" w:rsidP="00285EF0">
      <w:r w:rsidRPr="007720B1">
        <w:t>The percentage of respondents that reported eating berries as is, as mixed dishes, or as fruit juice were highest for the 2-16 year group (36%), follow</w:t>
      </w:r>
      <w:r>
        <w:t xml:space="preserve">ed by 70+ years (29%), and </w:t>
      </w:r>
    </w:p>
    <w:p w14:paraId="7963B22B" w14:textId="0B3B7B7B" w:rsidR="00285EF0" w:rsidRDefault="00285EF0" w:rsidP="00285EF0">
      <w:r>
        <w:t>17-</w:t>
      </w:r>
      <w:r w:rsidRPr="007720B1">
        <w:t>69</w:t>
      </w:r>
      <w:r w:rsidR="00DB681B">
        <w:t> </w:t>
      </w:r>
      <w:r w:rsidRPr="007720B1">
        <w:t>years (26%) (</w:t>
      </w:r>
      <w:r>
        <w:t xml:space="preserve">Figure A4-1 </w:t>
      </w:r>
      <w:r w:rsidRPr="007720B1">
        <w:t>A). The mean daily amount consumed was similar across the age groups (2-16 year group (30g/day),</w:t>
      </w:r>
      <w:r>
        <w:t xml:space="preserve"> 17-</w:t>
      </w:r>
      <w:r w:rsidRPr="007720B1">
        <w:t>69 years (32g/day), and 70+ years (31g/day)) (</w:t>
      </w:r>
      <w:r>
        <w:t xml:space="preserve">Figure A4-2 </w:t>
      </w:r>
      <w:r w:rsidR="006B32C8">
        <w:t>A).</w:t>
      </w:r>
    </w:p>
    <w:p w14:paraId="00B71A8E" w14:textId="77777777" w:rsidR="00285EF0" w:rsidRDefault="00285EF0" w:rsidP="00285EF0"/>
    <w:p w14:paraId="0B8261AD" w14:textId="77777777" w:rsidR="00285EF0" w:rsidRDefault="00285EF0" w:rsidP="00285EF0">
      <w:r>
        <w:t>The percentage of respondents that reported eating berries only as mixed dishes was highest for the 2-16 year group (28</w:t>
      </w:r>
      <w:r w:rsidRPr="001D348E">
        <w:t>%)</w:t>
      </w:r>
      <w:r>
        <w:t>, followed by 70+ years (23</w:t>
      </w:r>
      <w:r w:rsidRPr="001D348E">
        <w:t>%)</w:t>
      </w:r>
      <w:r>
        <w:t>, and 17-69 years (20%). The mean daily amount consumed was similar across the age groups ((2-16 year group (4g/day</w:t>
      </w:r>
      <w:r w:rsidRPr="001D348E">
        <w:t>)</w:t>
      </w:r>
      <w:r>
        <w:t>,17-69 years (5g/day), and 70+ years (5g/day</w:t>
      </w:r>
      <w:r w:rsidRPr="001D348E">
        <w:t>)</w:t>
      </w:r>
      <w:r>
        <w:t xml:space="preserve">). </w:t>
      </w:r>
    </w:p>
    <w:p w14:paraId="23E9E425" w14:textId="77777777" w:rsidR="00285EF0" w:rsidRDefault="00285EF0" w:rsidP="00285EF0"/>
    <w:p w14:paraId="5EE22A8E" w14:textId="77777777" w:rsidR="00285EF0" w:rsidRDefault="00285EF0" w:rsidP="00285EF0">
      <w:r>
        <w:t>The percentage of respondents that reported eating berries only as juice was low for all age groups (2-16 year group (3%), (70+ years (1%), (17-69 years (1%)). The mean daily amount consumed differed slightly across the age groups ((2-16 year group (2g/day</w:t>
      </w:r>
      <w:r w:rsidRPr="001D348E">
        <w:t>)</w:t>
      </w:r>
      <w:r>
        <w:t>,17-69 years (8g/day), and 70+ years (0.3g/day</w:t>
      </w:r>
      <w:r w:rsidRPr="001D348E">
        <w:t>)</w:t>
      </w:r>
      <w:r>
        <w:t>).</w:t>
      </w:r>
    </w:p>
    <w:p w14:paraId="25877A3E" w14:textId="77777777" w:rsidR="00285EF0" w:rsidRDefault="00285EF0" w:rsidP="00285EF0"/>
    <w:p w14:paraId="596966DA" w14:textId="77777777" w:rsidR="00285EF0" w:rsidRDefault="00285EF0" w:rsidP="00285EF0">
      <w:pPr>
        <w:keepNext/>
        <w:jc w:val="right"/>
      </w:pPr>
      <w:r>
        <w:rPr>
          <w:noProof/>
          <w:lang w:eastAsia="en-GB" w:bidi="ar-SA"/>
        </w:rPr>
        <w:drawing>
          <wp:inline distT="0" distB="0" distL="0" distR="0" wp14:anchorId="73E9A9BB" wp14:editId="662150C2">
            <wp:extent cx="4733925" cy="5391150"/>
            <wp:effectExtent l="0" t="0" r="9525" b="0"/>
            <wp:docPr id="12" name="Picture 12" descr="Amount consumed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ount consumed sectors"/>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4733925" cy="5391150"/>
                    </a:xfrm>
                    <a:prstGeom prst="rect">
                      <a:avLst/>
                    </a:prstGeom>
                    <a:noFill/>
                    <a:ln>
                      <a:noFill/>
                    </a:ln>
                  </pic:spPr>
                </pic:pic>
              </a:graphicData>
            </a:graphic>
          </wp:inline>
        </w:drawing>
      </w:r>
    </w:p>
    <w:p w14:paraId="3B9B9A3A" w14:textId="77777777" w:rsidR="00285EF0" w:rsidRDefault="00285EF0" w:rsidP="00285EF0">
      <w:pPr>
        <w:pStyle w:val="Caption"/>
      </w:pPr>
      <w:bookmarkStart w:id="1036" w:name="_Ref58344743"/>
      <w:r>
        <w:t xml:space="preserve">Figure </w:t>
      </w:r>
      <w:bookmarkEnd w:id="1036"/>
      <w:r>
        <w:t>A4-2. The mean daily amounts consumed for respondents reporting to consume products from the commodity sectors as is (</w:t>
      </w:r>
      <w:r w:rsidRPr="00DF6333">
        <w:t>i.e</w:t>
      </w:r>
      <w:r>
        <w:t>. fresh or raw) as well as from mixed dishes, as salads (leafy vegetables only), or as juices (berries only) (</w:t>
      </w:r>
      <w:r w:rsidRPr="00251899">
        <w:rPr>
          <w:b/>
        </w:rPr>
        <w:t>A</w:t>
      </w:r>
      <w:r>
        <w:t>)</w:t>
      </w:r>
      <w:r>
        <w:rPr>
          <w:b/>
        </w:rPr>
        <w:t xml:space="preserve"> </w:t>
      </w:r>
      <w:r w:rsidRPr="008A5393">
        <w:t>and</w:t>
      </w:r>
      <w:r>
        <w:t xml:space="preserve"> the mean daily amounts consumed for respondents only reporting to consume the products as is (</w:t>
      </w:r>
      <w:r w:rsidRPr="00251899">
        <w:rPr>
          <w:b/>
        </w:rPr>
        <w:t>B</w:t>
      </w:r>
      <w:r>
        <w:t>).</w:t>
      </w:r>
    </w:p>
    <w:p w14:paraId="39A75972" w14:textId="60D84C55" w:rsidR="00285EF0" w:rsidRDefault="00285EF0" w:rsidP="00285EF0">
      <w:r w:rsidRPr="00A201CC">
        <w:t xml:space="preserve">Fresh </w:t>
      </w:r>
      <w:r>
        <w:t>and frozen berries eaten as is (</w:t>
      </w:r>
      <w:r w:rsidRPr="00DF6333">
        <w:t>i.e.</w:t>
      </w:r>
      <w:r>
        <w:t xml:space="preserve"> as a fresh piece of fruit)</w:t>
      </w:r>
      <w:r w:rsidRPr="00A201CC">
        <w:t xml:space="preserve"> were consumed by the greatest percentage </w:t>
      </w:r>
      <w:r w:rsidRPr="007720B1">
        <w:t>of respondents in the 2-16 year group (8.0%), followe</w:t>
      </w:r>
      <w:r>
        <w:t>d by 70+ years (7.0%), and 17-</w:t>
      </w:r>
      <w:r w:rsidRPr="007720B1">
        <w:t>69 years (5.4%)(</w:t>
      </w:r>
      <w:r>
        <w:t xml:space="preserve">Figure A4-1 </w:t>
      </w:r>
      <w:r w:rsidRPr="007720B1">
        <w:t>B). The mean daily amount consumed differed slightly across the age groups (</w:t>
      </w:r>
      <w:r>
        <w:t>2-16 year group (84g/day), 17-</w:t>
      </w:r>
      <w:r w:rsidRPr="007720B1">
        <w:t>69 ye</w:t>
      </w:r>
      <w:r w:rsidR="00DB681B">
        <w:t>ars (72g/day), and 70+ </w:t>
      </w:r>
      <w:r w:rsidRPr="007720B1">
        <w:t>years (69g/day)) (</w:t>
      </w:r>
      <w:r w:rsidRPr="007720B1">
        <w:fldChar w:fldCharType="begin"/>
      </w:r>
      <w:r w:rsidRPr="007720B1">
        <w:instrText xml:space="preserve"> REF _Ref58344743 \h </w:instrText>
      </w:r>
      <w:r>
        <w:instrText xml:space="preserve"> \* MERGEFORMAT </w:instrText>
      </w:r>
      <w:r w:rsidRPr="007720B1">
        <w:fldChar w:fldCharType="separate"/>
      </w:r>
      <w:r w:rsidR="00A952A2">
        <w:t xml:space="preserve">Figure </w:t>
      </w:r>
      <w:r w:rsidRPr="007720B1">
        <w:fldChar w:fldCharType="end"/>
      </w:r>
      <w:r>
        <w:t xml:space="preserve">igure A4-2 </w:t>
      </w:r>
      <w:r w:rsidRPr="007720B1">
        <w:t xml:space="preserve">B). </w:t>
      </w:r>
    </w:p>
    <w:p w14:paraId="641F363D" w14:textId="77777777" w:rsidR="00285EF0" w:rsidRDefault="00285EF0" w:rsidP="00285EF0"/>
    <w:p w14:paraId="1C70BB79" w14:textId="456D6C6C" w:rsidR="00285EF0" w:rsidRPr="00654DC0" w:rsidRDefault="00285EF0" w:rsidP="00285EF0">
      <w:r>
        <w:t>B</w:t>
      </w:r>
      <w:r w:rsidRPr="00654DC0">
        <w:t>erries were consumed by a large proportion of people at</w:t>
      </w:r>
      <w:r w:rsidR="004371CF">
        <w:t xml:space="preserve"> lower amounts (approximately 5</w:t>
      </w:r>
      <w:r w:rsidRPr="00654DC0">
        <w:t>g/day) as part of a mixed dish that may or may not be cooked, and a lower proportion ate berries as a fresh piece of fruit, generally consuming 72g/day. Very few respondents reported consuming berries as fruit juice.</w:t>
      </w:r>
    </w:p>
    <w:p w14:paraId="2BD4C75B" w14:textId="77777777" w:rsidR="00285EF0" w:rsidRDefault="00285EF0" w:rsidP="00285EF0">
      <w:pPr>
        <w:rPr>
          <w:rFonts w:cs="Arial"/>
        </w:rPr>
      </w:pPr>
    </w:p>
    <w:p w14:paraId="1CF0C2F4" w14:textId="77777777" w:rsidR="00285EF0" w:rsidRPr="00CD4B83" w:rsidRDefault="00285EF0" w:rsidP="00285EF0">
      <w:pPr>
        <w:widowControl/>
      </w:pPr>
      <w:r>
        <w:rPr>
          <w:b/>
        </w:rPr>
        <w:t>Melon commodity sector consumption</w:t>
      </w:r>
    </w:p>
    <w:p w14:paraId="5B73DCC3" w14:textId="77777777" w:rsidR="00285EF0" w:rsidRPr="006531A7" w:rsidRDefault="00285EF0" w:rsidP="00285EF0"/>
    <w:p w14:paraId="06E901AE" w14:textId="77777777" w:rsidR="00285EF0" w:rsidRPr="007720B1" w:rsidRDefault="00285EF0" w:rsidP="00285EF0">
      <w:r>
        <w:t>The f</w:t>
      </w:r>
      <w:r w:rsidRPr="006531A7">
        <w:t>our types of</w:t>
      </w:r>
      <w:r>
        <w:t xml:space="preserve"> melons reported</w:t>
      </w:r>
      <w:r w:rsidRPr="006531A7">
        <w:t xml:space="preserve"> in the survey </w:t>
      </w:r>
      <w:r>
        <w:t xml:space="preserve">eaten as is included; honey dew, skin not further defined, peeled raw; rockmelon (cantaloupe), peeled, raw; watermelon, peeled, raw; and melon, peeled, raw, not further defined. The list of mixed dishes including melons is not provided as it includes </w:t>
      </w:r>
      <w:r w:rsidRPr="007720B1">
        <w:t>mixed dishes that may or may not be cooked or processed.</w:t>
      </w:r>
    </w:p>
    <w:p w14:paraId="33F225B6" w14:textId="77777777" w:rsidR="00285EF0" w:rsidRPr="007720B1" w:rsidRDefault="00285EF0" w:rsidP="00285EF0"/>
    <w:p w14:paraId="6B9D851D" w14:textId="77777777" w:rsidR="00285EF0" w:rsidRPr="007720B1" w:rsidRDefault="00285EF0" w:rsidP="00285EF0">
      <w:r w:rsidRPr="007720B1">
        <w:t>Respondents that reported eating melons as is, as well as where it is consumed as part of a mixed dish were less than 10% for each age group ((2-16 year</w:t>
      </w:r>
      <w:r>
        <w:t xml:space="preserve"> group (8.0%), followed by 17-</w:t>
      </w:r>
      <w:r w:rsidRPr="007720B1">
        <w:t>69 years (5.4%), and 70+ years (5.1%)) (</w:t>
      </w:r>
      <w:r>
        <w:t xml:space="preserve">Figure A4-1 </w:t>
      </w:r>
      <w:r w:rsidRPr="007720B1">
        <w:t>A). The mean daily amount consumed was similar across the age groups (</w:t>
      </w:r>
      <w:r>
        <w:t>2-16 year group (151g/day),17-</w:t>
      </w:r>
      <w:r w:rsidRPr="007720B1">
        <w:t>69 years (164g/day), and 70+ years (151g/day)) (</w:t>
      </w:r>
      <w:r>
        <w:t xml:space="preserve">Figure A4-2 </w:t>
      </w:r>
      <w:r w:rsidRPr="007720B1">
        <w:t xml:space="preserve">A). </w:t>
      </w:r>
    </w:p>
    <w:p w14:paraId="1508AD1D" w14:textId="77777777" w:rsidR="00285EF0" w:rsidRPr="007720B1" w:rsidRDefault="00285EF0" w:rsidP="00285EF0"/>
    <w:p w14:paraId="4BB73B7B" w14:textId="77777777" w:rsidR="00DB681B" w:rsidRDefault="00285EF0" w:rsidP="00285EF0">
      <w:r w:rsidRPr="007720B1">
        <w:t xml:space="preserve">All melons eaten as is were consumed by the largest percentage of respondents in </w:t>
      </w:r>
      <w:r w:rsidR="00DB681B">
        <w:t xml:space="preserve">the </w:t>
      </w:r>
    </w:p>
    <w:p w14:paraId="08E5E384" w14:textId="46C34191" w:rsidR="00285EF0" w:rsidRDefault="00DB681B" w:rsidP="00285EF0">
      <w:r>
        <w:t>2-16 </w:t>
      </w:r>
      <w:r w:rsidR="00285EF0" w:rsidRPr="007720B1">
        <w:t>year</w:t>
      </w:r>
      <w:r w:rsidR="00285EF0">
        <w:t xml:space="preserve"> group (6.2%), followed by 17-</w:t>
      </w:r>
      <w:r w:rsidR="00285EF0" w:rsidRPr="007720B1">
        <w:t xml:space="preserve">69 years (3.7%), and 70+ years (3.6%) </w:t>
      </w:r>
    </w:p>
    <w:p w14:paraId="3AB5CF9E" w14:textId="77777777" w:rsidR="00DB681B" w:rsidRDefault="00285EF0" w:rsidP="00285EF0">
      <w:r w:rsidRPr="007720B1">
        <w:t>(</w:t>
      </w:r>
      <w:r>
        <w:t>Figure A4-1 </w:t>
      </w:r>
      <w:r w:rsidRPr="007720B1">
        <w:t xml:space="preserve">B). The mean daily amount consumed was similar across the age groups </w:t>
      </w:r>
    </w:p>
    <w:p w14:paraId="28FB022E" w14:textId="77777777" w:rsidR="00DB681B" w:rsidRDefault="00285EF0" w:rsidP="00285EF0">
      <w:r w:rsidRPr="007720B1">
        <w:t>(</w:t>
      </w:r>
      <w:r w:rsidR="00DB681B">
        <w:t>2-16 </w:t>
      </w:r>
      <w:r>
        <w:t>year group (187g/day),17-</w:t>
      </w:r>
      <w:r w:rsidRPr="007720B1">
        <w:t xml:space="preserve">69 years (207g/day), and 70+ years (195g/day)) </w:t>
      </w:r>
    </w:p>
    <w:p w14:paraId="7655F858" w14:textId="15AD008E" w:rsidR="00285EF0" w:rsidRDefault="00285EF0" w:rsidP="00285EF0">
      <w:r w:rsidRPr="007720B1">
        <w:t>(</w:t>
      </w:r>
      <w:r>
        <w:t xml:space="preserve">Figure A4-2 </w:t>
      </w:r>
      <w:r w:rsidRPr="007720B1">
        <w:t xml:space="preserve">B). </w:t>
      </w:r>
    </w:p>
    <w:p w14:paraId="5B254D6A" w14:textId="77777777" w:rsidR="00285EF0" w:rsidRDefault="00285EF0" w:rsidP="00285EF0"/>
    <w:p w14:paraId="4117C8AE" w14:textId="77777777" w:rsidR="00285EF0" w:rsidRDefault="00285EF0" w:rsidP="00285EF0">
      <w:r>
        <w:t>M</w:t>
      </w:r>
      <w:r w:rsidRPr="00654DC0">
        <w:t>elons were eaten by a similar proportion of people as mixed dishes or as a fresh piece of fruit, and when eaten as is approximately 200g/day was consumed by respondents in all age groups.</w:t>
      </w:r>
    </w:p>
    <w:p w14:paraId="487A87A3" w14:textId="77777777" w:rsidR="00285EF0" w:rsidRDefault="00285EF0" w:rsidP="00787E56">
      <w:pPr>
        <w:pStyle w:val="Heading3"/>
      </w:pPr>
      <w:bookmarkStart w:id="1037" w:name="_Toc66883053"/>
      <w:bookmarkStart w:id="1038" w:name="_Toc87614455"/>
      <w:bookmarkStart w:id="1039" w:name="_Toc87860094"/>
      <w:r>
        <w:t>Consumption by commodity</w:t>
      </w:r>
      <w:bookmarkEnd w:id="1037"/>
      <w:bookmarkEnd w:id="1038"/>
      <w:bookmarkEnd w:id="1039"/>
    </w:p>
    <w:p w14:paraId="1FB25C8C" w14:textId="77777777" w:rsidR="00285EF0" w:rsidRDefault="00285EF0" w:rsidP="00285EF0">
      <w:r>
        <w:t xml:space="preserve">To provide an indication of the overall consumption for the individual commodities, the consumption data has been summarised for the leafy vegetable commodities eaten as is, and eaten combined fresh and raw as salads. For berries, data for fresh and frozen commodties eaten as is has been summarised. Melons eaten as is are also summarised However, due to the low number of respondents for some particular commodities, it is not appropriate to use the data to make assumptions of differences in risk between the individual commodities. </w:t>
      </w:r>
    </w:p>
    <w:p w14:paraId="189522A8" w14:textId="77777777" w:rsidR="00285EF0" w:rsidRDefault="00285EF0" w:rsidP="00285EF0"/>
    <w:p w14:paraId="2C5F388F" w14:textId="77777777" w:rsidR="00285EF0" w:rsidRDefault="00285EF0" w:rsidP="00285EF0">
      <w:r>
        <w:t>The percentage of respondents reporting to consume the specific in scope commodities are presented in Figure A4-3</w:t>
      </w:r>
      <w:r w:rsidRPr="00DF29DC">
        <w:rPr>
          <w:b/>
        </w:rPr>
        <w:t xml:space="preserve">, </w:t>
      </w:r>
      <w:r w:rsidRPr="00DF29DC">
        <w:t>and the mean daily amount consumed for these commodities is present in Figu</w:t>
      </w:r>
      <w:r>
        <w:t>re A4-4</w:t>
      </w:r>
      <w:r w:rsidRPr="00DF29DC">
        <w:rPr>
          <w:b/>
        </w:rPr>
        <w:t>.</w:t>
      </w:r>
      <w:r>
        <w:rPr>
          <w:b/>
        </w:rPr>
        <w:t xml:space="preserve"> </w:t>
      </w:r>
    </w:p>
    <w:p w14:paraId="5C09A242" w14:textId="77777777" w:rsidR="00285EF0" w:rsidRDefault="00285EF0" w:rsidP="00285EF0"/>
    <w:p w14:paraId="0E9F9AFC" w14:textId="77777777" w:rsidR="00B36DA8" w:rsidRDefault="00B36DA8">
      <w:pPr>
        <w:widowControl/>
        <w:rPr>
          <w:b/>
        </w:rPr>
      </w:pPr>
      <w:r>
        <w:rPr>
          <w:b/>
        </w:rPr>
        <w:br w:type="page"/>
      </w:r>
    </w:p>
    <w:p w14:paraId="78A2B5C9" w14:textId="13F08EB6" w:rsidR="00285EF0" w:rsidRPr="00073018" w:rsidRDefault="00285EF0" w:rsidP="00285EF0">
      <w:pPr>
        <w:rPr>
          <w:b/>
        </w:rPr>
      </w:pPr>
      <w:r w:rsidRPr="00073018">
        <w:rPr>
          <w:b/>
        </w:rPr>
        <w:t>Lettuce, spinach, and parsley consumption</w:t>
      </w:r>
    </w:p>
    <w:p w14:paraId="1524CADF" w14:textId="77777777" w:rsidR="00285EF0" w:rsidRDefault="00285EF0" w:rsidP="00285EF0"/>
    <w:p w14:paraId="3AA1AB27" w14:textId="77777777" w:rsidR="00DB681B" w:rsidRDefault="00285EF0" w:rsidP="00285EF0">
      <w:r>
        <w:t xml:space="preserve">Lettuce eaten consumed as is was consumed by a larger percentage of respondents, across all age groups (2-16 (8.5%), 17-69 (14.2%), 70+ years (10.9%)), compared to parsley </w:t>
      </w:r>
    </w:p>
    <w:p w14:paraId="3F878163" w14:textId="55BEFBB8" w:rsidR="00285EF0" w:rsidRDefault="00285EF0" w:rsidP="00285EF0">
      <w:r>
        <w:t xml:space="preserve">(2-16 (0.5%), 17-69 (0.4%), 70+ years (1.6%)) and spinach </w:t>
      </w:r>
      <w:r w:rsidR="00DB681B">
        <w:t>(2-16 (0.3%), 17-69 (1.0%), 70+ </w:t>
      </w:r>
      <w:r>
        <w:t xml:space="preserve">years (0.2%)) (Figure A4-3 C). </w:t>
      </w:r>
      <w:r w:rsidRPr="00E64F63">
        <w:t xml:space="preserve">The mean daily amount consumed was similar across the age groups for </w:t>
      </w:r>
      <w:r>
        <w:t>each commodity</w:t>
      </w:r>
      <w:r w:rsidRPr="00E64F63">
        <w:t xml:space="preserve"> </w:t>
      </w:r>
      <w:r>
        <w:t>with the largest mean consumption in each commodity being 26g/day lettuce (17-69 years), 6g/day parsley (70+</w:t>
      </w:r>
      <w:r w:rsidR="00DB681B">
        <w:t xml:space="preserve"> years), and 20g spinach (17-69 </w:t>
      </w:r>
      <w:r>
        <w:t xml:space="preserve">years) (Figure A4-4 C). </w:t>
      </w:r>
      <w:r w:rsidRPr="00CC6265">
        <w:t xml:space="preserve">Spinach </w:t>
      </w:r>
      <w:r>
        <w:t>was reported to be consumed by more respondents in foods described as salads (2-16 (10.4%), 17-69 (19.1%), 70+ years (16.8%)), and at similar mean amounts (2-16 (1g/day), 17-69 (2g/day), 70+ years (1g/day)).</w:t>
      </w:r>
    </w:p>
    <w:p w14:paraId="4C7B8B88" w14:textId="77777777" w:rsidR="00285EF0" w:rsidRDefault="00285EF0" w:rsidP="00285EF0"/>
    <w:p w14:paraId="3AA4AEB5" w14:textId="77777777" w:rsidR="00285EF0" w:rsidRPr="00073018" w:rsidRDefault="00285EF0" w:rsidP="00285EF0">
      <w:pPr>
        <w:rPr>
          <w:b/>
        </w:rPr>
      </w:pPr>
      <w:r w:rsidRPr="00073018">
        <w:rPr>
          <w:b/>
        </w:rPr>
        <w:t>Strawberries, blueberries and raspberry consumption</w:t>
      </w:r>
    </w:p>
    <w:p w14:paraId="5ACF2879" w14:textId="77777777" w:rsidR="00285EF0" w:rsidRDefault="00285EF0" w:rsidP="00285EF0"/>
    <w:p w14:paraId="5850982D" w14:textId="2BCAE6D4" w:rsidR="00285EF0" w:rsidRDefault="00285EF0" w:rsidP="00285EF0">
      <w:r>
        <w:t>For berries eaten as is, fresh strawberries were consumed by a higher percentage of respondents (2-16 (6.5%), 17-69 (3.1%), 70+ years (4.1%)) across all age groups compared to frozen strawberries, and fresh or frozen blueberries and raspberries. Reported percentage consumption of all these other commodities was &lt;1.4% in all age groups (Figure A4-3 B). Mean consumption of fresh strawberries was similar across the age groups (2-16 (80g/day), 17-69 (77g/day), 70+ years (83g/day)). However, more variation was reported for the othe</w:t>
      </w:r>
      <w:r w:rsidR="006B32C8">
        <w:t>r commodities (Figure A4-4 B).</w:t>
      </w:r>
    </w:p>
    <w:p w14:paraId="26EAD79B" w14:textId="77777777" w:rsidR="00285EF0" w:rsidRDefault="00285EF0" w:rsidP="00285EF0"/>
    <w:p w14:paraId="1A5E264F" w14:textId="77777777" w:rsidR="00285EF0" w:rsidRPr="00073018" w:rsidRDefault="00285EF0" w:rsidP="00285EF0">
      <w:pPr>
        <w:rPr>
          <w:b/>
        </w:rPr>
      </w:pPr>
      <w:r w:rsidRPr="00073018">
        <w:rPr>
          <w:b/>
        </w:rPr>
        <w:t>Watermelon and rockmelon consumption</w:t>
      </w:r>
    </w:p>
    <w:p w14:paraId="28F065BD" w14:textId="77777777" w:rsidR="00285EF0" w:rsidRDefault="00285EF0" w:rsidP="00285EF0"/>
    <w:p w14:paraId="297BD09D" w14:textId="77777777" w:rsidR="00285EF0" w:rsidRDefault="00285EF0" w:rsidP="00285EF0">
      <w:r>
        <w:t>Watermelon eaten as is was consumed by a larger percentage of respondents compared to rockmelon in the 2-16 year (4.9 vs 1.4% ) and 17-69 year (2.7 vs 1.2%) groups, but similar percentages of consumption was reported in the 70+ year group for watermelon (1.9%) and rockmelon (2.1%) (Figure A4-3 A). The mean daily amount consumed was similar across the age groups for both commodities and ranged from 141g/day to 209g/day (Figure A4-4).</w:t>
      </w:r>
    </w:p>
    <w:p w14:paraId="0DFEDF6B" w14:textId="77777777" w:rsidR="00285EF0" w:rsidRDefault="00285EF0" w:rsidP="00285EF0"/>
    <w:p w14:paraId="05CDD12F" w14:textId="77777777" w:rsidR="00285EF0" w:rsidRDefault="00285EF0" w:rsidP="00285EF0">
      <w:pPr>
        <w:keepNext/>
        <w:jc w:val="center"/>
      </w:pPr>
      <w:r>
        <w:rPr>
          <w:noProof/>
          <w:lang w:eastAsia="en-GB" w:bidi="ar-SA"/>
        </w:rPr>
        <w:drawing>
          <wp:inline distT="0" distB="0" distL="0" distR="0" wp14:anchorId="27241CFC" wp14:editId="2F78C8B6">
            <wp:extent cx="4084320" cy="7514808"/>
            <wp:effectExtent l="0" t="0" r="0" b="0"/>
            <wp:docPr id="15" name="Picture 15" descr="Consumption by commo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sumption by commodity"/>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4090852" cy="7526826"/>
                    </a:xfrm>
                    <a:prstGeom prst="rect">
                      <a:avLst/>
                    </a:prstGeom>
                    <a:noFill/>
                    <a:ln>
                      <a:noFill/>
                    </a:ln>
                  </pic:spPr>
                </pic:pic>
              </a:graphicData>
            </a:graphic>
          </wp:inline>
        </w:drawing>
      </w:r>
    </w:p>
    <w:p w14:paraId="43DEAC39" w14:textId="77777777" w:rsidR="00285EF0" w:rsidRDefault="00285EF0" w:rsidP="00285EF0">
      <w:pPr>
        <w:pStyle w:val="Caption"/>
      </w:pPr>
      <w:r>
        <w:t>Figure A4-3. The percentage of respondents reporting to consume specific commodities as is (</w:t>
      </w:r>
      <w:r w:rsidRPr="00DF6333">
        <w:t>i.e</w:t>
      </w:r>
      <w:r>
        <w:t>. fresh or raw) for melons (</w:t>
      </w:r>
      <w:r w:rsidRPr="00251899">
        <w:rPr>
          <w:b/>
        </w:rPr>
        <w:t>A</w:t>
      </w:r>
      <w:r>
        <w:t>), berries (includes both fresh and frozen) (</w:t>
      </w:r>
      <w:r w:rsidRPr="00251899">
        <w:rPr>
          <w:b/>
        </w:rPr>
        <w:t>B</w:t>
      </w:r>
      <w:r>
        <w:t>), and leafy vegetables (</w:t>
      </w:r>
      <w:r w:rsidRPr="00251899">
        <w:rPr>
          <w:b/>
        </w:rPr>
        <w:t>C</w:t>
      </w:r>
      <w:r>
        <w:t>).</w:t>
      </w:r>
    </w:p>
    <w:p w14:paraId="5081F0BB" w14:textId="77777777" w:rsidR="00285EF0" w:rsidRDefault="00285EF0" w:rsidP="00285EF0"/>
    <w:p w14:paraId="23FD1099" w14:textId="77777777" w:rsidR="00285EF0" w:rsidRDefault="00285EF0" w:rsidP="00285EF0"/>
    <w:p w14:paraId="3E728F2E" w14:textId="77777777" w:rsidR="00285EF0" w:rsidRDefault="00285EF0" w:rsidP="00285EF0"/>
    <w:p w14:paraId="4BEBAA22" w14:textId="77777777" w:rsidR="00285EF0" w:rsidRDefault="00285EF0" w:rsidP="00285EF0">
      <w:pPr>
        <w:keepNext/>
        <w:jc w:val="center"/>
      </w:pPr>
      <w:r>
        <w:rPr>
          <w:noProof/>
          <w:lang w:eastAsia="en-GB" w:bidi="ar-SA"/>
        </w:rPr>
        <w:drawing>
          <wp:inline distT="0" distB="0" distL="0" distR="0" wp14:anchorId="47B8CDCD" wp14:editId="17BC0997">
            <wp:extent cx="3536950" cy="6045200"/>
            <wp:effectExtent l="0" t="0" r="6350" b="0"/>
            <wp:docPr id="16" name="Picture 16" descr="Amount consumed commo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ount consumed commodity"/>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536950" cy="6045200"/>
                    </a:xfrm>
                    <a:prstGeom prst="rect">
                      <a:avLst/>
                    </a:prstGeom>
                    <a:noFill/>
                    <a:ln>
                      <a:noFill/>
                    </a:ln>
                  </pic:spPr>
                </pic:pic>
              </a:graphicData>
            </a:graphic>
          </wp:inline>
        </w:drawing>
      </w:r>
    </w:p>
    <w:p w14:paraId="2AEAACB3" w14:textId="77777777" w:rsidR="00285EF0" w:rsidRDefault="00285EF0" w:rsidP="00285EF0">
      <w:pPr>
        <w:pStyle w:val="Caption"/>
      </w:pPr>
      <w:r>
        <w:t>Figure A4-4. The mean daily consumption for respondents reporting to consume specific commodities as is (</w:t>
      </w:r>
      <w:r w:rsidRPr="00DF6333">
        <w:t>i.e</w:t>
      </w:r>
      <w:r>
        <w:t>. fresh or raw) for melons (</w:t>
      </w:r>
      <w:r w:rsidRPr="00251899">
        <w:rPr>
          <w:b/>
        </w:rPr>
        <w:t>A</w:t>
      </w:r>
      <w:r>
        <w:t>), berries (includes both fresh and frozen) (</w:t>
      </w:r>
      <w:r w:rsidRPr="00251899">
        <w:rPr>
          <w:b/>
        </w:rPr>
        <w:t>B</w:t>
      </w:r>
      <w:r>
        <w:t>), and leafy vegetables (</w:t>
      </w:r>
      <w:r w:rsidRPr="00251899">
        <w:rPr>
          <w:b/>
        </w:rPr>
        <w:t>C</w:t>
      </w:r>
      <w:r>
        <w:t>).</w:t>
      </w:r>
    </w:p>
    <w:p w14:paraId="07F01A69" w14:textId="77777777" w:rsidR="00285EF0" w:rsidRDefault="00285EF0" w:rsidP="00285EF0"/>
    <w:p w14:paraId="2131D748" w14:textId="77777777" w:rsidR="00285EF0" w:rsidRDefault="00285EF0" w:rsidP="00285EF0">
      <w:pPr>
        <w:widowControl/>
        <w:rPr>
          <w:rFonts w:eastAsiaTheme="majorEastAsia" w:cs="Arial"/>
          <w:b/>
          <w:bCs/>
          <w:sz w:val="28"/>
        </w:rPr>
      </w:pPr>
      <w:r>
        <w:br w:type="page"/>
      </w:r>
    </w:p>
    <w:p w14:paraId="101CB449" w14:textId="1226E7C4" w:rsidR="00285EF0" w:rsidRPr="00544C58" w:rsidRDefault="00285EF0" w:rsidP="00285EF0">
      <w:pPr>
        <w:pStyle w:val="Heading2"/>
      </w:pPr>
      <w:bookmarkStart w:id="1040" w:name="_Toc87860095"/>
      <w:r w:rsidRPr="00544C58">
        <w:t xml:space="preserve">Appendix </w:t>
      </w:r>
      <w:r>
        <w:t>5</w:t>
      </w:r>
      <w:r w:rsidR="00354E14" w:rsidRPr="00C839B6">
        <w:t xml:space="preserve"> – </w:t>
      </w:r>
      <w:r w:rsidRPr="00544C58">
        <w:t>Example list of ‘mixed dishes’ reported to be consumed including blueberries, raspberries, and strawberries from the 2011-12 Australian National Nutrition and Physical Activity Survey (NNPAS)</w:t>
      </w:r>
      <w:r w:rsidRPr="009A2434">
        <w:rPr>
          <w:rStyle w:val="FootnoteReference"/>
        </w:rPr>
        <w:footnoteReference w:id="28"/>
      </w:r>
      <w:bookmarkEnd w:id="1040"/>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ample list of ‘mixed dishes’ reported to be consumed including blueberries, raspberries, and strawberries from the 2011-12 Australian National Nutrition and Physical Activity Survey (NNPAS)"/>
      </w:tblPr>
      <w:tblGrid>
        <w:gridCol w:w="9298"/>
      </w:tblGrid>
      <w:tr w:rsidR="00285EF0" w:rsidRPr="0039389C" w14:paraId="17549FBA" w14:textId="77777777" w:rsidTr="00285EF0">
        <w:trPr>
          <w:trHeight w:val="290"/>
        </w:trPr>
        <w:tc>
          <w:tcPr>
            <w:tcW w:w="9298" w:type="dxa"/>
            <w:shd w:val="clear" w:color="auto" w:fill="C6D9F1" w:themeFill="text2" w:themeFillTint="33"/>
            <w:noWrap/>
            <w:vAlign w:val="bottom"/>
            <w:hideMark/>
          </w:tcPr>
          <w:p w14:paraId="383D00CE" w14:textId="77777777" w:rsidR="00285EF0" w:rsidRPr="0039389C" w:rsidRDefault="00285EF0" w:rsidP="00285EF0">
            <w:pPr>
              <w:ind w:left="313" w:hanging="284"/>
              <w:rPr>
                <w:rFonts w:cs="Arial"/>
                <w:b/>
                <w:bCs/>
                <w:color w:val="000000"/>
                <w:sz w:val="20"/>
                <w:szCs w:val="20"/>
                <w:lang w:eastAsia="en-GB"/>
              </w:rPr>
            </w:pPr>
            <w:r w:rsidRPr="0039389C">
              <w:rPr>
                <w:rFonts w:cs="Arial"/>
                <w:b/>
                <w:bCs/>
                <w:color w:val="000000"/>
                <w:sz w:val="20"/>
                <w:szCs w:val="20"/>
                <w:lang w:eastAsia="en-GB"/>
              </w:rPr>
              <w:t>Blueberries</w:t>
            </w:r>
          </w:p>
        </w:tc>
      </w:tr>
      <w:tr w:rsidR="00285EF0" w:rsidRPr="0039389C" w14:paraId="6C2C881D" w14:textId="77777777" w:rsidTr="00285EF0">
        <w:trPr>
          <w:trHeight w:val="290"/>
        </w:trPr>
        <w:tc>
          <w:tcPr>
            <w:tcW w:w="9298" w:type="dxa"/>
            <w:shd w:val="clear" w:color="auto" w:fill="auto"/>
            <w:noWrap/>
            <w:vAlign w:val="bottom"/>
            <w:hideMark/>
          </w:tcPr>
          <w:p w14:paraId="2480619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Iced tea, homemade, unsweetened</w:t>
            </w:r>
          </w:p>
        </w:tc>
      </w:tr>
      <w:tr w:rsidR="00285EF0" w:rsidRPr="0039389C" w14:paraId="47B48923" w14:textId="77777777" w:rsidTr="00285EF0">
        <w:trPr>
          <w:trHeight w:val="290"/>
        </w:trPr>
        <w:tc>
          <w:tcPr>
            <w:tcW w:w="9298" w:type="dxa"/>
            <w:shd w:val="clear" w:color="auto" w:fill="auto"/>
            <w:noWrap/>
            <w:vAlign w:val="bottom"/>
            <w:hideMark/>
          </w:tcPr>
          <w:p w14:paraId="036EAB7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Juice, apple &amp; forest fruits, commercial</w:t>
            </w:r>
          </w:p>
        </w:tc>
      </w:tr>
      <w:tr w:rsidR="00285EF0" w:rsidRPr="0039389C" w14:paraId="6B4F1798" w14:textId="77777777" w:rsidTr="00285EF0">
        <w:trPr>
          <w:trHeight w:val="290"/>
        </w:trPr>
        <w:tc>
          <w:tcPr>
            <w:tcW w:w="9298" w:type="dxa"/>
            <w:shd w:val="clear" w:color="auto" w:fill="auto"/>
            <w:noWrap/>
            <w:vAlign w:val="bottom"/>
            <w:hideMark/>
          </w:tcPr>
          <w:p w14:paraId="73FDD13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Juice, fruit, commercial, not further defined</w:t>
            </w:r>
          </w:p>
        </w:tc>
      </w:tr>
      <w:tr w:rsidR="00285EF0" w:rsidRPr="0039389C" w14:paraId="1316ADDE" w14:textId="77777777" w:rsidTr="00285EF0">
        <w:trPr>
          <w:trHeight w:val="290"/>
        </w:trPr>
        <w:tc>
          <w:tcPr>
            <w:tcW w:w="9298" w:type="dxa"/>
            <w:shd w:val="clear" w:color="auto" w:fill="auto"/>
            <w:noWrap/>
            <w:vAlign w:val="bottom"/>
            <w:hideMark/>
          </w:tcPr>
          <w:p w14:paraId="5449177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Juice, commercial, not further defined</w:t>
            </w:r>
          </w:p>
        </w:tc>
      </w:tr>
      <w:tr w:rsidR="00285EF0" w:rsidRPr="0039389C" w14:paraId="1A43F400" w14:textId="77777777" w:rsidTr="00285EF0">
        <w:trPr>
          <w:trHeight w:val="290"/>
        </w:trPr>
        <w:tc>
          <w:tcPr>
            <w:tcW w:w="9298" w:type="dxa"/>
            <w:shd w:val="clear" w:color="auto" w:fill="auto"/>
            <w:noWrap/>
            <w:vAlign w:val="bottom"/>
            <w:hideMark/>
          </w:tcPr>
          <w:p w14:paraId="6818CB8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fruit juice based, added berries</w:t>
            </w:r>
          </w:p>
        </w:tc>
      </w:tr>
      <w:tr w:rsidR="00285EF0" w:rsidRPr="0039389C" w14:paraId="280ED205" w14:textId="77777777" w:rsidTr="00285EF0">
        <w:trPr>
          <w:trHeight w:val="290"/>
        </w:trPr>
        <w:tc>
          <w:tcPr>
            <w:tcW w:w="9298" w:type="dxa"/>
            <w:shd w:val="clear" w:color="auto" w:fill="auto"/>
            <w:noWrap/>
            <w:vAlign w:val="bottom"/>
            <w:hideMark/>
          </w:tcPr>
          <w:p w14:paraId="3BF4593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fruit juice based, added mixed fruit</w:t>
            </w:r>
          </w:p>
        </w:tc>
      </w:tr>
      <w:tr w:rsidR="00285EF0" w:rsidRPr="0039389C" w14:paraId="03B375A7" w14:textId="77777777" w:rsidTr="00285EF0">
        <w:trPr>
          <w:trHeight w:val="290"/>
        </w:trPr>
        <w:tc>
          <w:tcPr>
            <w:tcW w:w="9298" w:type="dxa"/>
            <w:shd w:val="clear" w:color="auto" w:fill="auto"/>
            <w:noWrap/>
            <w:vAlign w:val="bottom"/>
            <w:hideMark/>
          </w:tcPr>
          <w:p w14:paraId="5B9BD12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fruit juice based, added mixed fruit &amp; nuts or seeds</w:t>
            </w:r>
          </w:p>
        </w:tc>
      </w:tr>
      <w:tr w:rsidR="00285EF0" w:rsidRPr="0039389C" w14:paraId="3EEA8BCC" w14:textId="77777777" w:rsidTr="00285EF0">
        <w:trPr>
          <w:trHeight w:val="290"/>
        </w:trPr>
        <w:tc>
          <w:tcPr>
            <w:tcW w:w="9298" w:type="dxa"/>
            <w:shd w:val="clear" w:color="auto" w:fill="auto"/>
            <w:noWrap/>
            <w:vAlign w:val="bottom"/>
            <w:hideMark/>
          </w:tcPr>
          <w:p w14:paraId="16B528C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Juice, apple &amp; berries, home squeezed</w:t>
            </w:r>
          </w:p>
        </w:tc>
      </w:tr>
      <w:tr w:rsidR="00285EF0" w:rsidRPr="0039389C" w14:paraId="316289A5" w14:textId="77777777" w:rsidTr="00285EF0">
        <w:trPr>
          <w:trHeight w:val="290"/>
        </w:trPr>
        <w:tc>
          <w:tcPr>
            <w:tcW w:w="9298" w:type="dxa"/>
            <w:shd w:val="clear" w:color="auto" w:fill="auto"/>
            <w:noWrap/>
            <w:vAlign w:val="bottom"/>
            <w:hideMark/>
          </w:tcPr>
          <w:p w14:paraId="4701F6B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Juice, fruit &amp; vegetable blend, apple, berries, beetroot &amp; carrot, commercial</w:t>
            </w:r>
          </w:p>
        </w:tc>
      </w:tr>
      <w:tr w:rsidR="00285EF0" w:rsidRPr="0039389C" w14:paraId="48DADA2E" w14:textId="77777777" w:rsidTr="00285EF0">
        <w:trPr>
          <w:trHeight w:val="290"/>
        </w:trPr>
        <w:tc>
          <w:tcPr>
            <w:tcW w:w="9298" w:type="dxa"/>
            <w:shd w:val="clear" w:color="auto" w:fill="auto"/>
            <w:noWrap/>
            <w:vAlign w:val="bottom"/>
            <w:hideMark/>
          </w:tcPr>
          <w:p w14:paraId="2C475D8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Mineral water, non-citrus flavoured, regular</w:t>
            </w:r>
          </w:p>
        </w:tc>
      </w:tr>
      <w:tr w:rsidR="00285EF0" w:rsidRPr="0039389C" w14:paraId="4D8DF448" w14:textId="77777777" w:rsidTr="00285EF0">
        <w:trPr>
          <w:trHeight w:val="290"/>
        </w:trPr>
        <w:tc>
          <w:tcPr>
            <w:tcW w:w="9298" w:type="dxa"/>
            <w:shd w:val="clear" w:color="auto" w:fill="auto"/>
            <w:noWrap/>
            <w:vAlign w:val="bottom"/>
            <w:hideMark/>
          </w:tcPr>
          <w:p w14:paraId="0EF0F90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Bagel, fruit, commercial</w:t>
            </w:r>
          </w:p>
        </w:tc>
      </w:tr>
      <w:tr w:rsidR="00285EF0" w:rsidRPr="0039389C" w14:paraId="31B67D45" w14:textId="77777777" w:rsidTr="00285EF0">
        <w:trPr>
          <w:trHeight w:val="290"/>
        </w:trPr>
        <w:tc>
          <w:tcPr>
            <w:tcW w:w="9298" w:type="dxa"/>
            <w:shd w:val="clear" w:color="auto" w:fill="auto"/>
            <w:noWrap/>
            <w:vAlign w:val="bottom"/>
            <w:hideMark/>
          </w:tcPr>
          <w:p w14:paraId="59E1423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Bagel, fruit, commercial, toasted</w:t>
            </w:r>
          </w:p>
        </w:tc>
      </w:tr>
      <w:tr w:rsidR="00285EF0" w:rsidRPr="0039389C" w14:paraId="650BBBF7" w14:textId="77777777" w:rsidTr="00285EF0">
        <w:trPr>
          <w:trHeight w:val="290"/>
        </w:trPr>
        <w:tc>
          <w:tcPr>
            <w:tcW w:w="9298" w:type="dxa"/>
            <w:shd w:val="clear" w:color="auto" w:fill="auto"/>
            <w:noWrap/>
            <w:vAlign w:val="bottom"/>
            <w:hideMark/>
          </w:tcPr>
          <w:p w14:paraId="40F07D8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Bun, sweet, with fruit (other than sultanas), uniced</w:t>
            </w:r>
          </w:p>
        </w:tc>
      </w:tr>
      <w:tr w:rsidR="00285EF0" w:rsidRPr="0039389C" w14:paraId="6B5AC048" w14:textId="77777777" w:rsidTr="00285EF0">
        <w:trPr>
          <w:trHeight w:val="290"/>
        </w:trPr>
        <w:tc>
          <w:tcPr>
            <w:tcW w:w="9298" w:type="dxa"/>
            <w:shd w:val="clear" w:color="auto" w:fill="auto"/>
            <w:noWrap/>
            <w:vAlign w:val="bottom"/>
            <w:hideMark/>
          </w:tcPr>
          <w:p w14:paraId="0E36E77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Bun, sweet, with fruit (other than sultanas), iced</w:t>
            </w:r>
          </w:p>
        </w:tc>
      </w:tr>
      <w:tr w:rsidR="00285EF0" w:rsidRPr="0039389C" w14:paraId="016BC340" w14:textId="77777777" w:rsidTr="00285EF0">
        <w:trPr>
          <w:trHeight w:val="290"/>
        </w:trPr>
        <w:tc>
          <w:tcPr>
            <w:tcW w:w="9298" w:type="dxa"/>
            <w:shd w:val="clear" w:color="auto" w:fill="auto"/>
            <w:noWrap/>
            <w:vAlign w:val="bottom"/>
            <w:hideMark/>
          </w:tcPr>
          <w:p w14:paraId="138F744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Bun, sweet, with fruit (other than sultanas) &amp; nuts, iced</w:t>
            </w:r>
          </w:p>
        </w:tc>
      </w:tr>
      <w:tr w:rsidR="00285EF0" w:rsidRPr="0039389C" w14:paraId="68F66394" w14:textId="77777777" w:rsidTr="00285EF0">
        <w:trPr>
          <w:trHeight w:val="290"/>
        </w:trPr>
        <w:tc>
          <w:tcPr>
            <w:tcW w:w="9298" w:type="dxa"/>
            <w:shd w:val="clear" w:color="auto" w:fill="auto"/>
            <w:noWrap/>
            <w:vAlign w:val="bottom"/>
            <w:hideMark/>
          </w:tcPr>
          <w:p w14:paraId="1E2E155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Bun, sweet, with mock cream &amp; jam, uniced</w:t>
            </w:r>
          </w:p>
        </w:tc>
      </w:tr>
      <w:tr w:rsidR="00285EF0" w:rsidRPr="0039389C" w14:paraId="5D44BEE3" w14:textId="77777777" w:rsidTr="00285EF0">
        <w:trPr>
          <w:trHeight w:val="290"/>
        </w:trPr>
        <w:tc>
          <w:tcPr>
            <w:tcW w:w="9298" w:type="dxa"/>
            <w:shd w:val="clear" w:color="auto" w:fill="auto"/>
            <w:noWrap/>
            <w:vAlign w:val="bottom"/>
            <w:hideMark/>
          </w:tcPr>
          <w:p w14:paraId="4F57257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Bun, sweet, not further defined</w:t>
            </w:r>
          </w:p>
        </w:tc>
      </w:tr>
      <w:tr w:rsidR="00285EF0" w:rsidRPr="0039389C" w14:paraId="2E7788D1" w14:textId="77777777" w:rsidTr="00285EF0">
        <w:trPr>
          <w:trHeight w:val="290"/>
        </w:trPr>
        <w:tc>
          <w:tcPr>
            <w:tcW w:w="9298" w:type="dxa"/>
            <w:shd w:val="clear" w:color="auto" w:fill="auto"/>
            <w:noWrap/>
            <w:vAlign w:val="bottom"/>
            <w:hideMark/>
          </w:tcPr>
          <w:p w14:paraId="315BEBF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whole wheat, small biscuit, with berries, added vitamins B1, B2, B3 &amp; folate, Ca &amp; Fe</w:t>
            </w:r>
          </w:p>
        </w:tc>
      </w:tr>
      <w:tr w:rsidR="00285EF0" w:rsidRPr="0039389C" w14:paraId="3C0795CE" w14:textId="77777777" w:rsidTr="00285EF0">
        <w:trPr>
          <w:trHeight w:val="290"/>
        </w:trPr>
        <w:tc>
          <w:tcPr>
            <w:tcW w:w="9298" w:type="dxa"/>
            <w:shd w:val="clear" w:color="auto" w:fill="auto"/>
            <w:noWrap/>
            <w:vAlign w:val="bottom"/>
            <w:hideMark/>
          </w:tcPr>
          <w:p w14:paraId="3AC894F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whole wheat, small biscuit, with fruit paste, added vitamins B1, B2, B3 &amp; C &amp; Fe</w:t>
            </w:r>
          </w:p>
        </w:tc>
      </w:tr>
      <w:tr w:rsidR="00285EF0" w:rsidRPr="0039389C" w14:paraId="5EDA41AC" w14:textId="77777777" w:rsidTr="00285EF0">
        <w:trPr>
          <w:trHeight w:val="290"/>
        </w:trPr>
        <w:tc>
          <w:tcPr>
            <w:tcW w:w="9298" w:type="dxa"/>
            <w:shd w:val="clear" w:color="auto" w:fill="auto"/>
            <w:noWrap/>
            <w:vAlign w:val="bottom"/>
            <w:hideMark/>
          </w:tcPr>
          <w:p w14:paraId="0A0AE40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(rice &amp; wheat), flakes, berries, added vitamins B1, B2, B3, B6 &amp; folate, Ca, Fe &amp; Zn</w:t>
            </w:r>
          </w:p>
        </w:tc>
      </w:tr>
      <w:tr w:rsidR="00285EF0" w:rsidRPr="0039389C" w14:paraId="4F2CDFF6" w14:textId="77777777" w:rsidTr="00285EF0">
        <w:trPr>
          <w:trHeight w:val="290"/>
        </w:trPr>
        <w:tc>
          <w:tcPr>
            <w:tcW w:w="9298" w:type="dxa"/>
            <w:shd w:val="clear" w:color="auto" w:fill="auto"/>
            <w:noWrap/>
            <w:vAlign w:val="bottom"/>
            <w:hideMark/>
          </w:tcPr>
          <w:p w14:paraId="7616439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&amp; corn), flakes, berries &amp; sultanas, added vitamins A, B1, B2, B3, B6, E &amp; folate, Ca, Fe &amp; Zn</w:t>
            </w:r>
          </w:p>
        </w:tc>
      </w:tr>
      <w:tr w:rsidR="00285EF0" w:rsidRPr="0039389C" w14:paraId="08FE5700" w14:textId="77777777" w:rsidTr="00285EF0">
        <w:trPr>
          <w:trHeight w:val="290"/>
        </w:trPr>
        <w:tc>
          <w:tcPr>
            <w:tcW w:w="9298" w:type="dxa"/>
            <w:shd w:val="clear" w:color="auto" w:fill="auto"/>
            <w:noWrap/>
            <w:vAlign w:val="bottom"/>
            <w:hideMark/>
          </w:tcPr>
          <w:p w14:paraId="0798B90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&amp; oat), flakes, berries, added vitamins B1, B2, B3 &amp; folate &amp; Fe</w:t>
            </w:r>
          </w:p>
        </w:tc>
      </w:tr>
      <w:tr w:rsidR="00285EF0" w:rsidRPr="0039389C" w14:paraId="0E8C4365" w14:textId="77777777" w:rsidTr="00285EF0">
        <w:trPr>
          <w:trHeight w:val="290"/>
        </w:trPr>
        <w:tc>
          <w:tcPr>
            <w:tcW w:w="9298" w:type="dxa"/>
            <w:shd w:val="clear" w:color="auto" w:fill="auto"/>
            <w:noWrap/>
            <w:vAlign w:val="bottom"/>
            <w:hideMark/>
          </w:tcPr>
          <w:p w14:paraId="205C433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oat &amp; corn), flakes &amp; clusters, pomegranate &amp; berries, added vitamins A, B1, B2, B3, B6, E &amp; folate, Ca, Fe &amp; Zn</w:t>
            </w:r>
          </w:p>
        </w:tc>
      </w:tr>
      <w:tr w:rsidR="00285EF0" w:rsidRPr="0039389C" w14:paraId="0D211592" w14:textId="77777777" w:rsidTr="00285EF0">
        <w:trPr>
          <w:trHeight w:val="290"/>
        </w:trPr>
        <w:tc>
          <w:tcPr>
            <w:tcW w:w="9298" w:type="dxa"/>
            <w:shd w:val="clear" w:color="auto" w:fill="auto"/>
            <w:noWrap/>
            <w:vAlign w:val="bottom"/>
            <w:hideMark/>
          </w:tcPr>
          <w:p w14:paraId="3602311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rice &amp; oat), flakes, dried fruit, added vitamins B1, B2, B3 &amp; E &amp; Fe</w:t>
            </w:r>
          </w:p>
        </w:tc>
      </w:tr>
      <w:tr w:rsidR="00285EF0" w:rsidRPr="0039389C" w14:paraId="0172FFFD" w14:textId="77777777" w:rsidTr="00285EF0">
        <w:trPr>
          <w:trHeight w:val="290"/>
        </w:trPr>
        <w:tc>
          <w:tcPr>
            <w:tcW w:w="9298" w:type="dxa"/>
            <w:shd w:val="clear" w:color="auto" w:fill="auto"/>
            <w:noWrap/>
            <w:vAlign w:val="bottom"/>
            <w:hideMark/>
          </w:tcPr>
          <w:p w14:paraId="494544F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corn, rice &amp; oat), clusters, sultana &amp; berries, added vitamins B1, B2, B3, E &amp; folate, Ca &amp; Fe</w:t>
            </w:r>
          </w:p>
        </w:tc>
      </w:tr>
      <w:tr w:rsidR="00285EF0" w:rsidRPr="0039389C" w14:paraId="498AF0F3" w14:textId="77777777" w:rsidTr="00285EF0">
        <w:trPr>
          <w:trHeight w:val="290"/>
        </w:trPr>
        <w:tc>
          <w:tcPr>
            <w:tcW w:w="9298" w:type="dxa"/>
            <w:shd w:val="clear" w:color="auto" w:fill="auto"/>
            <w:noWrap/>
            <w:vAlign w:val="bottom"/>
            <w:hideMark/>
          </w:tcPr>
          <w:p w14:paraId="33D33AF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corn, rice &amp; oat), flakes, berries, added vitamins B1, B2, B3, E &amp; folate, Ca &amp; Fe</w:t>
            </w:r>
          </w:p>
        </w:tc>
      </w:tr>
      <w:tr w:rsidR="00285EF0" w:rsidRPr="0039389C" w14:paraId="2D76831F" w14:textId="77777777" w:rsidTr="00285EF0">
        <w:trPr>
          <w:trHeight w:val="290"/>
        </w:trPr>
        <w:tc>
          <w:tcPr>
            <w:tcW w:w="9298" w:type="dxa"/>
            <w:shd w:val="clear" w:color="auto" w:fill="auto"/>
            <w:noWrap/>
            <w:vAlign w:val="bottom"/>
            <w:hideMark/>
          </w:tcPr>
          <w:p w14:paraId="724A74F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commercial, not further defined</w:t>
            </w:r>
          </w:p>
        </w:tc>
      </w:tr>
      <w:tr w:rsidR="00285EF0" w:rsidRPr="0039389C" w14:paraId="7623BF76" w14:textId="77777777" w:rsidTr="00285EF0">
        <w:trPr>
          <w:trHeight w:val="290"/>
        </w:trPr>
        <w:tc>
          <w:tcPr>
            <w:tcW w:w="9298" w:type="dxa"/>
            <w:shd w:val="clear" w:color="auto" w:fill="auto"/>
            <w:noWrap/>
            <w:vAlign w:val="bottom"/>
            <w:hideMark/>
          </w:tcPr>
          <w:p w14:paraId="3691101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not further defined</w:t>
            </w:r>
          </w:p>
        </w:tc>
      </w:tr>
      <w:tr w:rsidR="00285EF0" w:rsidRPr="0039389C" w14:paraId="27DBE9F7" w14:textId="77777777" w:rsidTr="00285EF0">
        <w:trPr>
          <w:trHeight w:val="290"/>
        </w:trPr>
        <w:tc>
          <w:tcPr>
            <w:tcW w:w="9298" w:type="dxa"/>
            <w:shd w:val="clear" w:color="auto" w:fill="auto"/>
            <w:noWrap/>
            <w:vAlign w:val="bottom"/>
            <w:hideMark/>
          </w:tcPr>
          <w:p w14:paraId="5475020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not further defined</w:t>
            </w:r>
          </w:p>
        </w:tc>
      </w:tr>
      <w:tr w:rsidR="00285EF0" w:rsidRPr="0039389C" w14:paraId="5BE60473" w14:textId="77777777" w:rsidTr="00285EF0">
        <w:trPr>
          <w:trHeight w:val="290"/>
        </w:trPr>
        <w:tc>
          <w:tcPr>
            <w:tcW w:w="9298" w:type="dxa"/>
            <w:shd w:val="clear" w:color="auto" w:fill="auto"/>
            <w:noWrap/>
            <w:vAlign w:val="bottom"/>
            <w:hideMark/>
          </w:tcPr>
          <w:p w14:paraId="3AAB624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jam-filled, homemade from basic ingredients, fat not further defined</w:t>
            </w:r>
          </w:p>
        </w:tc>
      </w:tr>
      <w:tr w:rsidR="00285EF0" w:rsidRPr="0039389C" w14:paraId="6263D10F" w14:textId="77777777" w:rsidTr="00285EF0">
        <w:trPr>
          <w:trHeight w:val="290"/>
        </w:trPr>
        <w:tc>
          <w:tcPr>
            <w:tcW w:w="9298" w:type="dxa"/>
            <w:shd w:val="clear" w:color="auto" w:fill="auto"/>
            <w:noWrap/>
            <w:vAlign w:val="bottom"/>
            <w:hideMark/>
          </w:tcPr>
          <w:p w14:paraId="224594A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sandwich, cream &amp; jam filling, commercial</w:t>
            </w:r>
          </w:p>
        </w:tc>
      </w:tr>
      <w:tr w:rsidR="00285EF0" w:rsidRPr="0039389C" w14:paraId="0F18697F" w14:textId="77777777" w:rsidTr="00285EF0">
        <w:trPr>
          <w:trHeight w:val="290"/>
        </w:trPr>
        <w:tc>
          <w:tcPr>
            <w:tcW w:w="9298" w:type="dxa"/>
            <w:shd w:val="clear" w:color="auto" w:fill="auto"/>
            <w:noWrap/>
            <w:vAlign w:val="bottom"/>
            <w:hideMark/>
          </w:tcPr>
          <w:p w14:paraId="2A580DD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cream assorted, commercial, not further defined</w:t>
            </w:r>
          </w:p>
        </w:tc>
      </w:tr>
      <w:tr w:rsidR="00285EF0" w:rsidRPr="0039389C" w14:paraId="62E8CF86" w14:textId="77777777" w:rsidTr="00285EF0">
        <w:trPr>
          <w:trHeight w:val="290"/>
        </w:trPr>
        <w:tc>
          <w:tcPr>
            <w:tcW w:w="9298" w:type="dxa"/>
            <w:shd w:val="clear" w:color="auto" w:fill="auto"/>
            <w:noWrap/>
            <w:vAlign w:val="bottom"/>
            <w:hideMark/>
          </w:tcPr>
          <w:p w14:paraId="3693E5E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marshmallow filling, chocolate-coated, commercial</w:t>
            </w:r>
          </w:p>
        </w:tc>
      </w:tr>
      <w:tr w:rsidR="00285EF0" w:rsidRPr="0039389C" w14:paraId="561C8510" w14:textId="77777777" w:rsidTr="00285EF0">
        <w:trPr>
          <w:trHeight w:val="290"/>
        </w:trPr>
        <w:tc>
          <w:tcPr>
            <w:tcW w:w="9298" w:type="dxa"/>
            <w:shd w:val="clear" w:color="auto" w:fill="auto"/>
            <w:noWrap/>
            <w:vAlign w:val="bottom"/>
            <w:hideMark/>
          </w:tcPr>
          <w:p w14:paraId="186E2F6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chocolate, commercial, not further defined</w:t>
            </w:r>
          </w:p>
        </w:tc>
      </w:tr>
      <w:tr w:rsidR="00285EF0" w:rsidRPr="0039389C" w14:paraId="1948C0B6" w14:textId="77777777" w:rsidTr="00285EF0">
        <w:trPr>
          <w:trHeight w:val="290"/>
        </w:trPr>
        <w:tc>
          <w:tcPr>
            <w:tcW w:w="9298" w:type="dxa"/>
            <w:shd w:val="clear" w:color="auto" w:fill="auto"/>
            <w:noWrap/>
            <w:vAlign w:val="bottom"/>
            <w:hideMark/>
          </w:tcPr>
          <w:p w14:paraId="1F29951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sponge, plain, commercial, uniced, filled with jam</w:t>
            </w:r>
          </w:p>
        </w:tc>
      </w:tr>
      <w:tr w:rsidR="00285EF0" w:rsidRPr="0039389C" w14:paraId="3B3B02D3" w14:textId="77777777" w:rsidTr="00285EF0">
        <w:trPr>
          <w:trHeight w:val="290"/>
        </w:trPr>
        <w:tc>
          <w:tcPr>
            <w:tcW w:w="9298" w:type="dxa"/>
            <w:shd w:val="clear" w:color="auto" w:fill="auto"/>
            <w:noWrap/>
            <w:vAlign w:val="bottom"/>
            <w:hideMark/>
          </w:tcPr>
          <w:p w14:paraId="1715D28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sponge, plain, commercial, uniced, filled with jam &amp; cream</w:t>
            </w:r>
          </w:p>
        </w:tc>
      </w:tr>
      <w:tr w:rsidR="00285EF0" w:rsidRPr="0039389C" w14:paraId="2524EF18" w14:textId="77777777" w:rsidTr="00285EF0">
        <w:trPr>
          <w:trHeight w:val="290"/>
        </w:trPr>
        <w:tc>
          <w:tcPr>
            <w:tcW w:w="9298" w:type="dxa"/>
            <w:shd w:val="clear" w:color="auto" w:fill="auto"/>
            <w:noWrap/>
            <w:vAlign w:val="bottom"/>
            <w:hideMark/>
          </w:tcPr>
          <w:p w14:paraId="61E83AC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sponge, plain, homemade from basic ingredients, uniced, filled with jam &amp;/or cream</w:t>
            </w:r>
          </w:p>
        </w:tc>
      </w:tr>
      <w:tr w:rsidR="00285EF0" w:rsidRPr="0039389C" w14:paraId="1B196E92" w14:textId="77777777" w:rsidTr="00285EF0">
        <w:trPr>
          <w:trHeight w:val="290"/>
        </w:trPr>
        <w:tc>
          <w:tcPr>
            <w:tcW w:w="9298" w:type="dxa"/>
            <w:shd w:val="clear" w:color="auto" w:fill="auto"/>
            <w:noWrap/>
            <w:vAlign w:val="bottom"/>
            <w:hideMark/>
          </w:tcPr>
          <w:p w14:paraId="14F521A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sponge, plain, uniced, filled with fruit &amp; cream</w:t>
            </w:r>
          </w:p>
        </w:tc>
      </w:tr>
      <w:tr w:rsidR="00285EF0" w:rsidRPr="0039389C" w14:paraId="3A623E45" w14:textId="77777777" w:rsidTr="00285EF0">
        <w:trPr>
          <w:trHeight w:val="290"/>
        </w:trPr>
        <w:tc>
          <w:tcPr>
            <w:tcW w:w="9298" w:type="dxa"/>
            <w:shd w:val="clear" w:color="auto" w:fill="auto"/>
            <w:noWrap/>
            <w:vAlign w:val="bottom"/>
            <w:hideMark/>
          </w:tcPr>
          <w:p w14:paraId="39B39B8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sponge, chocolate flavoured, commercial, uniced, filled with jam &amp; cream</w:t>
            </w:r>
          </w:p>
        </w:tc>
      </w:tr>
      <w:tr w:rsidR="00285EF0" w:rsidRPr="0039389C" w14:paraId="025D2E36" w14:textId="77777777" w:rsidTr="00285EF0">
        <w:trPr>
          <w:trHeight w:val="290"/>
        </w:trPr>
        <w:tc>
          <w:tcPr>
            <w:tcW w:w="9298" w:type="dxa"/>
            <w:shd w:val="clear" w:color="auto" w:fill="auto"/>
            <w:noWrap/>
            <w:vAlign w:val="bottom"/>
            <w:hideMark/>
          </w:tcPr>
          <w:p w14:paraId="65FBA7B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lamington, filled with jam &amp;/or cream</w:t>
            </w:r>
          </w:p>
        </w:tc>
      </w:tr>
      <w:tr w:rsidR="00285EF0" w:rsidRPr="0039389C" w14:paraId="7EB174F8" w14:textId="77777777" w:rsidTr="00285EF0">
        <w:trPr>
          <w:trHeight w:val="290"/>
        </w:trPr>
        <w:tc>
          <w:tcPr>
            <w:tcW w:w="9298" w:type="dxa"/>
            <w:shd w:val="clear" w:color="auto" w:fill="auto"/>
            <w:noWrap/>
            <w:vAlign w:val="bottom"/>
            <w:hideMark/>
          </w:tcPr>
          <w:p w14:paraId="4BC2793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berry, undefined fat, uniced</w:t>
            </w:r>
          </w:p>
        </w:tc>
      </w:tr>
      <w:tr w:rsidR="00285EF0" w:rsidRPr="0039389C" w14:paraId="75C21426" w14:textId="77777777" w:rsidTr="00285EF0">
        <w:trPr>
          <w:trHeight w:val="290"/>
        </w:trPr>
        <w:tc>
          <w:tcPr>
            <w:tcW w:w="9298" w:type="dxa"/>
            <w:shd w:val="clear" w:color="auto" w:fill="auto"/>
            <w:noWrap/>
            <w:vAlign w:val="bottom"/>
            <w:hideMark/>
          </w:tcPr>
          <w:p w14:paraId="78E1493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berry, reduced fat, commercial, uniced</w:t>
            </w:r>
          </w:p>
        </w:tc>
      </w:tr>
      <w:tr w:rsidR="00285EF0" w:rsidRPr="0039389C" w14:paraId="5E671F22" w14:textId="77777777" w:rsidTr="00285EF0">
        <w:trPr>
          <w:trHeight w:val="290"/>
        </w:trPr>
        <w:tc>
          <w:tcPr>
            <w:tcW w:w="9298" w:type="dxa"/>
            <w:shd w:val="clear" w:color="auto" w:fill="auto"/>
            <w:noWrap/>
            <w:vAlign w:val="bottom"/>
            <w:hideMark/>
          </w:tcPr>
          <w:p w14:paraId="318BE1E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cupcake or muffin, berry, prepared from dry mix, undefined fat, uniced</w:t>
            </w:r>
          </w:p>
        </w:tc>
      </w:tr>
      <w:tr w:rsidR="00285EF0" w:rsidRPr="0039389C" w14:paraId="7C230D2F" w14:textId="77777777" w:rsidTr="00285EF0">
        <w:trPr>
          <w:trHeight w:val="290"/>
        </w:trPr>
        <w:tc>
          <w:tcPr>
            <w:tcW w:w="9298" w:type="dxa"/>
            <w:shd w:val="clear" w:color="auto" w:fill="auto"/>
            <w:noWrap/>
            <w:vAlign w:val="bottom"/>
            <w:hideMark/>
          </w:tcPr>
          <w:p w14:paraId="3522339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friand, commercial, uniced</w:t>
            </w:r>
          </w:p>
        </w:tc>
      </w:tr>
      <w:tr w:rsidR="00285EF0" w:rsidRPr="0039389C" w14:paraId="7786F94C" w14:textId="77777777" w:rsidTr="00285EF0">
        <w:trPr>
          <w:trHeight w:val="290"/>
        </w:trPr>
        <w:tc>
          <w:tcPr>
            <w:tcW w:w="9298" w:type="dxa"/>
            <w:shd w:val="clear" w:color="auto" w:fill="auto"/>
            <w:noWrap/>
            <w:vAlign w:val="bottom"/>
            <w:hideMark/>
          </w:tcPr>
          <w:p w14:paraId="67BDCDA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friand, homemade from basic ingredients, uniced</w:t>
            </w:r>
          </w:p>
        </w:tc>
      </w:tr>
      <w:tr w:rsidR="00285EF0" w:rsidRPr="0039389C" w14:paraId="5501B27B" w14:textId="77777777" w:rsidTr="00285EF0">
        <w:trPr>
          <w:trHeight w:val="290"/>
        </w:trPr>
        <w:tc>
          <w:tcPr>
            <w:tcW w:w="9298" w:type="dxa"/>
            <w:shd w:val="clear" w:color="auto" w:fill="auto"/>
            <w:noWrap/>
            <w:vAlign w:val="bottom"/>
            <w:hideMark/>
          </w:tcPr>
          <w:p w14:paraId="1016C7F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Muffin, cake-style, berry, commercial, uniced</w:t>
            </w:r>
          </w:p>
        </w:tc>
      </w:tr>
      <w:tr w:rsidR="00285EF0" w:rsidRPr="0039389C" w14:paraId="69EC4DD2" w14:textId="77777777" w:rsidTr="00285EF0">
        <w:trPr>
          <w:trHeight w:val="290"/>
        </w:trPr>
        <w:tc>
          <w:tcPr>
            <w:tcW w:w="9298" w:type="dxa"/>
            <w:shd w:val="clear" w:color="auto" w:fill="auto"/>
            <w:noWrap/>
            <w:vAlign w:val="bottom"/>
            <w:hideMark/>
          </w:tcPr>
          <w:p w14:paraId="3D29068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Muffin, cake-style, berry, homemade from basic ingredients, uniced</w:t>
            </w:r>
          </w:p>
        </w:tc>
      </w:tr>
      <w:tr w:rsidR="00285EF0" w:rsidRPr="0039389C" w14:paraId="227C4E5C" w14:textId="77777777" w:rsidTr="00285EF0">
        <w:trPr>
          <w:trHeight w:val="290"/>
        </w:trPr>
        <w:tc>
          <w:tcPr>
            <w:tcW w:w="9298" w:type="dxa"/>
            <w:shd w:val="clear" w:color="auto" w:fill="auto"/>
            <w:noWrap/>
            <w:vAlign w:val="bottom"/>
            <w:hideMark/>
          </w:tcPr>
          <w:p w14:paraId="297256E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Muffin, cake-style, commercial, not further defined</w:t>
            </w:r>
          </w:p>
        </w:tc>
      </w:tr>
      <w:tr w:rsidR="00285EF0" w:rsidRPr="0039389C" w14:paraId="6E1AAB14" w14:textId="77777777" w:rsidTr="00285EF0">
        <w:trPr>
          <w:trHeight w:val="290"/>
        </w:trPr>
        <w:tc>
          <w:tcPr>
            <w:tcW w:w="9298" w:type="dxa"/>
            <w:shd w:val="clear" w:color="auto" w:fill="auto"/>
            <w:noWrap/>
            <w:vAlign w:val="bottom"/>
            <w:hideMark/>
          </w:tcPr>
          <w:p w14:paraId="15D6D79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berry shortcake, undefined fat</w:t>
            </w:r>
          </w:p>
        </w:tc>
      </w:tr>
      <w:tr w:rsidR="00285EF0" w:rsidRPr="0039389C" w14:paraId="037CC6DF" w14:textId="77777777" w:rsidTr="00285EF0">
        <w:trPr>
          <w:trHeight w:val="290"/>
        </w:trPr>
        <w:tc>
          <w:tcPr>
            <w:tcW w:w="9298" w:type="dxa"/>
            <w:shd w:val="clear" w:color="auto" w:fill="auto"/>
            <w:noWrap/>
            <w:vAlign w:val="bottom"/>
            <w:hideMark/>
          </w:tcPr>
          <w:p w14:paraId="1022009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Slice, coconut, with jam, commercial</w:t>
            </w:r>
          </w:p>
        </w:tc>
      </w:tr>
      <w:tr w:rsidR="00285EF0" w:rsidRPr="0039389C" w14:paraId="679C930A" w14:textId="77777777" w:rsidTr="00285EF0">
        <w:trPr>
          <w:trHeight w:val="290"/>
        </w:trPr>
        <w:tc>
          <w:tcPr>
            <w:tcW w:w="9298" w:type="dxa"/>
            <w:shd w:val="clear" w:color="auto" w:fill="auto"/>
            <w:noWrap/>
            <w:vAlign w:val="bottom"/>
            <w:hideMark/>
          </w:tcPr>
          <w:p w14:paraId="64E606B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Slice, coconut, with jam, homemade from basic ingredients, fat not further defined</w:t>
            </w:r>
          </w:p>
        </w:tc>
      </w:tr>
      <w:tr w:rsidR="00285EF0" w:rsidRPr="0039389C" w14:paraId="3180026E" w14:textId="77777777" w:rsidTr="00285EF0">
        <w:trPr>
          <w:trHeight w:val="290"/>
        </w:trPr>
        <w:tc>
          <w:tcPr>
            <w:tcW w:w="9298" w:type="dxa"/>
            <w:shd w:val="clear" w:color="auto" w:fill="auto"/>
            <w:noWrap/>
            <w:vAlign w:val="bottom"/>
            <w:hideMark/>
          </w:tcPr>
          <w:p w14:paraId="7CC1CA6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Slice, meringue, with jam, homemade from basic ingredients, fat not further defined</w:t>
            </w:r>
          </w:p>
        </w:tc>
      </w:tr>
      <w:tr w:rsidR="00285EF0" w:rsidRPr="0039389C" w14:paraId="2AB810CE" w14:textId="77777777" w:rsidTr="00285EF0">
        <w:trPr>
          <w:trHeight w:val="290"/>
        </w:trPr>
        <w:tc>
          <w:tcPr>
            <w:tcW w:w="9298" w:type="dxa"/>
            <w:shd w:val="clear" w:color="auto" w:fill="auto"/>
            <w:noWrap/>
            <w:vAlign w:val="bottom"/>
            <w:hideMark/>
          </w:tcPr>
          <w:p w14:paraId="16EA046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Slice, not further defined</w:t>
            </w:r>
          </w:p>
        </w:tc>
      </w:tr>
      <w:tr w:rsidR="00285EF0" w:rsidRPr="0039389C" w14:paraId="51BF13C8" w14:textId="77777777" w:rsidTr="00285EF0">
        <w:trPr>
          <w:trHeight w:val="290"/>
        </w:trPr>
        <w:tc>
          <w:tcPr>
            <w:tcW w:w="9298" w:type="dxa"/>
            <w:shd w:val="clear" w:color="auto" w:fill="auto"/>
            <w:noWrap/>
            <w:vAlign w:val="bottom"/>
            <w:hideMark/>
          </w:tcPr>
          <w:p w14:paraId="72696E7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Pie, sweet, apple &amp; berry, from frozen, baked</w:t>
            </w:r>
          </w:p>
        </w:tc>
      </w:tr>
      <w:tr w:rsidR="00285EF0" w:rsidRPr="0039389C" w14:paraId="45456803" w14:textId="77777777" w:rsidTr="00285EF0">
        <w:trPr>
          <w:trHeight w:val="290"/>
        </w:trPr>
        <w:tc>
          <w:tcPr>
            <w:tcW w:w="9298" w:type="dxa"/>
            <w:shd w:val="clear" w:color="auto" w:fill="auto"/>
            <w:noWrap/>
            <w:vAlign w:val="bottom"/>
            <w:hideMark/>
          </w:tcPr>
          <w:p w14:paraId="2A66CFF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Pie, sweet, mixed berry, homemade</w:t>
            </w:r>
          </w:p>
        </w:tc>
      </w:tr>
      <w:tr w:rsidR="00285EF0" w:rsidRPr="0039389C" w14:paraId="20350FEA" w14:textId="77777777" w:rsidTr="00285EF0">
        <w:trPr>
          <w:trHeight w:val="290"/>
        </w:trPr>
        <w:tc>
          <w:tcPr>
            <w:tcW w:w="9298" w:type="dxa"/>
            <w:shd w:val="clear" w:color="auto" w:fill="auto"/>
            <w:noWrap/>
            <w:vAlign w:val="bottom"/>
            <w:hideMark/>
          </w:tcPr>
          <w:p w14:paraId="12B40BC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Tart, jam, commercial</w:t>
            </w:r>
          </w:p>
        </w:tc>
      </w:tr>
      <w:tr w:rsidR="00285EF0" w:rsidRPr="0039389C" w14:paraId="39D75B83" w14:textId="77777777" w:rsidTr="00285EF0">
        <w:trPr>
          <w:trHeight w:val="290"/>
        </w:trPr>
        <w:tc>
          <w:tcPr>
            <w:tcW w:w="9298" w:type="dxa"/>
            <w:shd w:val="clear" w:color="auto" w:fill="auto"/>
            <w:noWrap/>
            <w:vAlign w:val="bottom"/>
            <w:hideMark/>
          </w:tcPr>
          <w:p w14:paraId="2EB03B1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Tart, jam, homemade</w:t>
            </w:r>
          </w:p>
        </w:tc>
      </w:tr>
      <w:tr w:rsidR="00285EF0" w:rsidRPr="0039389C" w14:paraId="147A3AC2" w14:textId="77777777" w:rsidTr="00285EF0">
        <w:trPr>
          <w:trHeight w:val="290"/>
        </w:trPr>
        <w:tc>
          <w:tcPr>
            <w:tcW w:w="9298" w:type="dxa"/>
            <w:shd w:val="clear" w:color="auto" w:fill="auto"/>
            <w:noWrap/>
            <w:vAlign w:val="bottom"/>
            <w:hideMark/>
          </w:tcPr>
          <w:p w14:paraId="15DE83F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Crepe or pancake, berry, homemade from basic ingredients</w:t>
            </w:r>
          </w:p>
        </w:tc>
      </w:tr>
      <w:tr w:rsidR="00285EF0" w:rsidRPr="0039389C" w14:paraId="44B2EE50" w14:textId="77777777" w:rsidTr="00285EF0">
        <w:trPr>
          <w:trHeight w:val="290"/>
        </w:trPr>
        <w:tc>
          <w:tcPr>
            <w:tcW w:w="9298" w:type="dxa"/>
            <w:shd w:val="clear" w:color="auto" w:fill="auto"/>
            <w:noWrap/>
            <w:vAlign w:val="bottom"/>
            <w:hideMark/>
          </w:tcPr>
          <w:p w14:paraId="302CE0A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Waffle, berry, fresh, homemade from basic ingredients</w:t>
            </w:r>
          </w:p>
        </w:tc>
      </w:tr>
      <w:tr w:rsidR="00285EF0" w:rsidRPr="0039389C" w14:paraId="3C746AE3" w14:textId="77777777" w:rsidTr="00285EF0">
        <w:trPr>
          <w:trHeight w:val="290"/>
        </w:trPr>
        <w:tc>
          <w:tcPr>
            <w:tcW w:w="9298" w:type="dxa"/>
            <w:shd w:val="clear" w:color="auto" w:fill="auto"/>
            <w:noWrap/>
            <w:vAlign w:val="bottom"/>
            <w:hideMark/>
          </w:tcPr>
          <w:p w14:paraId="1F6D3AC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Doughnut, jam filled, sugar coated</w:t>
            </w:r>
          </w:p>
        </w:tc>
      </w:tr>
      <w:tr w:rsidR="00285EF0" w:rsidRPr="0039389C" w14:paraId="6FA5630A" w14:textId="77777777" w:rsidTr="00285EF0">
        <w:trPr>
          <w:trHeight w:val="290"/>
        </w:trPr>
        <w:tc>
          <w:tcPr>
            <w:tcW w:w="9298" w:type="dxa"/>
            <w:shd w:val="clear" w:color="auto" w:fill="auto"/>
            <w:noWrap/>
            <w:vAlign w:val="bottom"/>
            <w:hideMark/>
          </w:tcPr>
          <w:p w14:paraId="59355FB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Doughnut, jam filled, with chocolate icing</w:t>
            </w:r>
          </w:p>
        </w:tc>
      </w:tr>
      <w:tr w:rsidR="00285EF0" w:rsidRPr="0039389C" w14:paraId="355C8B94" w14:textId="77777777" w:rsidTr="00285EF0">
        <w:trPr>
          <w:trHeight w:val="290"/>
        </w:trPr>
        <w:tc>
          <w:tcPr>
            <w:tcW w:w="9298" w:type="dxa"/>
            <w:shd w:val="clear" w:color="auto" w:fill="auto"/>
            <w:noWrap/>
            <w:vAlign w:val="bottom"/>
            <w:hideMark/>
          </w:tcPr>
          <w:p w14:paraId="36D570F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Mixed berry, cooked</w:t>
            </w:r>
          </w:p>
        </w:tc>
      </w:tr>
      <w:tr w:rsidR="00285EF0" w:rsidRPr="0039389C" w14:paraId="1497B7DC" w14:textId="77777777" w:rsidTr="00285EF0">
        <w:trPr>
          <w:trHeight w:val="290"/>
        </w:trPr>
        <w:tc>
          <w:tcPr>
            <w:tcW w:w="9298" w:type="dxa"/>
            <w:shd w:val="clear" w:color="auto" w:fill="auto"/>
            <w:noWrap/>
            <w:vAlign w:val="bottom"/>
            <w:hideMark/>
          </w:tcPr>
          <w:p w14:paraId="3A63754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Blueberry, canned in syrup</w:t>
            </w:r>
          </w:p>
        </w:tc>
      </w:tr>
      <w:tr w:rsidR="00285EF0" w:rsidRPr="0039389C" w14:paraId="772C95C9" w14:textId="77777777" w:rsidTr="00285EF0">
        <w:trPr>
          <w:trHeight w:val="290"/>
        </w:trPr>
        <w:tc>
          <w:tcPr>
            <w:tcW w:w="9298" w:type="dxa"/>
            <w:shd w:val="clear" w:color="auto" w:fill="auto"/>
            <w:noWrap/>
            <w:vAlign w:val="bottom"/>
            <w:hideMark/>
          </w:tcPr>
          <w:p w14:paraId="1B751ED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apple, banana &amp; berries, homemade</w:t>
            </w:r>
          </w:p>
        </w:tc>
      </w:tr>
      <w:tr w:rsidR="00285EF0" w:rsidRPr="0039389C" w14:paraId="066D071E" w14:textId="77777777" w:rsidTr="00285EF0">
        <w:trPr>
          <w:trHeight w:val="290"/>
        </w:trPr>
        <w:tc>
          <w:tcPr>
            <w:tcW w:w="9298" w:type="dxa"/>
            <w:shd w:val="clear" w:color="auto" w:fill="auto"/>
            <w:noWrap/>
            <w:vAlign w:val="bottom"/>
            <w:hideMark/>
          </w:tcPr>
          <w:p w14:paraId="047B3A0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apple, banana, berries &amp; other fruit, homemade</w:t>
            </w:r>
          </w:p>
        </w:tc>
      </w:tr>
      <w:tr w:rsidR="00285EF0" w:rsidRPr="0039389C" w14:paraId="3FFF03E2" w14:textId="77777777" w:rsidTr="00285EF0">
        <w:trPr>
          <w:trHeight w:val="290"/>
        </w:trPr>
        <w:tc>
          <w:tcPr>
            <w:tcW w:w="9298" w:type="dxa"/>
            <w:shd w:val="clear" w:color="auto" w:fill="auto"/>
            <w:noWrap/>
            <w:vAlign w:val="bottom"/>
            <w:hideMark/>
          </w:tcPr>
          <w:p w14:paraId="1FB6B9B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apple, berries &amp; orange, homemade</w:t>
            </w:r>
          </w:p>
        </w:tc>
      </w:tr>
      <w:tr w:rsidR="00285EF0" w:rsidRPr="0039389C" w14:paraId="2D36948B" w14:textId="77777777" w:rsidTr="00285EF0">
        <w:trPr>
          <w:trHeight w:val="290"/>
        </w:trPr>
        <w:tc>
          <w:tcPr>
            <w:tcW w:w="9298" w:type="dxa"/>
            <w:shd w:val="clear" w:color="auto" w:fill="auto"/>
            <w:noWrap/>
            <w:vAlign w:val="bottom"/>
            <w:hideMark/>
          </w:tcPr>
          <w:p w14:paraId="3544D89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banana, berries, melon &amp; other fruit, homemade</w:t>
            </w:r>
          </w:p>
        </w:tc>
      </w:tr>
      <w:tr w:rsidR="00285EF0" w:rsidRPr="0039389C" w14:paraId="2848F877" w14:textId="77777777" w:rsidTr="00285EF0">
        <w:trPr>
          <w:trHeight w:val="290"/>
        </w:trPr>
        <w:tc>
          <w:tcPr>
            <w:tcW w:w="9298" w:type="dxa"/>
            <w:shd w:val="clear" w:color="auto" w:fill="auto"/>
            <w:noWrap/>
            <w:vAlign w:val="bottom"/>
            <w:hideMark/>
          </w:tcPr>
          <w:p w14:paraId="21ED50F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banana, berries &amp; stone fruit, homemade</w:t>
            </w:r>
          </w:p>
        </w:tc>
      </w:tr>
      <w:tr w:rsidR="00285EF0" w:rsidRPr="0039389C" w14:paraId="0A5E3D0D" w14:textId="77777777" w:rsidTr="00285EF0">
        <w:trPr>
          <w:trHeight w:val="290"/>
        </w:trPr>
        <w:tc>
          <w:tcPr>
            <w:tcW w:w="9298" w:type="dxa"/>
            <w:shd w:val="clear" w:color="auto" w:fill="auto"/>
            <w:noWrap/>
            <w:vAlign w:val="bottom"/>
            <w:hideMark/>
          </w:tcPr>
          <w:p w14:paraId="1270BF0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banana, berries, mango &amp; other fruit, homemade</w:t>
            </w:r>
          </w:p>
        </w:tc>
      </w:tr>
      <w:tr w:rsidR="00285EF0" w:rsidRPr="0039389C" w14:paraId="58D7A941" w14:textId="77777777" w:rsidTr="00285EF0">
        <w:trPr>
          <w:trHeight w:val="290"/>
        </w:trPr>
        <w:tc>
          <w:tcPr>
            <w:tcW w:w="9298" w:type="dxa"/>
            <w:shd w:val="clear" w:color="auto" w:fill="auto"/>
            <w:noWrap/>
            <w:vAlign w:val="bottom"/>
            <w:hideMark/>
          </w:tcPr>
          <w:p w14:paraId="5C58E1B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berries &amp; pineapple, homemade</w:t>
            </w:r>
          </w:p>
        </w:tc>
      </w:tr>
      <w:tr w:rsidR="00285EF0" w:rsidRPr="0039389C" w14:paraId="5F7381AE" w14:textId="77777777" w:rsidTr="00285EF0">
        <w:trPr>
          <w:trHeight w:val="290"/>
        </w:trPr>
        <w:tc>
          <w:tcPr>
            <w:tcW w:w="9298" w:type="dxa"/>
            <w:shd w:val="clear" w:color="auto" w:fill="auto"/>
            <w:noWrap/>
            <w:vAlign w:val="bottom"/>
            <w:hideMark/>
          </w:tcPr>
          <w:p w14:paraId="64850DE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berries, cherries, watermelon or other red fruit, homemade</w:t>
            </w:r>
          </w:p>
        </w:tc>
      </w:tr>
      <w:tr w:rsidR="00285EF0" w:rsidRPr="0039389C" w14:paraId="3611C91C" w14:textId="77777777" w:rsidTr="00285EF0">
        <w:trPr>
          <w:trHeight w:val="290"/>
        </w:trPr>
        <w:tc>
          <w:tcPr>
            <w:tcW w:w="9298" w:type="dxa"/>
            <w:shd w:val="clear" w:color="auto" w:fill="auto"/>
            <w:noWrap/>
            <w:vAlign w:val="bottom"/>
            <w:hideMark/>
          </w:tcPr>
          <w:p w14:paraId="6D42C87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berries, mango, stone fruit &amp; other fruit, homemade</w:t>
            </w:r>
          </w:p>
        </w:tc>
      </w:tr>
      <w:tr w:rsidR="00285EF0" w:rsidRPr="0039389C" w14:paraId="05CCA178" w14:textId="77777777" w:rsidTr="00285EF0">
        <w:trPr>
          <w:trHeight w:val="290"/>
        </w:trPr>
        <w:tc>
          <w:tcPr>
            <w:tcW w:w="9298" w:type="dxa"/>
            <w:shd w:val="clear" w:color="auto" w:fill="auto"/>
            <w:noWrap/>
            <w:vAlign w:val="bottom"/>
            <w:hideMark/>
          </w:tcPr>
          <w:p w14:paraId="635D1A7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Mixed berry, dried</w:t>
            </w:r>
          </w:p>
        </w:tc>
      </w:tr>
      <w:tr w:rsidR="00285EF0" w:rsidRPr="0039389C" w14:paraId="45516235" w14:textId="77777777" w:rsidTr="00285EF0">
        <w:trPr>
          <w:trHeight w:val="290"/>
        </w:trPr>
        <w:tc>
          <w:tcPr>
            <w:tcW w:w="9298" w:type="dxa"/>
            <w:shd w:val="clear" w:color="auto" w:fill="auto"/>
            <w:noWrap/>
            <w:vAlign w:val="bottom"/>
            <w:hideMark/>
          </w:tcPr>
          <w:p w14:paraId="165B3D7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Crumble, apple &amp; berry, baked, homemade</w:t>
            </w:r>
          </w:p>
        </w:tc>
      </w:tr>
      <w:tr w:rsidR="00285EF0" w:rsidRPr="0039389C" w14:paraId="2861D6FF" w14:textId="77777777" w:rsidTr="00285EF0">
        <w:trPr>
          <w:trHeight w:val="290"/>
        </w:trPr>
        <w:tc>
          <w:tcPr>
            <w:tcW w:w="9298" w:type="dxa"/>
            <w:shd w:val="clear" w:color="auto" w:fill="auto"/>
            <w:noWrap/>
            <w:vAlign w:val="bottom"/>
            <w:hideMark/>
          </w:tcPr>
          <w:p w14:paraId="5E3167A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Souffle, fruit</w:t>
            </w:r>
          </w:p>
        </w:tc>
      </w:tr>
      <w:tr w:rsidR="00285EF0" w:rsidRPr="0039389C" w14:paraId="27099BF7" w14:textId="77777777" w:rsidTr="00285EF0">
        <w:trPr>
          <w:trHeight w:val="290"/>
        </w:trPr>
        <w:tc>
          <w:tcPr>
            <w:tcW w:w="9298" w:type="dxa"/>
            <w:shd w:val="clear" w:color="auto" w:fill="auto"/>
            <w:noWrap/>
            <w:vAlign w:val="bottom"/>
            <w:hideMark/>
          </w:tcPr>
          <w:p w14:paraId="4C81B50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natural or Greek, high fat (approx. 6%), added berry pieces</w:t>
            </w:r>
          </w:p>
        </w:tc>
      </w:tr>
      <w:tr w:rsidR="00285EF0" w:rsidRPr="0039389C" w14:paraId="43390F0B" w14:textId="77777777" w:rsidTr="00285EF0">
        <w:trPr>
          <w:trHeight w:val="290"/>
        </w:trPr>
        <w:tc>
          <w:tcPr>
            <w:tcW w:w="9298" w:type="dxa"/>
            <w:shd w:val="clear" w:color="auto" w:fill="auto"/>
            <w:noWrap/>
            <w:vAlign w:val="bottom"/>
            <w:hideMark/>
          </w:tcPr>
          <w:p w14:paraId="36B119D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regular fat (approx. 3%)</w:t>
            </w:r>
          </w:p>
        </w:tc>
      </w:tr>
      <w:tr w:rsidR="00285EF0" w:rsidRPr="0039389C" w14:paraId="2E44D7C3" w14:textId="77777777" w:rsidTr="00285EF0">
        <w:trPr>
          <w:trHeight w:val="290"/>
        </w:trPr>
        <w:tc>
          <w:tcPr>
            <w:tcW w:w="9298" w:type="dxa"/>
            <w:shd w:val="clear" w:color="auto" w:fill="auto"/>
            <w:noWrap/>
            <w:vAlign w:val="bottom"/>
            <w:hideMark/>
          </w:tcPr>
          <w:p w14:paraId="7F02ECD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with added fruit juice, reduced fat (approx. 2%)</w:t>
            </w:r>
          </w:p>
        </w:tc>
      </w:tr>
      <w:tr w:rsidR="00285EF0" w:rsidRPr="0039389C" w14:paraId="4581D94D" w14:textId="77777777" w:rsidTr="00285EF0">
        <w:trPr>
          <w:trHeight w:val="290"/>
        </w:trPr>
        <w:tc>
          <w:tcPr>
            <w:tcW w:w="9298" w:type="dxa"/>
            <w:shd w:val="clear" w:color="auto" w:fill="auto"/>
            <w:noWrap/>
            <w:vAlign w:val="bottom"/>
            <w:hideMark/>
          </w:tcPr>
          <w:p w14:paraId="22161DC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natural or Greek, regular fat (approx. 4%), added berry pieces</w:t>
            </w:r>
          </w:p>
        </w:tc>
      </w:tr>
      <w:tr w:rsidR="00285EF0" w:rsidRPr="0039389C" w14:paraId="6783A503" w14:textId="77777777" w:rsidTr="00285EF0">
        <w:trPr>
          <w:trHeight w:val="290"/>
        </w:trPr>
        <w:tc>
          <w:tcPr>
            <w:tcW w:w="9298" w:type="dxa"/>
            <w:shd w:val="clear" w:color="auto" w:fill="auto"/>
            <w:noWrap/>
            <w:vAlign w:val="bottom"/>
            <w:hideMark/>
          </w:tcPr>
          <w:p w14:paraId="217A2FA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flavoured, regular fat (approx. 3%), added cereals</w:t>
            </w:r>
          </w:p>
        </w:tc>
      </w:tr>
      <w:tr w:rsidR="00285EF0" w:rsidRPr="0039389C" w14:paraId="7B049EEC" w14:textId="77777777" w:rsidTr="00285EF0">
        <w:trPr>
          <w:trHeight w:val="290"/>
        </w:trPr>
        <w:tc>
          <w:tcPr>
            <w:tcW w:w="9298" w:type="dxa"/>
            <w:shd w:val="clear" w:color="auto" w:fill="auto"/>
            <w:noWrap/>
            <w:vAlign w:val="bottom"/>
            <w:hideMark/>
          </w:tcPr>
          <w:p w14:paraId="405E418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reduced fat (1%)</w:t>
            </w:r>
          </w:p>
        </w:tc>
      </w:tr>
      <w:tr w:rsidR="00285EF0" w:rsidRPr="0039389C" w14:paraId="09DF6B0F" w14:textId="77777777" w:rsidTr="00285EF0">
        <w:trPr>
          <w:trHeight w:val="290"/>
        </w:trPr>
        <w:tc>
          <w:tcPr>
            <w:tcW w:w="9298" w:type="dxa"/>
            <w:shd w:val="clear" w:color="auto" w:fill="auto"/>
            <w:noWrap/>
            <w:vAlign w:val="bottom"/>
            <w:hideMark/>
          </w:tcPr>
          <w:p w14:paraId="7B51BD7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tropical fruit or fruit salad pieces or flavoured, with added fruit juice, reduced fat (approx. 2%)</w:t>
            </w:r>
          </w:p>
        </w:tc>
      </w:tr>
      <w:tr w:rsidR="00285EF0" w:rsidRPr="0039389C" w14:paraId="314FE79D" w14:textId="77777777" w:rsidTr="00285EF0">
        <w:trPr>
          <w:trHeight w:val="290"/>
        </w:trPr>
        <w:tc>
          <w:tcPr>
            <w:tcW w:w="9298" w:type="dxa"/>
            <w:shd w:val="clear" w:color="auto" w:fill="auto"/>
            <w:noWrap/>
            <w:vAlign w:val="bottom"/>
            <w:hideMark/>
          </w:tcPr>
          <w:p w14:paraId="5B1AE1A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vanilla flavoured, reduced fat (2%), added berry pieces</w:t>
            </w:r>
          </w:p>
        </w:tc>
      </w:tr>
      <w:tr w:rsidR="00285EF0" w:rsidRPr="0039389C" w14:paraId="68A547CF" w14:textId="77777777" w:rsidTr="00285EF0">
        <w:trPr>
          <w:trHeight w:val="290"/>
        </w:trPr>
        <w:tc>
          <w:tcPr>
            <w:tcW w:w="9298" w:type="dxa"/>
            <w:shd w:val="clear" w:color="auto" w:fill="auto"/>
            <w:noWrap/>
            <w:vAlign w:val="bottom"/>
            <w:hideMark/>
          </w:tcPr>
          <w:p w14:paraId="617535F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low fat (&lt;0.5%)</w:t>
            </w:r>
          </w:p>
        </w:tc>
      </w:tr>
      <w:tr w:rsidR="00285EF0" w:rsidRPr="0039389C" w14:paraId="27533BC5" w14:textId="77777777" w:rsidTr="00285EF0">
        <w:trPr>
          <w:trHeight w:val="290"/>
        </w:trPr>
        <w:tc>
          <w:tcPr>
            <w:tcW w:w="9298" w:type="dxa"/>
            <w:shd w:val="clear" w:color="auto" w:fill="auto"/>
            <w:noWrap/>
            <w:vAlign w:val="bottom"/>
            <w:hideMark/>
          </w:tcPr>
          <w:p w14:paraId="27C0B7A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low fat (&lt;0.5%), intense sweetened</w:t>
            </w:r>
          </w:p>
        </w:tc>
      </w:tr>
      <w:tr w:rsidR="00285EF0" w:rsidRPr="0039389C" w14:paraId="184762B4" w14:textId="77777777" w:rsidTr="00285EF0">
        <w:trPr>
          <w:trHeight w:val="290"/>
        </w:trPr>
        <w:tc>
          <w:tcPr>
            <w:tcW w:w="9298" w:type="dxa"/>
            <w:shd w:val="clear" w:color="auto" w:fill="auto"/>
            <w:noWrap/>
            <w:vAlign w:val="bottom"/>
            <w:hideMark/>
          </w:tcPr>
          <w:p w14:paraId="3F28B8D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drinking style, fruit flavoured, reduced fat (1%)</w:t>
            </w:r>
          </w:p>
        </w:tc>
      </w:tr>
      <w:tr w:rsidR="00285EF0" w:rsidRPr="0039389C" w14:paraId="3D18493C" w14:textId="77777777" w:rsidTr="00285EF0">
        <w:trPr>
          <w:trHeight w:val="290"/>
        </w:trPr>
        <w:tc>
          <w:tcPr>
            <w:tcW w:w="9298" w:type="dxa"/>
            <w:shd w:val="clear" w:color="auto" w:fill="auto"/>
            <w:noWrap/>
            <w:vAlign w:val="bottom"/>
            <w:hideMark/>
          </w:tcPr>
          <w:p w14:paraId="05A2440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regular fat (approx. 3%), added omega-3 polyunsaturates</w:t>
            </w:r>
          </w:p>
        </w:tc>
      </w:tr>
      <w:tr w:rsidR="00285EF0" w:rsidRPr="0039389C" w14:paraId="0D5C263C" w14:textId="77777777" w:rsidTr="00285EF0">
        <w:trPr>
          <w:trHeight w:val="290"/>
        </w:trPr>
        <w:tc>
          <w:tcPr>
            <w:tcW w:w="9298" w:type="dxa"/>
            <w:shd w:val="clear" w:color="auto" w:fill="auto"/>
            <w:noWrap/>
            <w:vAlign w:val="bottom"/>
            <w:hideMark/>
          </w:tcPr>
          <w:p w14:paraId="67BE5F5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reduced fat (1%), added fibre</w:t>
            </w:r>
          </w:p>
        </w:tc>
      </w:tr>
      <w:tr w:rsidR="00285EF0" w:rsidRPr="0039389C" w14:paraId="0A58AA16" w14:textId="77777777" w:rsidTr="00285EF0">
        <w:trPr>
          <w:trHeight w:val="290"/>
        </w:trPr>
        <w:tc>
          <w:tcPr>
            <w:tcW w:w="9298" w:type="dxa"/>
            <w:shd w:val="clear" w:color="auto" w:fill="auto"/>
            <w:noWrap/>
            <w:vAlign w:val="bottom"/>
            <w:hideMark/>
          </w:tcPr>
          <w:p w14:paraId="233383E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low fat (&lt;0.5%), intense sweetened, added fibre</w:t>
            </w:r>
          </w:p>
        </w:tc>
      </w:tr>
      <w:tr w:rsidR="00285EF0" w:rsidRPr="0039389C" w14:paraId="3CCAD48A" w14:textId="77777777" w:rsidTr="00285EF0">
        <w:trPr>
          <w:trHeight w:val="290"/>
        </w:trPr>
        <w:tc>
          <w:tcPr>
            <w:tcW w:w="9298" w:type="dxa"/>
            <w:shd w:val="clear" w:color="auto" w:fill="auto"/>
            <w:noWrap/>
            <w:vAlign w:val="bottom"/>
            <w:hideMark/>
          </w:tcPr>
          <w:p w14:paraId="0681CE0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dessert flavoured, low fat (&lt;0.5%), intense sweetened, added fibre</w:t>
            </w:r>
          </w:p>
        </w:tc>
      </w:tr>
      <w:tr w:rsidR="00285EF0" w:rsidRPr="0039389C" w14:paraId="15D86503" w14:textId="77777777" w:rsidTr="00285EF0">
        <w:trPr>
          <w:trHeight w:val="290"/>
        </w:trPr>
        <w:tc>
          <w:tcPr>
            <w:tcW w:w="9298" w:type="dxa"/>
            <w:shd w:val="clear" w:color="auto" w:fill="auto"/>
            <w:noWrap/>
            <w:vAlign w:val="bottom"/>
            <w:hideMark/>
          </w:tcPr>
          <w:p w14:paraId="4C4889B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not further defined</w:t>
            </w:r>
          </w:p>
        </w:tc>
      </w:tr>
      <w:tr w:rsidR="00285EF0" w:rsidRPr="0039389C" w14:paraId="283C1962" w14:textId="77777777" w:rsidTr="00285EF0">
        <w:trPr>
          <w:trHeight w:val="290"/>
        </w:trPr>
        <w:tc>
          <w:tcPr>
            <w:tcW w:w="9298" w:type="dxa"/>
            <w:shd w:val="clear" w:color="auto" w:fill="auto"/>
            <w:noWrap/>
            <w:vAlign w:val="bottom"/>
            <w:hideMark/>
          </w:tcPr>
          <w:p w14:paraId="29A7DFA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Ice cream, all flavours, homemade from basic ingredients</w:t>
            </w:r>
          </w:p>
        </w:tc>
      </w:tr>
      <w:tr w:rsidR="00285EF0" w:rsidRPr="0039389C" w14:paraId="23928F55" w14:textId="77777777" w:rsidTr="00285EF0">
        <w:trPr>
          <w:trHeight w:val="290"/>
        </w:trPr>
        <w:tc>
          <w:tcPr>
            <w:tcW w:w="9298" w:type="dxa"/>
            <w:shd w:val="clear" w:color="auto" w:fill="auto"/>
            <w:noWrap/>
            <w:vAlign w:val="bottom"/>
            <w:hideMark/>
          </w:tcPr>
          <w:p w14:paraId="24A686E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frozen, berry flavoured, regular fat</w:t>
            </w:r>
          </w:p>
        </w:tc>
      </w:tr>
      <w:tr w:rsidR="00285EF0" w:rsidRPr="0039389C" w14:paraId="10BF3C24" w14:textId="77777777" w:rsidTr="00285EF0">
        <w:trPr>
          <w:trHeight w:val="290"/>
        </w:trPr>
        <w:tc>
          <w:tcPr>
            <w:tcW w:w="9298" w:type="dxa"/>
            <w:shd w:val="clear" w:color="auto" w:fill="auto"/>
            <w:noWrap/>
            <w:vAlign w:val="bottom"/>
            <w:hideMark/>
          </w:tcPr>
          <w:p w14:paraId="48917EE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cheesecake, biscuit base, fruit flavoured cream cheese topping, homemade from basic ingredients</w:t>
            </w:r>
          </w:p>
        </w:tc>
      </w:tr>
      <w:tr w:rsidR="00285EF0" w:rsidRPr="0039389C" w14:paraId="3C578EFF" w14:textId="77777777" w:rsidTr="00285EF0">
        <w:trPr>
          <w:trHeight w:val="290"/>
        </w:trPr>
        <w:tc>
          <w:tcPr>
            <w:tcW w:w="9298" w:type="dxa"/>
            <w:shd w:val="clear" w:color="auto" w:fill="auto"/>
            <w:noWrap/>
            <w:vAlign w:val="bottom"/>
            <w:hideMark/>
          </w:tcPr>
          <w:p w14:paraId="1372F61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Trifle, homemade from basic ingredients</w:t>
            </w:r>
          </w:p>
        </w:tc>
      </w:tr>
      <w:tr w:rsidR="00285EF0" w:rsidRPr="0039389C" w14:paraId="06C5F1D3" w14:textId="77777777" w:rsidTr="00285EF0">
        <w:trPr>
          <w:trHeight w:val="290"/>
        </w:trPr>
        <w:tc>
          <w:tcPr>
            <w:tcW w:w="9298" w:type="dxa"/>
            <w:shd w:val="clear" w:color="auto" w:fill="auto"/>
            <w:noWrap/>
            <w:vAlign w:val="bottom"/>
            <w:hideMark/>
          </w:tcPr>
          <w:p w14:paraId="0615A0C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cows milk, all flavours, added berries</w:t>
            </w:r>
          </w:p>
        </w:tc>
      </w:tr>
      <w:tr w:rsidR="00285EF0" w:rsidRPr="0039389C" w14:paraId="528EFC92" w14:textId="77777777" w:rsidTr="00285EF0">
        <w:trPr>
          <w:trHeight w:val="290"/>
        </w:trPr>
        <w:tc>
          <w:tcPr>
            <w:tcW w:w="9298" w:type="dxa"/>
            <w:shd w:val="clear" w:color="auto" w:fill="auto"/>
            <w:noWrap/>
            <w:vAlign w:val="bottom"/>
            <w:hideMark/>
          </w:tcPr>
          <w:p w14:paraId="72DAE4F8"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cows milk, all flavours, added mixed fruit</w:t>
            </w:r>
          </w:p>
        </w:tc>
      </w:tr>
      <w:tr w:rsidR="00285EF0" w:rsidRPr="0039389C" w14:paraId="0838CF10" w14:textId="77777777" w:rsidTr="00285EF0">
        <w:trPr>
          <w:trHeight w:val="290"/>
        </w:trPr>
        <w:tc>
          <w:tcPr>
            <w:tcW w:w="9298" w:type="dxa"/>
            <w:shd w:val="clear" w:color="auto" w:fill="auto"/>
            <w:noWrap/>
            <w:vAlign w:val="bottom"/>
            <w:hideMark/>
          </w:tcPr>
          <w:p w14:paraId="527C5E4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cows milk, all flavours, added mixed fruit &amp; egg</w:t>
            </w:r>
          </w:p>
        </w:tc>
      </w:tr>
      <w:tr w:rsidR="00285EF0" w:rsidRPr="0039389C" w14:paraId="066F2543" w14:textId="77777777" w:rsidTr="00285EF0">
        <w:trPr>
          <w:trHeight w:val="290"/>
        </w:trPr>
        <w:tc>
          <w:tcPr>
            <w:tcW w:w="9298" w:type="dxa"/>
            <w:shd w:val="clear" w:color="auto" w:fill="auto"/>
            <w:noWrap/>
            <w:vAlign w:val="bottom"/>
            <w:hideMark/>
          </w:tcPr>
          <w:p w14:paraId="066C5E6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cows milk, all flavours, added mixed fruit, guarana &amp; herbal extracts</w:t>
            </w:r>
          </w:p>
        </w:tc>
      </w:tr>
      <w:tr w:rsidR="00285EF0" w:rsidRPr="0039389C" w14:paraId="09065A1E" w14:textId="77777777" w:rsidTr="00285EF0">
        <w:trPr>
          <w:trHeight w:val="290"/>
        </w:trPr>
        <w:tc>
          <w:tcPr>
            <w:tcW w:w="9298" w:type="dxa"/>
            <w:shd w:val="clear" w:color="auto" w:fill="auto"/>
            <w:noWrap/>
            <w:vAlign w:val="bottom"/>
            <w:hideMark/>
          </w:tcPr>
          <w:p w14:paraId="70F52E8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cows milk, all flavours, added mixed fruit &amp; nuts or seeds</w:t>
            </w:r>
          </w:p>
        </w:tc>
      </w:tr>
      <w:tr w:rsidR="00285EF0" w:rsidRPr="0039389C" w14:paraId="6CA1EC9C" w14:textId="77777777" w:rsidTr="00285EF0">
        <w:trPr>
          <w:trHeight w:val="290"/>
        </w:trPr>
        <w:tc>
          <w:tcPr>
            <w:tcW w:w="9298" w:type="dxa"/>
            <w:shd w:val="clear" w:color="auto" w:fill="auto"/>
            <w:noWrap/>
            <w:vAlign w:val="bottom"/>
            <w:hideMark/>
          </w:tcPr>
          <w:p w14:paraId="53BBF48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non-dairy base, all flavours, added mixed fruit</w:t>
            </w:r>
          </w:p>
        </w:tc>
      </w:tr>
      <w:tr w:rsidR="00285EF0" w:rsidRPr="0039389C" w14:paraId="46C75D59" w14:textId="77777777" w:rsidTr="00285EF0">
        <w:trPr>
          <w:trHeight w:val="290"/>
        </w:trPr>
        <w:tc>
          <w:tcPr>
            <w:tcW w:w="9298" w:type="dxa"/>
            <w:shd w:val="clear" w:color="auto" w:fill="auto"/>
            <w:noWrap/>
            <w:vAlign w:val="bottom"/>
            <w:hideMark/>
          </w:tcPr>
          <w:p w14:paraId="1AFF14A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soy based, berry flavoured, regular fat (approx. 3%)</w:t>
            </w:r>
          </w:p>
        </w:tc>
      </w:tr>
      <w:tr w:rsidR="00285EF0" w:rsidRPr="0039389C" w14:paraId="7BD3BF8F" w14:textId="77777777" w:rsidTr="00285EF0">
        <w:trPr>
          <w:trHeight w:val="290"/>
        </w:trPr>
        <w:tc>
          <w:tcPr>
            <w:tcW w:w="9298" w:type="dxa"/>
            <w:shd w:val="clear" w:color="auto" w:fill="auto"/>
            <w:noWrap/>
            <w:vAlign w:val="bottom"/>
            <w:hideMark/>
          </w:tcPr>
          <w:p w14:paraId="6954F8A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Jam, mixed berry, regular</w:t>
            </w:r>
          </w:p>
        </w:tc>
      </w:tr>
      <w:tr w:rsidR="00285EF0" w:rsidRPr="0039389C" w14:paraId="1FAE4831" w14:textId="77777777" w:rsidTr="00285EF0">
        <w:trPr>
          <w:trHeight w:val="290"/>
        </w:trPr>
        <w:tc>
          <w:tcPr>
            <w:tcW w:w="9298" w:type="dxa"/>
            <w:shd w:val="clear" w:color="auto" w:fill="auto"/>
            <w:noWrap/>
            <w:vAlign w:val="bottom"/>
            <w:hideMark/>
          </w:tcPr>
          <w:p w14:paraId="0568C73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Jam, not further defined</w:t>
            </w:r>
          </w:p>
        </w:tc>
      </w:tr>
      <w:tr w:rsidR="00285EF0" w:rsidRPr="0039389C" w14:paraId="31ABF22D" w14:textId="77777777" w:rsidTr="00285EF0">
        <w:trPr>
          <w:trHeight w:val="290"/>
        </w:trPr>
        <w:tc>
          <w:tcPr>
            <w:tcW w:w="9298" w:type="dxa"/>
            <w:shd w:val="clear" w:color="auto" w:fill="auto"/>
            <w:noWrap/>
            <w:vAlign w:val="bottom"/>
            <w:hideMark/>
          </w:tcPr>
          <w:p w14:paraId="7C144BC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Jelly, sugar sweetened, all flavours, prepared, added berries</w:t>
            </w:r>
          </w:p>
        </w:tc>
      </w:tr>
      <w:tr w:rsidR="00285EF0" w:rsidRPr="0039389C" w14:paraId="58A40629" w14:textId="77777777" w:rsidTr="00285EF0">
        <w:trPr>
          <w:trHeight w:val="290"/>
        </w:trPr>
        <w:tc>
          <w:tcPr>
            <w:tcW w:w="9298" w:type="dxa"/>
            <w:shd w:val="clear" w:color="auto" w:fill="auto"/>
            <w:noWrap/>
            <w:vAlign w:val="bottom"/>
            <w:hideMark/>
          </w:tcPr>
          <w:p w14:paraId="2C767CF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w:t>
            </w:r>
          </w:p>
        </w:tc>
      </w:tr>
      <w:tr w:rsidR="00285EF0" w:rsidRPr="0039389C" w14:paraId="70E55857" w14:textId="77777777" w:rsidTr="00285EF0">
        <w:trPr>
          <w:trHeight w:val="290"/>
        </w:trPr>
        <w:tc>
          <w:tcPr>
            <w:tcW w:w="9298" w:type="dxa"/>
            <w:shd w:val="clear" w:color="auto" w:fill="auto"/>
            <w:noWrap/>
            <w:vAlign w:val="bottom"/>
            <w:hideMark/>
          </w:tcPr>
          <w:p w14:paraId="278D403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 added vitamins B1, B2, B3, folate &amp; Fe</w:t>
            </w:r>
          </w:p>
        </w:tc>
      </w:tr>
      <w:tr w:rsidR="00285EF0" w:rsidRPr="0039389C" w14:paraId="6F577010" w14:textId="77777777" w:rsidTr="00285EF0">
        <w:trPr>
          <w:trHeight w:val="290"/>
        </w:trPr>
        <w:tc>
          <w:tcPr>
            <w:tcW w:w="9298" w:type="dxa"/>
            <w:shd w:val="clear" w:color="auto" w:fill="auto"/>
            <w:noWrap/>
            <w:vAlign w:val="bottom"/>
            <w:hideMark/>
          </w:tcPr>
          <w:p w14:paraId="297B040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 high fibre, added vitamins B1, B2, B3, B6, E, &amp; folate, Fe &amp; Zn</w:t>
            </w:r>
          </w:p>
        </w:tc>
      </w:tr>
      <w:tr w:rsidR="00285EF0" w:rsidRPr="0039389C" w14:paraId="41D2CC9E" w14:textId="77777777" w:rsidTr="00285EF0">
        <w:trPr>
          <w:trHeight w:val="290"/>
        </w:trPr>
        <w:tc>
          <w:tcPr>
            <w:tcW w:w="9298" w:type="dxa"/>
            <w:shd w:val="clear" w:color="auto" w:fill="auto"/>
            <w:noWrap/>
            <w:vAlign w:val="bottom"/>
            <w:hideMark/>
          </w:tcPr>
          <w:p w14:paraId="087313F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10% dried fruit &amp; 5% nuts</w:t>
            </w:r>
          </w:p>
        </w:tc>
      </w:tr>
      <w:tr w:rsidR="00285EF0" w:rsidRPr="0039389C" w14:paraId="65DF5434" w14:textId="77777777" w:rsidTr="00285EF0">
        <w:trPr>
          <w:trHeight w:val="290"/>
        </w:trPr>
        <w:tc>
          <w:tcPr>
            <w:tcW w:w="9298" w:type="dxa"/>
            <w:shd w:val="clear" w:color="auto" w:fill="auto"/>
            <w:noWrap/>
            <w:vAlign w:val="bottom"/>
            <w:hideMark/>
          </w:tcPr>
          <w:p w14:paraId="4F009EF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10% dried fruit &amp; 10% nuts</w:t>
            </w:r>
          </w:p>
        </w:tc>
      </w:tr>
      <w:tr w:rsidR="00285EF0" w:rsidRPr="0039389C" w14:paraId="0C01383D" w14:textId="77777777" w:rsidTr="00285EF0">
        <w:trPr>
          <w:trHeight w:val="290"/>
        </w:trPr>
        <w:tc>
          <w:tcPr>
            <w:tcW w:w="9298" w:type="dxa"/>
            <w:shd w:val="clear" w:color="auto" w:fill="auto"/>
            <w:noWrap/>
            <w:vAlign w:val="bottom"/>
            <w:hideMark/>
          </w:tcPr>
          <w:p w14:paraId="43AE2D0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10% dried fruit &amp; 45% nuts, chocolate-coated</w:t>
            </w:r>
          </w:p>
        </w:tc>
      </w:tr>
      <w:tr w:rsidR="00285EF0" w:rsidRPr="0039389C" w14:paraId="4A84FACF" w14:textId="77777777" w:rsidTr="00285EF0">
        <w:trPr>
          <w:trHeight w:val="290"/>
        </w:trPr>
        <w:tc>
          <w:tcPr>
            <w:tcW w:w="9298" w:type="dxa"/>
            <w:shd w:val="clear" w:color="auto" w:fill="auto"/>
            <w:noWrap/>
            <w:vAlign w:val="bottom"/>
            <w:hideMark/>
          </w:tcPr>
          <w:p w14:paraId="25D72A78"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10% dried fruit &amp; 60% nuts</w:t>
            </w:r>
          </w:p>
        </w:tc>
      </w:tr>
      <w:tr w:rsidR="00285EF0" w:rsidRPr="0039389C" w14:paraId="345FE3CB" w14:textId="77777777" w:rsidTr="00285EF0">
        <w:trPr>
          <w:trHeight w:val="290"/>
        </w:trPr>
        <w:tc>
          <w:tcPr>
            <w:tcW w:w="9298" w:type="dxa"/>
            <w:shd w:val="clear" w:color="auto" w:fill="auto"/>
            <w:noWrap/>
            <w:vAlign w:val="bottom"/>
            <w:hideMark/>
          </w:tcPr>
          <w:p w14:paraId="6A96C06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10% dried fruit &amp; 60% nuts, yoghurt-coated</w:t>
            </w:r>
          </w:p>
        </w:tc>
      </w:tr>
      <w:tr w:rsidR="00285EF0" w:rsidRPr="0039389C" w14:paraId="2CC8BA5D" w14:textId="77777777" w:rsidTr="00285EF0">
        <w:trPr>
          <w:trHeight w:val="290"/>
        </w:trPr>
        <w:tc>
          <w:tcPr>
            <w:tcW w:w="9298" w:type="dxa"/>
            <w:shd w:val="clear" w:color="auto" w:fill="auto"/>
            <w:noWrap/>
            <w:vAlign w:val="bottom"/>
            <w:hideMark/>
          </w:tcPr>
          <w:p w14:paraId="5DB2BB4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15% dried fruit &amp; 25% nuts, added vitamins B1, B2, B3, C &amp; folate, Fe, &amp; Zn</w:t>
            </w:r>
          </w:p>
        </w:tc>
      </w:tr>
      <w:tr w:rsidR="00285EF0" w:rsidRPr="0039389C" w14:paraId="0D90C716" w14:textId="77777777" w:rsidTr="00285EF0">
        <w:trPr>
          <w:trHeight w:val="290"/>
        </w:trPr>
        <w:tc>
          <w:tcPr>
            <w:tcW w:w="9298" w:type="dxa"/>
            <w:shd w:val="clear" w:color="auto" w:fill="auto"/>
            <w:noWrap/>
            <w:vAlign w:val="bottom"/>
            <w:hideMark/>
          </w:tcPr>
          <w:p w14:paraId="2BA2548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20% dried fruit &amp; 5% nuts</w:t>
            </w:r>
          </w:p>
        </w:tc>
      </w:tr>
      <w:tr w:rsidR="00285EF0" w:rsidRPr="0039389C" w14:paraId="537C4276" w14:textId="77777777" w:rsidTr="00285EF0">
        <w:trPr>
          <w:trHeight w:val="290"/>
        </w:trPr>
        <w:tc>
          <w:tcPr>
            <w:tcW w:w="9298" w:type="dxa"/>
            <w:shd w:val="clear" w:color="auto" w:fill="auto"/>
            <w:noWrap/>
            <w:vAlign w:val="bottom"/>
            <w:hideMark/>
          </w:tcPr>
          <w:p w14:paraId="063251E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20% dried fruit &amp; 20% nuts, chocolate base</w:t>
            </w:r>
          </w:p>
        </w:tc>
      </w:tr>
      <w:tr w:rsidR="00285EF0" w:rsidRPr="0039389C" w14:paraId="06C17406" w14:textId="77777777" w:rsidTr="00285EF0">
        <w:trPr>
          <w:trHeight w:val="290"/>
        </w:trPr>
        <w:tc>
          <w:tcPr>
            <w:tcW w:w="9298" w:type="dxa"/>
            <w:shd w:val="clear" w:color="auto" w:fill="auto"/>
            <w:noWrap/>
            <w:vAlign w:val="bottom"/>
            <w:hideMark/>
          </w:tcPr>
          <w:p w14:paraId="610E904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30% dried fruit &amp; 30% nuts</w:t>
            </w:r>
          </w:p>
        </w:tc>
      </w:tr>
      <w:tr w:rsidR="00285EF0" w:rsidRPr="0039389C" w14:paraId="1DB6E5D7" w14:textId="77777777" w:rsidTr="00285EF0">
        <w:trPr>
          <w:trHeight w:val="290"/>
        </w:trPr>
        <w:tc>
          <w:tcPr>
            <w:tcW w:w="9298" w:type="dxa"/>
            <w:shd w:val="clear" w:color="auto" w:fill="auto"/>
            <w:noWrap/>
            <w:vAlign w:val="bottom"/>
            <w:hideMark/>
          </w:tcPr>
          <w:p w14:paraId="468CAC3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gluten free, with 20% dried fruit &amp; 20% seeds</w:t>
            </w:r>
          </w:p>
        </w:tc>
      </w:tr>
      <w:tr w:rsidR="00285EF0" w:rsidRPr="0039389C" w14:paraId="5C1B30A3" w14:textId="77777777" w:rsidTr="00285EF0">
        <w:trPr>
          <w:trHeight w:val="290"/>
        </w:trPr>
        <w:tc>
          <w:tcPr>
            <w:tcW w:w="9298" w:type="dxa"/>
            <w:shd w:val="clear" w:color="auto" w:fill="auto"/>
            <w:noWrap/>
            <w:vAlign w:val="bottom"/>
            <w:hideMark/>
          </w:tcPr>
          <w:p w14:paraId="0C9C1D4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made from breakfast cereal with dried fruit</w:t>
            </w:r>
          </w:p>
        </w:tc>
      </w:tr>
      <w:tr w:rsidR="00285EF0" w:rsidRPr="0039389C" w14:paraId="340C0456" w14:textId="77777777" w:rsidTr="00285EF0">
        <w:trPr>
          <w:trHeight w:val="290"/>
        </w:trPr>
        <w:tc>
          <w:tcPr>
            <w:tcW w:w="9298" w:type="dxa"/>
            <w:shd w:val="clear" w:color="auto" w:fill="auto"/>
            <w:noWrap/>
            <w:vAlign w:val="bottom"/>
            <w:hideMark/>
          </w:tcPr>
          <w:p w14:paraId="1A25B7E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not further defined</w:t>
            </w:r>
          </w:p>
        </w:tc>
      </w:tr>
      <w:tr w:rsidR="00285EF0" w:rsidRPr="0039389C" w14:paraId="7CBE311A" w14:textId="77777777" w:rsidTr="00285EF0">
        <w:trPr>
          <w:trHeight w:val="290"/>
        </w:trPr>
        <w:tc>
          <w:tcPr>
            <w:tcW w:w="9298" w:type="dxa"/>
            <w:shd w:val="clear" w:color="auto" w:fill="auto"/>
            <w:noWrap/>
            <w:vAlign w:val="bottom"/>
            <w:hideMark/>
          </w:tcPr>
          <w:p w14:paraId="4C0F29A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 chocolate-coated</w:t>
            </w:r>
          </w:p>
        </w:tc>
      </w:tr>
      <w:tr w:rsidR="00285EF0" w:rsidRPr="0039389C" w14:paraId="5A9D9516" w14:textId="77777777" w:rsidTr="00285EF0">
        <w:trPr>
          <w:trHeight w:val="290"/>
        </w:trPr>
        <w:tc>
          <w:tcPr>
            <w:tcW w:w="9298" w:type="dxa"/>
            <w:shd w:val="clear" w:color="auto" w:fill="auto"/>
            <w:noWrap/>
            <w:vAlign w:val="bottom"/>
            <w:hideMark/>
          </w:tcPr>
          <w:p w14:paraId="276EA43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 yoghurt-coated</w:t>
            </w:r>
          </w:p>
        </w:tc>
      </w:tr>
    </w:tbl>
    <w:p w14:paraId="02A7772C" w14:textId="77777777" w:rsidR="00B36DA8" w:rsidRDefault="00B36DA8">
      <w:r>
        <w:br w:type="page"/>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ample list of ‘mixed dishes’ reported to be consumed including blueberries, raspberries, and strawberries from the 2011-12 Australian National Nutrition and Physical Activity Survey (NNPAS)"/>
      </w:tblPr>
      <w:tblGrid>
        <w:gridCol w:w="9298"/>
      </w:tblGrid>
      <w:tr w:rsidR="00285EF0" w:rsidRPr="0039389C" w14:paraId="7DBEC57C" w14:textId="77777777" w:rsidTr="00285EF0">
        <w:trPr>
          <w:trHeight w:val="290"/>
        </w:trPr>
        <w:tc>
          <w:tcPr>
            <w:tcW w:w="9298" w:type="dxa"/>
            <w:shd w:val="clear" w:color="auto" w:fill="auto"/>
            <w:noWrap/>
            <w:vAlign w:val="bottom"/>
            <w:hideMark/>
          </w:tcPr>
          <w:p w14:paraId="6A6D4A0D" w14:textId="5625C946"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 yoghurt-coated, added vitamins B1, B2, B3, folate &amp; Fe</w:t>
            </w:r>
          </w:p>
        </w:tc>
      </w:tr>
      <w:tr w:rsidR="00285EF0" w:rsidRPr="0039389C" w14:paraId="35067E7B" w14:textId="77777777" w:rsidTr="00285EF0">
        <w:trPr>
          <w:trHeight w:val="290"/>
        </w:trPr>
        <w:tc>
          <w:tcPr>
            <w:tcW w:w="9298" w:type="dxa"/>
            <w:shd w:val="clear" w:color="auto" w:fill="auto"/>
            <w:noWrap/>
            <w:vAlign w:val="bottom"/>
            <w:hideMark/>
          </w:tcPr>
          <w:p w14:paraId="1AAB346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15% dried fruit &amp; 15% nuts, yoghurt-coated</w:t>
            </w:r>
          </w:p>
        </w:tc>
      </w:tr>
      <w:tr w:rsidR="00285EF0" w:rsidRPr="0039389C" w14:paraId="077E312D" w14:textId="77777777" w:rsidTr="00285EF0">
        <w:trPr>
          <w:trHeight w:val="290"/>
        </w:trPr>
        <w:tc>
          <w:tcPr>
            <w:tcW w:w="9298" w:type="dxa"/>
            <w:shd w:val="clear" w:color="auto" w:fill="auto"/>
            <w:noWrap/>
            <w:vAlign w:val="bottom"/>
            <w:hideMark/>
          </w:tcPr>
          <w:p w14:paraId="552F027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30% dried fruit, yoghurt-coated, added vitamins B1, B2, B3, folate &amp; Fe</w:t>
            </w:r>
          </w:p>
        </w:tc>
      </w:tr>
      <w:tr w:rsidR="00285EF0" w:rsidRPr="0039389C" w14:paraId="70E4C392" w14:textId="77777777" w:rsidTr="00285EF0">
        <w:trPr>
          <w:trHeight w:val="290"/>
        </w:trPr>
        <w:tc>
          <w:tcPr>
            <w:tcW w:w="9298" w:type="dxa"/>
            <w:shd w:val="clear" w:color="auto" w:fill="auto"/>
            <w:noWrap/>
            <w:vAlign w:val="bottom"/>
            <w:hideMark/>
          </w:tcPr>
          <w:p w14:paraId="0F3149B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Lolly, fruit flavoured, chewy</w:t>
            </w:r>
          </w:p>
        </w:tc>
      </w:tr>
      <w:tr w:rsidR="00285EF0" w:rsidRPr="0039389C" w14:paraId="255ABB46" w14:textId="77777777" w:rsidTr="00285EF0">
        <w:trPr>
          <w:trHeight w:val="290"/>
        </w:trPr>
        <w:tc>
          <w:tcPr>
            <w:tcW w:w="9298" w:type="dxa"/>
            <w:shd w:val="clear" w:color="auto" w:fill="auto"/>
            <w:noWrap/>
            <w:vAlign w:val="bottom"/>
            <w:hideMark/>
          </w:tcPr>
          <w:p w14:paraId="132FA1B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Wine cooler, wine &amp; fruit juice blend, all flavours</w:t>
            </w:r>
          </w:p>
        </w:tc>
      </w:tr>
      <w:tr w:rsidR="00285EF0" w:rsidRPr="0039389C" w14:paraId="3CF8CB8F" w14:textId="77777777" w:rsidTr="00285EF0">
        <w:trPr>
          <w:trHeight w:val="290"/>
        </w:trPr>
        <w:tc>
          <w:tcPr>
            <w:tcW w:w="9298" w:type="dxa"/>
            <w:shd w:val="clear" w:color="auto" w:fill="FFFFFF" w:themeFill="background1"/>
            <w:noWrap/>
            <w:vAlign w:val="bottom"/>
          </w:tcPr>
          <w:p w14:paraId="24CF3A35" w14:textId="77777777" w:rsidR="00285EF0" w:rsidRPr="0039389C" w:rsidRDefault="00285EF0" w:rsidP="00285EF0">
            <w:pPr>
              <w:ind w:left="313" w:hanging="284"/>
              <w:rPr>
                <w:rFonts w:cs="Arial"/>
                <w:b/>
                <w:bCs/>
                <w:color w:val="000000"/>
                <w:sz w:val="20"/>
                <w:szCs w:val="20"/>
                <w:lang w:eastAsia="en-GB"/>
              </w:rPr>
            </w:pPr>
          </w:p>
        </w:tc>
      </w:tr>
      <w:tr w:rsidR="00285EF0" w:rsidRPr="0039389C" w14:paraId="1100124E" w14:textId="77777777" w:rsidTr="00285EF0">
        <w:trPr>
          <w:trHeight w:val="290"/>
        </w:trPr>
        <w:tc>
          <w:tcPr>
            <w:tcW w:w="9298" w:type="dxa"/>
            <w:shd w:val="clear" w:color="auto" w:fill="C6D9F1" w:themeFill="text2" w:themeFillTint="33"/>
            <w:noWrap/>
            <w:vAlign w:val="bottom"/>
            <w:hideMark/>
          </w:tcPr>
          <w:p w14:paraId="2FA611A7" w14:textId="77777777" w:rsidR="00285EF0" w:rsidRPr="0039389C" w:rsidRDefault="00285EF0" w:rsidP="00285EF0">
            <w:pPr>
              <w:ind w:left="313" w:hanging="284"/>
              <w:rPr>
                <w:rFonts w:cs="Arial"/>
                <w:color w:val="000000"/>
                <w:sz w:val="20"/>
                <w:szCs w:val="20"/>
                <w:lang w:eastAsia="en-GB"/>
              </w:rPr>
            </w:pPr>
            <w:r w:rsidRPr="0039389C">
              <w:rPr>
                <w:rFonts w:cs="Arial"/>
                <w:b/>
                <w:bCs/>
                <w:color w:val="000000"/>
                <w:sz w:val="20"/>
                <w:szCs w:val="20"/>
                <w:lang w:eastAsia="en-GB"/>
              </w:rPr>
              <w:t>Raspberries, Red, Black</w:t>
            </w:r>
          </w:p>
        </w:tc>
      </w:tr>
      <w:tr w:rsidR="00285EF0" w:rsidRPr="0039389C" w14:paraId="68709AF2" w14:textId="77777777" w:rsidTr="00285EF0">
        <w:trPr>
          <w:trHeight w:val="290"/>
        </w:trPr>
        <w:tc>
          <w:tcPr>
            <w:tcW w:w="9298" w:type="dxa"/>
            <w:shd w:val="clear" w:color="auto" w:fill="auto"/>
            <w:noWrap/>
            <w:vAlign w:val="bottom"/>
          </w:tcPr>
          <w:p w14:paraId="4ACAFD9F" w14:textId="77777777" w:rsidR="00285EF0" w:rsidRPr="0039389C" w:rsidRDefault="00285EF0" w:rsidP="00285EF0">
            <w:pPr>
              <w:ind w:left="313" w:hanging="284"/>
              <w:rPr>
                <w:rFonts w:cs="Arial"/>
                <w:b/>
                <w:bCs/>
                <w:color w:val="000000"/>
                <w:sz w:val="20"/>
                <w:szCs w:val="20"/>
                <w:lang w:eastAsia="en-GB"/>
              </w:rPr>
            </w:pPr>
            <w:r w:rsidRPr="0039389C">
              <w:rPr>
                <w:rFonts w:cs="Arial"/>
                <w:color w:val="000000"/>
                <w:sz w:val="20"/>
                <w:szCs w:val="20"/>
                <w:lang w:eastAsia="en-GB"/>
              </w:rPr>
              <w:t>Iced tea, homemade, unsweetened</w:t>
            </w:r>
          </w:p>
        </w:tc>
      </w:tr>
      <w:tr w:rsidR="00285EF0" w:rsidRPr="0039389C" w14:paraId="50447B72" w14:textId="77777777" w:rsidTr="00285EF0">
        <w:trPr>
          <w:trHeight w:val="290"/>
        </w:trPr>
        <w:tc>
          <w:tcPr>
            <w:tcW w:w="9298" w:type="dxa"/>
            <w:shd w:val="clear" w:color="auto" w:fill="auto"/>
            <w:noWrap/>
            <w:vAlign w:val="bottom"/>
          </w:tcPr>
          <w:p w14:paraId="42F51C1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Juice, apple &amp; forest fruits, commercial</w:t>
            </w:r>
          </w:p>
        </w:tc>
      </w:tr>
      <w:tr w:rsidR="00285EF0" w:rsidRPr="0039389C" w14:paraId="418803D4" w14:textId="77777777" w:rsidTr="00285EF0">
        <w:trPr>
          <w:trHeight w:val="290"/>
        </w:trPr>
        <w:tc>
          <w:tcPr>
            <w:tcW w:w="9298" w:type="dxa"/>
            <w:shd w:val="clear" w:color="auto" w:fill="auto"/>
            <w:noWrap/>
            <w:vAlign w:val="bottom"/>
          </w:tcPr>
          <w:p w14:paraId="6E40A85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Juice, fruit, commercial, not further defined</w:t>
            </w:r>
          </w:p>
        </w:tc>
      </w:tr>
      <w:tr w:rsidR="00285EF0" w:rsidRPr="0039389C" w14:paraId="31E7461D" w14:textId="77777777" w:rsidTr="00285EF0">
        <w:trPr>
          <w:trHeight w:val="290"/>
        </w:trPr>
        <w:tc>
          <w:tcPr>
            <w:tcW w:w="9298" w:type="dxa"/>
            <w:shd w:val="clear" w:color="auto" w:fill="auto"/>
            <w:noWrap/>
            <w:vAlign w:val="bottom"/>
          </w:tcPr>
          <w:p w14:paraId="1A07A23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Juice, commercial, not further defined</w:t>
            </w:r>
          </w:p>
        </w:tc>
      </w:tr>
      <w:tr w:rsidR="00285EF0" w:rsidRPr="0039389C" w14:paraId="25CDCBC1" w14:textId="77777777" w:rsidTr="00285EF0">
        <w:trPr>
          <w:trHeight w:val="290"/>
        </w:trPr>
        <w:tc>
          <w:tcPr>
            <w:tcW w:w="9298" w:type="dxa"/>
            <w:shd w:val="clear" w:color="auto" w:fill="auto"/>
            <w:noWrap/>
            <w:vAlign w:val="bottom"/>
          </w:tcPr>
          <w:p w14:paraId="1079A57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fruit juice based, added berries</w:t>
            </w:r>
          </w:p>
        </w:tc>
      </w:tr>
      <w:tr w:rsidR="00285EF0" w:rsidRPr="0039389C" w14:paraId="3D3DAB44" w14:textId="77777777" w:rsidTr="00285EF0">
        <w:trPr>
          <w:trHeight w:val="290"/>
        </w:trPr>
        <w:tc>
          <w:tcPr>
            <w:tcW w:w="9298" w:type="dxa"/>
            <w:shd w:val="clear" w:color="auto" w:fill="auto"/>
            <w:noWrap/>
            <w:vAlign w:val="bottom"/>
          </w:tcPr>
          <w:p w14:paraId="630E78D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fruit juice based, added mixed fruit</w:t>
            </w:r>
          </w:p>
        </w:tc>
      </w:tr>
      <w:tr w:rsidR="00285EF0" w:rsidRPr="0039389C" w14:paraId="0C25B385" w14:textId="77777777" w:rsidTr="00285EF0">
        <w:trPr>
          <w:trHeight w:val="290"/>
        </w:trPr>
        <w:tc>
          <w:tcPr>
            <w:tcW w:w="9298" w:type="dxa"/>
            <w:shd w:val="clear" w:color="auto" w:fill="auto"/>
            <w:noWrap/>
            <w:vAlign w:val="bottom"/>
          </w:tcPr>
          <w:p w14:paraId="01E0122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fruit juice based, added mixed fruit &amp; nuts or seeds</w:t>
            </w:r>
          </w:p>
        </w:tc>
      </w:tr>
      <w:tr w:rsidR="00285EF0" w:rsidRPr="0039389C" w14:paraId="3C91FB0C" w14:textId="77777777" w:rsidTr="00285EF0">
        <w:trPr>
          <w:trHeight w:val="290"/>
        </w:trPr>
        <w:tc>
          <w:tcPr>
            <w:tcW w:w="9298" w:type="dxa"/>
            <w:shd w:val="clear" w:color="auto" w:fill="auto"/>
            <w:noWrap/>
            <w:vAlign w:val="bottom"/>
          </w:tcPr>
          <w:p w14:paraId="1D64BC2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Juice, apple &amp; berries, home squeezed</w:t>
            </w:r>
          </w:p>
        </w:tc>
      </w:tr>
      <w:tr w:rsidR="00285EF0" w:rsidRPr="0039389C" w14:paraId="33E57F19" w14:textId="77777777" w:rsidTr="00285EF0">
        <w:trPr>
          <w:trHeight w:val="290"/>
        </w:trPr>
        <w:tc>
          <w:tcPr>
            <w:tcW w:w="9298" w:type="dxa"/>
            <w:shd w:val="clear" w:color="auto" w:fill="auto"/>
            <w:noWrap/>
            <w:vAlign w:val="bottom"/>
          </w:tcPr>
          <w:p w14:paraId="4758C76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Juice, fruit &amp; vegetable blend, apple, berries, beetroot &amp; carrot, commercial</w:t>
            </w:r>
          </w:p>
        </w:tc>
      </w:tr>
      <w:tr w:rsidR="00285EF0" w:rsidRPr="0039389C" w14:paraId="5525A521" w14:textId="77777777" w:rsidTr="00285EF0">
        <w:trPr>
          <w:trHeight w:val="290"/>
        </w:trPr>
        <w:tc>
          <w:tcPr>
            <w:tcW w:w="9298" w:type="dxa"/>
            <w:shd w:val="clear" w:color="auto" w:fill="auto"/>
            <w:noWrap/>
            <w:vAlign w:val="bottom"/>
          </w:tcPr>
          <w:p w14:paraId="0649B80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Cordial, apple &amp; berry, regular, stronger than recommended dilution</w:t>
            </w:r>
          </w:p>
        </w:tc>
      </w:tr>
      <w:tr w:rsidR="00285EF0" w:rsidRPr="0039389C" w14:paraId="5871FCAA" w14:textId="77777777" w:rsidTr="00285EF0">
        <w:trPr>
          <w:trHeight w:val="290"/>
        </w:trPr>
        <w:tc>
          <w:tcPr>
            <w:tcW w:w="9298" w:type="dxa"/>
            <w:shd w:val="clear" w:color="auto" w:fill="auto"/>
            <w:noWrap/>
            <w:vAlign w:val="bottom"/>
          </w:tcPr>
          <w:p w14:paraId="203CD2D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Cordial, apple &amp; berry, regular, recommended dilution</w:t>
            </w:r>
          </w:p>
        </w:tc>
      </w:tr>
      <w:tr w:rsidR="00285EF0" w:rsidRPr="0039389C" w14:paraId="4742A75B" w14:textId="77777777" w:rsidTr="00285EF0">
        <w:trPr>
          <w:trHeight w:val="290"/>
        </w:trPr>
        <w:tc>
          <w:tcPr>
            <w:tcW w:w="9298" w:type="dxa"/>
            <w:shd w:val="clear" w:color="auto" w:fill="auto"/>
            <w:noWrap/>
            <w:vAlign w:val="bottom"/>
          </w:tcPr>
          <w:p w14:paraId="27F6EF2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Cordial, apple &amp; berry, regular, weaker than recommended dilution</w:t>
            </w:r>
          </w:p>
        </w:tc>
      </w:tr>
      <w:tr w:rsidR="00285EF0" w:rsidRPr="0039389C" w14:paraId="21CB4BC4" w14:textId="77777777" w:rsidTr="00285EF0">
        <w:trPr>
          <w:trHeight w:val="290"/>
        </w:trPr>
        <w:tc>
          <w:tcPr>
            <w:tcW w:w="9298" w:type="dxa"/>
            <w:shd w:val="clear" w:color="auto" w:fill="auto"/>
            <w:noWrap/>
            <w:vAlign w:val="bottom"/>
          </w:tcPr>
          <w:p w14:paraId="631B1A4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Cordial, apple &amp; berry, intense sweetened or diet, recommended dilution</w:t>
            </w:r>
          </w:p>
        </w:tc>
      </w:tr>
      <w:tr w:rsidR="00285EF0" w:rsidRPr="0039389C" w14:paraId="4F31AE30" w14:textId="77777777" w:rsidTr="00285EF0">
        <w:trPr>
          <w:trHeight w:val="290"/>
        </w:trPr>
        <w:tc>
          <w:tcPr>
            <w:tcW w:w="9298" w:type="dxa"/>
            <w:shd w:val="clear" w:color="auto" w:fill="auto"/>
            <w:noWrap/>
            <w:vAlign w:val="bottom"/>
          </w:tcPr>
          <w:p w14:paraId="0F26665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Cordial base, apple &amp; berry, regular</w:t>
            </w:r>
          </w:p>
        </w:tc>
      </w:tr>
      <w:tr w:rsidR="00285EF0" w:rsidRPr="0039389C" w14:paraId="1A6D3BF7" w14:textId="77777777" w:rsidTr="00285EF0">
        <w:trPr>
          <w:trHeight w:val="290"/>
        </w:trPr>
        <w:tc>
          <w:tcPr>
            <w:tcW w:w="9298" w:type="dxa"/>
            <w:shd w:val="clear" w:color="auto" w:fill="auto"/>
            <w:noWrap/>
            <w:vAlign w:val="bottom"/>
          </w:tcPr>
          <w:p w14:paraId="3FF44E5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Cordial base, apple &amp; berry, intense sweetened or diet</w:t>
            </w:r>
          </w:p>
        </w:tc>
      </w:tr>
      <w:tr w:rsidR="00285EF0" w:rsidRPr="0039389C" w14:paraId="48557D45" w14:textId="77777777" w:rsidTr="00285EF0">
        <w:trPr>
          <w:trHeight w:val="290"/>
        </w:trPr>
        <w:tc>
          <w:tcPr>
            <w:tcW w:w="9298" w:type="dxa"/>
            <w:shd w:val="clear" w:color="auto" w:fill="auto"/>
            <w:noWrap/>
            <w:vAlign w:val="bottom"/>
          </w:tcPr>
          <w:p w14:paraId="6BA23198"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Mineral water, non-citrus flavoured, regular</w:t>
            </w:r>
          </w:p>
        </w:tc>
      </w:tr>
      <w:tr w:rsidR="00285EF0" w:rsidRPr="0039389C" w14:paraId="0D35C133" w14:textId="77777777" w:rsidTr="00285EF0">
        <w:trPr>
          <w:trHeight w:val="290"/>
        </w:trPr>
        <w:tc>
          <w:tcPr>
            <w:tcW w:w="9298" w:type="dxa"/>
            <w:shd w:val="clear" w:color="auto" w:fill="auto"/>
            <w:noWrap/>
            <w:vAlign w:val="bottom"/>
          </w:tcPr>
          <w:p w14:paraId="12B38D0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Bun, sweet, with fruit (other than sultanas), uniced</w:t>
            </w:r>
          </w:p>
        </w:tc>
      </w:tr>
      <w:tr w:rsidR="00285EF0" w:rsidRPr="0039389C" w14:paraId="06DE9A42" w14:textId="77777777" w:rsidTr="00285EF0">
        <w:trPr>
          <w:trHeight w:val="290"/>
        </w:trPr>
        <w:tc>
          <w:tcPr>
            <w:tcW w:w="9298" w:type="dxa"/>
            <w:shd w:val="clear" w:color="auto" w:fill="auto"/>
            <w:noWrap/>
            <w:vAlign w:val="bottom"/>
          </w:tcPr>
          <w:p w14:paraId="624186D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Bun, sweet, with fruit (other than sultanas), iced</w:t>
            </w:r>
          </w:p>
        </w:tc>
      </w:tr>
      <w:tr w:rsidR="00285EF0" w:rsidRPr="0039389C" w14:paraId="71A2DCE0" w14:textId="77777777" w:rsidTr="00285EF0">
        <w:trPr>
          <w:trHeight w:val="290"/>
        </w:trPr>
        <w:tc>
          <w:tcPr>
            <w:tcW w:w="9298" w:type="dxa"/>
            <w:shd w:val="clear" w:color="auto" w:fill="auto"/>
            <w:noWrap/>
            <w:vAlign w:val="bottom"/>
          </w:tcPr>
          <w:p w14:paraId="24D099A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Bun, sweet, with fruit (other than sultanas) &amp; nuts, iced</w:t>
            </w:r>
          </w:p>
        </w:tc>
      </w:tr>
      <w:tr w:rsidR="00285EF0" w:rsidRPr="0039389C" w14:paraId="7CA236BC" w14:textId="77777777" w:rsidTr="00285EF0">
        <w:trPr>
          <w:trHeight w:val="290"/>
        </w:trPr>
        <w:tc>
          <w:tcPr>
            <w:tcW w:w="9298" w:type="dxa"/>
            <w:shd w:val="clear" w:color="auto" w:fill="auto"/>
            <w:noWrap/>
            <w:vAlign w:val="bottom"/>
          </w:tcPr>
          <w:p w14:paraId="1000755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Bun, sweet, with mock cream &amp; jam, uniced</w:t>
            </w:r>
          </w:p>
        </w:tc>
      </w:tr>
      <w:tr w:rsidR="00285EF0" w:rsidRPr="0039389C" w14:paraId="7CC34313" w14:textId="77777777" w:rsidTr="00285EF0">
        <w:trPr>
          <w:trHeight w:val="290"/>
        </w:trPr>
        <w:tc>
          <w:tcPr>
            <w:tcW w:w="9298" w:type="dxa"/>
            <w:shd w:val="clear" w:color="auto" w:fill="auto"/>
            <w:noWrap/>
            <w:vAlign w:val="bottom"/>
          </w:tcPr>
          <w:p w14:paraId="761AC9F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Bun, sweet, not further defined</w:t>
            </w:r>
          </w:p>
        </w:tc>
      </w:tr>
      <w:tr w:rsidR="00285EF0" w:rsidRPr="0039389C" w14:paraId="6353DEA0" w14:textId="77777777" w:rsidTr="00285EF0">
        <w:trPr>
          <w:trHeight w:val="290"/>
        </w:trPr>
        <w:tc>
          <w:tcPr>
            <w:tcW w:w="9298" w:type="dxa"/>
            <w:shd w:val="clear" w:color="auto" w:fill="auto"/>
            <w:noWrap/>
            <w:vAlign w:val="bottom"/>
          </w:tcPr>
          <w:p w14:paraId="69F1263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whole wheat, small biscuit, with berries, added vitamins B1, B2, B3 &amp; folate, Ca &amp; Fe</w:t>
            </w:r>
          </w:p>
        </w:tc>
      </w:tr>
      <w:tr w:rsidR="00285EF0" w:rsidRPr="0039389C" w14:paraId="7AA65340" w14:textId="77777777" w:rsidTr="00285EF0">
        <w:trPr>
          <w:trHeight w:val="290"/>
        </w:trPr>
        <w:tc>
          <w:tcPr>
            <w:tcW w:w="9298" w:type="dxa"/>
            <w:shd w:val="clear" w:color="auto" w:fill="auto"/>
            <w:noWrap/>
            <w:vAlign w:val="bottom"/>
          </w:tcPr>
          <w:p w14:paraId="2390876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whole wheat, small biscuit, with fruit paste, added vitamins B1, B2, B3 &amp; C &amp; Fe</w:t>
            </w:r>
          </w:p>
        </w:tc>
      </w:tr>
      <w:tr w:rsidR="00285EF0" w:rsidRPr="0039389C" w14:paraId="5039A9B8" w14:textId="77777777" w:rsidTr="00285EF0">
        <w:trPr>
          <w:trHeight w:val="290"/>
        </w:trPr>
        <w:tc>
          <w:tcPr>
            <w:tcW w:w="9298" w:type="dxa"/>
            <w:shd w:val="clear" w:color="auto" w:fill="auto"/>
            <w:noWrap/>
            <w:vAlign w:val="bottom"/>
          </w:tcPr>
          <w:p w14:paraId="59D4B53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(rice &amp; wheat), flakes, berries, added vitamins B1, B2, B3, B6 &amp; folate, Ca, Fe &amp; Zn</w:t>
            </w:r>
          </w:p>
        </w:tc>
      </w:tr>
      <w:tr w:rsidR="00285EF0" w:rsidRPr="0039389C" w14:paraId="20110AEE" w14:textId="77777777" w:rsidTr="00285EF0">
        <w:trPr>
          <w:trHeight w:val="290"/>
        </w:trPr>
        <w:tc>
          <w:tcPr>
            <w:tcW w:w="9298" w:type="dxa"/>
            <w:shd w:val="clear" w:color="auto" w:fill="auto"/>
            <w:noWrap/>
            <w:vAlign w:val="bottom"/>
          </w:tcPr>
          <w:p w14:paraId="4F30D96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&amp; corn), flakes, berries &amp; sultanas, added vitamins A, B1, B2, B3, B6, E &amp; folate, Ca, Fe &amp; Zn</w:t>
            </w:r>
          </w:p>
        </w:tc>
      </w:tr>
      <w:tr w:rsidR="00285EF0" w:rsidRPr="0039389C" w14:paraId="60E350E7" w14:textId="77777777" w:rsidTr="00285EF0">
        <w:trPr>
          <w:trHeight w:val="290"/>
        </w:trPr>
        <w:tc>
          <w:tcPr>
            <w:tcW w:w="9298" w:type="dxa"/>
            <w:shd w:val="clear" w:color="auto" w:fill="auto"/>
            <w:noWrap/>
            <w:vAlign w:val="bottom"/>
          </w:tcPr>
          <w:p w14:paraId="48DCFD0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&amp; oat), flakes, berries, added vitamins B1, B2, B3 &amp; folate &amp; Fe</w:t>
            </w:r>
          </w:p>
        </w:tc>
      </w:tr>
      <w:tr w:rsidR="00285EF0" w:rsidRPr="0039389C" w14:paraId="1CA18362" w14:textId="77777777" w:rsidTr="00285EF0">
        <w:trPr>
          <w:trHeight w:val="290"/>
        </w:trPr>
        <w:tc>
          <w:tcPr>
            <w:tcW w:w="9298" w:type="dxa"/>
            <w:shd w:val="clear" w:color="auto" w:fill="auto"/>
            <w:noWrap/>
            <w:vAlign w:val="bottom"/>
          </w:tcPr>
          <w:p w14:paraId="0BA38E9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oat &amp; corn), flakes &amp; clusters, pomegranate &amp; berries, added vitamins A, B1, B2, B3, B6, E &amp; folate, Ca, Fe &amp; Zn</w:t>
            </w:r>
          </w:p>
        </w:tc>
      </w:tr>
      <w:tr w:rsidR="00285EF0" w:rsidRPr="0039389C" w14:paraId="7B74F4D6" w14:textId="77777777" w:rsidTr="00285EF0">
        <w:trPr>
          <w:trHeight w:val="290"/>
        </w:trPr>
        <w:tc>
          <w:tcPr>
            <w:tcW w:w="9298" w:type="dxa"/>
            <w:shd w:val="clear" w:color="auto" w:fill="auto"/>
            <w:noWrap/>
            <w:vAlign w:val="bottom"/>
          </w:tcPr>
          <w:p w14:paraId="7B3A023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rice &amp; oat), flakes, dried fruit, added vitamins B1, B2, B3 &amp; E &amp; Fe</w:t>
            </w:r>
          </w:p>
        </w:tc>
      </w:tr>
      <w:tr w:rsidR="00285EF0" w:rsidRPr="0039389C" w14:paraId="7FABC409" w14:textId="77777777" w:rsidTr="00285EF0">
        <w:trPr>
          <w:trHeight w:val="290"/>
        </w:trPr>
        <w:tc>
          <w:tcPr>
            <w:tcW w:w="9298" w:type="dxa"/>
            <w:shd w:val="clear" w:color="auto" w:fill="auto"/>
            <w:noWrap/>
            <w:vAlign w:val="bottom"/>
          </w:tcPr>
          <w:p w14:paraId="50E1C0B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corn, rice &amp; oat), clusters, sultana &amp; berries, added vitamins B1, B2, B3, E &amp; folate, Ca &amp; Fe</w:t>
            </w:r>
          </w:p>
        </w:tc>
      </w:tr>
      <w:tr w:rsidR="00285EF0" w:rsidRPr="0039389C" w14:paraId="58646090" w14:textId="77777777" w:rsidTr="00285EF0">
        <w:trPr>
          <w:trHeight w:val="290"/>
        </w:trPr>
        <w:tc>
          <w:tcPr>
            <w:tcW w:w="9298" w:type="dxa"/>
            <w:shd w:val="clear" w:color="auto" w:fill="auto"/>
            <w:noWrap/>
            <w:vAlign w:val="bottom"/>
          </w:tcPr>
          <w:p w14:paraId="7B8C820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corn, rice &amp; oat), flakes, berries, added vitamins B1, B2, B3, E &amp; folate, Ca &amp; Fe</w:t>
            </w:r>
          </w:p>
        </w:tc>
      </w:tr>
      <w:tr w:rsidR="00285EF0" w:rsidRPr="0039389C" w14:paraId="39214B98" w14:textId="77777777" w:rsidTr="00285EF0">
        <w:trPr>
          <w:trHeight w:val="290"/>
        </w:trPr>
        <w:tc>
          <w:tcPr>
            <w:tcW w:w="9298" w:type="dxa"/>
            <w:shd w:val="clear" w:color="auto" w:fill="auto"/>
            <w:noWrap/>
            <w:vAlign w:val="bottom"/>
          </w:tcPr>
          <w:p w14:paraId="1DD96C6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commercial, not further defined</w:t>
            </w:r>
          </w:p>
        </w:tc>
      </w:tr>
      <w:tr w:rsidR="00285EF0" w:rsidRPr="0039389C" w14:paraId="230DCC48" w14:textId="77777777" w:rsidTr="00285EF0">
        <w:trPr>
          <w:trHeight w:val="290"/>
        </w:trPr>
        <w:tc>
          <w:tcPr>
            <w:tcW w:w="9298" w:type="dxa"/>
            <w:shd w:val="clear" w:color="auto" w:fill="auto"/>
            <w:noWrap/>
            <w:vAlign w:val="bottom"/>
          </w:tcPr>
          <w:p w14:paraId="4D5DD05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not further defined</w:t>
            </w:r>
          </w:p>
        </w:tc>
      </w:tr>
      <w:tr w:rsidR="00285EF0" w:rsidRPr="0039389C" w14:paraId="5BD18950" w14:textId="77777777" w:rsidTr="00285EF0">
        <w:trPr>
          <w:trHeight w:val="290"/>
        </w:trPr>
        <w:tc>
          <w:tcPr>
            <w:tcW w:w="9298" w:type="dxa"/>
            <w:shd w:val="clear" w:color="auto" w:fill="auto"/>
            <w:noWrap/>
            <w:vAlign w:val="bottom"/>
          </w:tcPr>
          <w:p w14:paraId="6362AE9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not further defined</w:t>
            </w:r>
          </w:p>
        </w:tc>
      </w:tr>
      <w:tr w:rsidR="00285EF0" w:rsidRPr="0039389C" w14:paraId="231E848A" w14:textId="77777777" w:rsidTr="00285EF0">
        <w:trPr>
          <w:trHeight w:val="290"/>
        </w:trPr>
        <w:tc>
          <w:tcPr>
            <w:tcW w:w="9298" w:type="dxa"/>
            <w:shd w:val="clear" w:color="auto" w:fill="auto"/>
            <w:noWrap/>
            <w:vAlign w:val="bottom"/>
          </w:tcPr>
          <w:p w14:paraId="108D987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jam-filled, commercial</w:t>
            </w:r>
          </w:p>
        </w:tc>
      </w:tr>
      <w:tr w:rsidR="00285EF0" w:rsidRPr="0039389C" w14:paraId="066C55CA" w14:textId="77777777" w:rsidTr="00285EF0">
        <w:trPr>
          <w:trHeight w:val="290"/>
        </w:trPr>
        <w:tc>
          <w:tcPr>
            <w:tcW w:w="9298" w:type="dxa"/>
            <w:shd w:val="clear" w:color="auto" w:fill="auto"/>
            <w:noWrap/>
            <w:vAlign w:val="bottom"/>
          </w:tcPr>
          <w:p w14:paraId="64CF794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jam-filled, reduced fat, commercial</w:t>
            </w:r>
          </w:p>
        </w:tc>
      </w:tr>
      <w:tr w:rsidR="00285EF0" w:rsidRPr="0039389C" w14:paraId="4A94E82A" w14:textId="77777777" w:rsidTr="00285EF0">
        <w:trPr>
          <w:trHeight w:val="290"/>
        </w:trPr>
        <w:tc>
          <w:tcPr>
            <w:tcW w:w="9298" w:type="dxa"/>
            <w:shd w:val="clear" w:color="auto" w:fill="auto"/>
            <w:noWrap/>
            <w:vAlign w:val="bottom"/>
          </w:tcPr>
          <w:p w14:paraId="0523D45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jam-filled, homemade from basic ingredients, fat not further defined</w:t>
            </w:r>
          </w:p>
        </w:tc>
      </w:tr>
      <w:tr w:rsidR="00285EF0" w:rsidRPr="0039389C" w14:paraId="5E592DE4" w14:textId="77777777" w:rsidTr="00285EF0">
        <w:trPr>
          <w:trHeight w:val="290"/>
        </w:trPr>
        <w:tc>
          <w:tcPr>
            <w:tcW w:w="9298" w:type="dxa"/>
            <w:shd w:val="clear" w:color="auto" w:fill="auto"/>
            <w:noWrap/>
            <w:vAlign w:val="bottom"/>
          </w:tcPr>
          <w:p w14:paraId="4D9B6AB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marshmallow filling, commercial</w:t>
            </w:r>
          </w:p>
        </w:tc>
      </w:tr>
      <w:tr w:rsidR="00285EF0" w:rsidRPr="0039389C" w14:paraId="7582DE99" w14:textId="77777777" w:rsidTr="00285EF0">
        <w:trPr>
          <w:trHeight w:val="290"/>
        </w:trPr>
        <w:tc>
          <w:tcPr>
            <w:tcW w:w="9298" w:type="dxa"/>
            <w:shd w:val="clear" w:color="auto" w:fill="auto"/>
            <w:noWrap/>
            <w:vAlign w:val="bottom"/>
          </w:tcPr>
          <w:p w14:paraId="1E426E0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sandwich, cream &amp; jam filling, commercial</w:t>
            </w:r>
          </w:p>
        </w:tc>
      </w:tr>
      <w:tr w:rsidR="00285EF0" w:rsidRPr="0039389C" w14:paraId="4D93F438" w14:textId="77777777" w:rsidTr="00285EF0">
        <w:trPr>
          <w:trHeight w:val="290"/>
        </w:trPr>
        <w:tc>
          <w:tcPr>
            <w:tcW w:w="9298" w:type="dxa"/>
            <w:shd w:val="clear" w:color="auto" w:fill="auto"/>
            <w:noWrap/>
            <w:vAlign w:val="bottom"/>
          </w:tcPr>
          <w:p w14:paraId="38A2834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cream assorted, commercial, not further defined</w:t>
            </w:r>
          </w:p>
        </w:tc>
      </w:tr>
      <w:tr w:rsidR="00285EF0" w:rsidRPr="0039389C" w14:paraId="482BA3CF" w14:textId="77777777" w:rsidTr="00285EF0">
        <w:trPr>
          <w:trHeight w:val="290"/>
        </w:trPr>
        <w:tc>
          <w:tcPr>
            <w:tcW w:w="9298" w:type="dxa"/>
            <w:shd w:val="clear" w:color="auto" w:fill="auto"/>
            <w:noWrap/>
            <w:vAlign w:val="bottom"/>
          </w:tcPr>
          <w:p w14:paraId="400CDA9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marshmallow filling, chocolate-coated, commercial</w:t>
            </w:r>
          </w:p>
        </w:tc>
      </w:tr>
      <w:tr w:rsidR="00285EF0" w:rsidRPr="0039389C" w14:paraId="7AC3BA09" w14:textId="77777777" w:rsidTr="00285EF0">
        <w:trPr>
          <w:trHeight w:val="290"/>
        </w:trPr>
        <w:tc>
          <w:tcPr>
            <w:tcW w:w="9298" w:type="dxa"/>
            <w:shd w:val="clear" w:color="auto" w:fill="auto"/>
            <w:noWrap/>
            <w:vAlign w:val="bottom"/>
          </w:tcPr>
          <w:p w14:paraId="4D380FD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chocolate, commercial, not further defined</w:t>
            </w:r>
          </w:p>
        </w:tc>
      </w:tr>
      <w:tr w:rsidR="00285EF0" w:rsidRPr="0039389C" w14:paraId="39FD791E" w14:textId="77777777" w:rsidTr="00285EF0">
        <w:trPr>
          <w:trHeight w:val="290"/>
        </w:trPr>
        <w:tc>
          <w:tcPr>
            <w:tcW w:w="9298" w:type="dxa"/>
            <w:shd w:val="clear" w:color="auto" w:fill="auto"/>
            <w:noWrap/>
            <w:vAlign w:val="bottom"/>
          </w:tcPr>
          <w:p w14:paraId="41C4E7C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sponge, plain, commercial, uniced, filled with jam</w:t>
            </w:r>
          </w:p>
        </w:tc>
      </w:tr>
      <w:tr w:rsidR="00285EF0" w:rsidRPr="0039389C" w14:paraId="72A8D6CE" w14:textId="77777777" w:rsidTr="00285EF0">
        <w:trPr>
          <w:trHeight w:val="290"/>
        </w:trPr>
        <w:tc>
          <w:tcPr>
            <w:tcW w:w="9298" w:type="dxa"/>
            <w:shd w:val="clear" w:color="auto" w:fill="auto"/>
            <w:noWrap/>
            <w:vAlign w:val="bottom"/>
          </w:tcPr>
          <w:p w14:paraId="4C1C3EF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sponge, plain, commercial, uniced, filled with jam &amp; cream</w:t>
            </w:r>
          </w:p>
        </w:tc>
      </w:tr>
      <w:tr w:rsidR="00285EF0" w:rsidRPr="0039389C" w14:paraId="5483B058" w14:textId="77777777" w:rsidTr="00285EF0">
        <w:trPr>
          <w:trHeight w:val="290"/>
        </w:trPr>
        <w:tc>
          <w:tcPr>
            <w:tcW w:w="9298" w:type="dxa"/>
            <w:shd w:val="clear" w:color="auto" w:fill="auto"/>
            <w:noWrap/>
            <w:vAlign w:val="bottom"/>
          </w:tcPr>
          <w:p w14:paraId="5245A2C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sponge, plain, homemade from basic ingredients, uniced, filled with jam &amp;/or cream</w:t>
            </w:r>
          </w:p>
        </w:tc>
      </w:tr>
      <w:tr w:rsidR="00285EF0" w:rsidRPr="0039389C" w14:paraId="396B3C69" w14:textId="77777777" w:rsidTr="00285EF0">
        <w:trPr>
          <w:trHeight w:val="290"/>
        </w:trPr>
        <w:tc>
          <w:tcPr>
            <w:tcW w:w="9298" w:type="dxa"/>
            <w:shd w:val="clear" w:color="auto" w:fill="auto"/>
            <w:noWrap/>
            <w:vAlign w:val="bottom"/>
          </w:tcPr>
          <w:p w14:paraId="5B11154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sponge, plain, uniced, filled with fruit &amp; cream</w:t>
            </w:r>
          </w:p>
        </w:tc>
      </w:tr>
      <w:tr w:rsidR="00285EF0" w:rsidRPr="0039389C" w14:paraId="34AFCF0F" w14:textId="77777777" w:rsidTr="00285EF0">
        <w:trPr>
          <w:trHeight w:val="290"/>
        </w:trPr>
        <w:tc>
          <w:tcPr>
            <w:tcW w:w="9298" w:type="dxa"/>
            <w:shd w:val="clear" w:color="auto" w:fill="auto"/>
            <w:noWrap/>
            <w:vAlign w:val="bottom"/>
          </w:tcPr>
          <w:p w14:paraId="61F9514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sponge, chocolate flavoured, commercial, uniced, filled with jam &amp; cream</w:t>
            </w:r>
          </w:p>
        </w:tc>
      </w:tr>
      <w:tr w:rsidR="00285EF0" w:rsidRPr="0039389C" w14:paraId="47D3284E" w14:textId="77777777" w:rsidTr="00285EF0">
        <w:trPr>
          <w:trHeight w:val="290"/>
        </w:trPr>
        <w:tc>
          <w:tcPr>
            <w:tcW w:w="9298" w:type="dxa"/>
            <w:shd w:val="clear" w:color="auto" w:fill="auto"/>
            <w:noWrap/>
            <w:vAlign w:val="bottom"/>
          </w:tcPr>
          <w:p w14:paraId="57A74A1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lamington, filled with jam &amp;/or cream</w:t>
            </w:r>
          </w:p>
        </w:tc>
      </w:tr>
      <w:tr w:rsidR="00285EF0" w:rsidRPr="0039389C" w14:paraId="3964732A" w14:textId="77777777" w:rsidTr="00285EF0">
        <w:trPr>
          <w:trHeight w:val="290"/>
        </w:trPr>
        <w:tc>
          <w:tcPr>
            <w:tcW w:w="9298" w:type="dxa"/>
            <w:shd w:val="clear" w:color="auto" w:fill="auto"/>
            <w:noWrap/>
            <w:vAlign w:val="bottom"/>
          </w:tcPr>
          <w:p w14:paraId="0ABE162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berry, undefined fat, uniced</w:t>
            </w:r>
          </w:p>
        </w:tc>
      </w:tr>
      <w:tr w:rsidR="00285EF0" w:rsidRPr="0039389C" w14:paraId="4FFA593A" w14:textId="77777777" w:rsidTr="00285EF0">
        <w:trPr>
          <w:trHeight w:val="290"/>
        </w:trPr>
        <w:tc>
          <w:tcPr>
            <w:tcW w:w="9298" w:type="dxa"/>
            <w:shd w:val="clear" w:color="auto" w:fill="auto"/>
            <w:noWrap/>
            <w:vAlign w:val="bottom"/>
          </w:tcPr>
          <w:p w14:paraId="5DA2F76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berry, reduced fat, commercial, uniced</w:t>
            </w:r>
          </w:p>
        </w:tc>
      </w:tr>
      <w:tr w:rsidR="00285EF0" w:rsidRPr="0039389C" w14:paraId="296DAEB5" w14:textId="77777777" w:rsidTr="00285EF0">
        <w:trPr>
          <w:trHeight w:val="290"/>
        </w:trPr>
        <w:tc>
          <w:tcPr>
            <w:tcW w:w="9298" w:type="dxa"/>
            <w:shd w:val="clear" w:color="auto" w:fill="auto"/>
            <w:noWrap/>
            <w:vAlign w:val="bottom"/>
          </w:tcPr>
          <w:p w14:paraId="523DD6F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cupcake or muffin, berry, prepared from dry mix, undefined fat, uniced</w:t>
            </w:r>
          </w:p>
        </w:tc>
      </w:tr>
      <w:tr w:rsidR="00285EF0" w:rsidRPr="0039389C" w14:paraId="38E25B06" w14:textId="77777777" w:rsidTr="00285EF0">
        <w:trPr>
          <w:trHeight w:val="290"/>
        </w:trPr>
        <w:tc>
          <w:tcPr>
            <w:tcW w:w="9298" w:type="dxa"/>
            <w:shd w:val="clear" w:color="auto" w:fill="auto"/>
            <w:noWrap/>
            <w:vAlign w:val="bottom"/>
          </w:tcPr>
          <w:p w14:paraId="6FD426D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friand, commercial, uniced</w:t>
            </w:r>
          </w:p>
        </w:tc>
      </w:tr>
      <w:tr w:rsidR="00285EF0" w:rsidRPr="0039389C" w14:paraId="22EB21B8" w14:textId="77777777" w:rsidTr="00285EF0">
        <w:trPr>
          <w:trHeight w:val="290"/>
        </w:trPr>
        <w:tc>
          <w:tcPr>
            <w:tcW w:w="9298" w:type="dxa"/>
            <w:shd w:val="clear" w:color="auto" w:fill="auto"/>
            <w:noWrap/>
            <w:vAlign w:val="bottom"/>
          </w:tcPr>
          <w:p w14:paraId="5ECABE1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friand, homemade from basic ingredients, uniced</w:t>
            </w:r>
          </w:p>
        </w:tc>
      </w:tr>
      <w:tr w:rsidR="00285EF0" w:rsidRPr="0039389C" w14:paraId="159F60E0" w14:textId="77777777" w:rsidTr="00285EF0">
        <w:trPr>
          <w:trHeight w:val="290"/>
        </w:trPr>
        <w:tc>
          <w:tcPr>
            <w:tcW w:w="9298" w:type="dxa"/>
            <w:shd w:val="clear" w:color="auto" w:fill="auto"/>
            <w:noWrap/>
            <w:vAlign w:val="bottom"/>
          </w:tcPr>
          <w:p w14:paraId="31794D8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Muffin, cake-style, berry, commercial, uniced</w:t>
            </w:r>
          </w:p>
        </w:tc>
      </w:tr>
      <w:tr w:rsidR="00285EF0" w:rsidRPr="0039389C" w14:paraId="1F4437C8" w14:textId="77777777" w:rsidTr="00285EF0">
        <w:trPr>
          <w:trHeight w:val="290"/>
        </w:trPr>
        <w:tc>
          <w:tcPr>
            <w:tcW w:w="9298" w:type="dxa"/>
            <w:shd w:val="clear" w:color="auto" w:fill="auto"/>
            <w:noWrap/>
            <w:vAlign w:val="bottom"/>
          </w:tcPr>
          <w:p w14:paraId="1E54336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Muffin, cake-style, berry, homemade from basic ingredients, uniced</w:t>
            </w:r>
          </w:p>
        </w:tc>
      </w:tr>
      <w:tr w:rsidR="00285EF0" w:rsidRPr="0039389C" w14:paraId="421F0B32" w14:textId="77777777" w:rsidTr="00285EF0">
        <w:trPr>
          <w:trHeight w:val="290"/>
        </w:trPr>
        <w:tc>
          <w:tcPr>
            <w:tcW w:w="9298" w:type="dxa"/>
            <w:shd w:val="clear" w:color="auto" w:fill="auto"/>
            <w:noWrap/>
            <w:vAlign w:val="bottom"/>
          </w:tcPr>
          <w:p w14:paraId="171CACD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Muffin, cake-style, raspberry &amp; white chocolate, commercial, uniced</w:t>
            </w:r>
          </w:p>
        </w:tc>
      </w:tr>
      <w:tr w:rsidR="00285EF0" w:rsidRPr="0039389C" w14:paraId="7FFCDEAC" w14:textId="77777777" w:rsidTr="00285EF0">
        <w:trPr>
          <w:trHeight w:val="290"/>
        </w:trPr>
        <w:tc>
          <w:tcPr>
            <w:tcW w:w="9298" w:type="dxa"/>
            <w:shd w:val="clear" w:color="auto" w:fill="auto"/>
            <w:noWrap/>
            <w:vAlign w:val="bottom"/>
          </w:tcPr>
          <w:p w14:paraId="3BFD504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Muffin, cake-style, raspberry &amp; white chocolate, homemade from basic ingredients, uniced</w:t>
            </w:r>
          </w:p>
        </w:tc>
      </w:tr>
      <w:tr w:rsidR="00285EF0" w:rsidRPr="0039389C" w14:paraId="07178473" w14:textId="77777777" w:rsidTr="00285EF0">
        <w:trPr>
          <w:trHeight w:val="290"/>
        </w:trPr>
        <w:tc>
          <w:tcPr>
            <w:tcW w:w="9298" w:type="dxa"/>
            <w:shd w:val="clear" w:color="auto" w:fill="auto"/>
            <w:noWrap/>
            <w:vAlign w:val="bottom"/>
          </w:tcPr>
          <w:p w14:paraId="22F75F8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Muffin, cake-style, commercial, not further defined</w:t>
            </w:r>
          </w:p>
        </w:tc>
      </w:tr>
      <w:tr w:rsidR="00285EF0" w:rsidRPr="0039389C" w14:paraId="50CB213E" w14:textId="77777777" w:rsidTr="00285EF0">
        <w:trPr>
          <w:trHeight w:val="290"/>
        </w:trPr>
        <w:tc>
          <w:tcPr>
            <w:tcW w:w="9298" w:type="dxa"/>
            <w:shd w:val="clear" w:color="auto" w:fill="auto"/>
            <w:noWrap/>
            <w:vAlign w:val="bottom"/>
          </w:tcPr>
          <w:p w14:paraId="2C40E62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berry shortcake, undefined fat</w:t>
            </w:r>
          </w:p>
        </w:tc>
      </w:tr>
      <w:tr w:rsidR="00285EF0" w:rsidRPr="0039389C" w14:paraId="402FABC7" w14:textId="77777777" w:rsidTr="00285EF0">
        <w:trPr>
          <w:trHeight w:val="290"/>
        </w:trPr>
        <w:tc>
          <w:tcPr>
            <w:tcW w:w="9298" w:type="dxa"/>
            <w:shd w:val="clear" w:color="auto" w:fill="auto"/>
            <w:noWrap/>
            <w:vAlign w:val="bottom"/>
          </w:tcPr>
          <w:p w14:paraId="1BC719A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Slice, coconut, with jam, commercial</w:t>
            </w:r>
          </w:p>
        </w:tc>
      </w:tr>
      <w:tr w:rsidR="00285EF0" w:rsidRPr="0039389C" w14:paraId="7B144587" w14:textId="77777777" w:rsidTr="00285EF0">
        <w:trPr>
          <w:trHeight w:val="290"/>
        </w:trPr>
        <w:tc>
          <w:tcPr>
            <w:tcW w:w="9298" w:type="dxa"/>
            <w:shd w:val="clear" w:color="auto" w:fill="auto"/>
            <w:noWrap/>
            <w:vAlign w:val="bottom"/>
          </w:tcPr>
          <w:p w14:paraId="7FDDCD2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Slice, coconut, with jam, homemade from basic ingredients, fat not further defined</w:t>
            </w:r>
          </w:p>
        </w:tc>
      </w:tr>
      <w:tr w:rsidR="00285EF0" w:rsidRPr="0039389C" w14:paraId="7A4A18AE" w14:textId="77777777" w:rsidTr="00285EF0">
        <w:trPr>
          <w:trHeight w:val="290"/>
        </w:trPr>
        <w:tc>
          <w:tcPr>
            <w:tcW w:w="9298" w:type="dxa"/>
            <w:shd w:val="clear" w:color="auto" w:fill="auto"/>
            <w:noWrap/>
            <w:vAlign w:val="bottom"/>
          </w:tcPr>
          <w:p w14:paraId="53BC4FB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Slice, meringue, with jam, homemade from basic ingredients, fat not further defined</w:t>
            </w:r>
          </w:p>
        </w:tc>
      </w:tr>
      <w:tr w:rsidR="00285EF0" w:rsidRPr="0039389C" w14:paraId="6655C40C" w14:textId="77777777" w:rsidTr="00285EF0">
        <w:trPr>
          <w:trHeight w:val="290"/>
        </w:trPr>
        <w:tc>
          <w:tcPr>
            <w:tcW w:w="9298" w:type="dxa"/>
            <w:shd w:val="clear" w:color="auto" w:fill="auto"/>
            <w:noWrap/>
            <w:vAlign w:val="bottom"/>
          </w:tcPr>
          <w:p w14:paraId="07A1D42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Slice, not further defined</w:t>
            </w:r>
          </w:p>
        </w:tc>
      </w:tr>
      <w:tr w:rsidR="00285EF0" w:rsidRPr="0039389C" w14:paraId="057FAC66" w14:textId="77777777" w:rsidTr="00285EF0">
        <w:trPr>
          <w:trHeight w:val="290"/>
        </w:trPr>
        <w:tc>
          <w:tcPr>
            <w:tcW w:w="9298" w:type="dxa"/>
            <w:shd w:val="clear" w:color="auto" w:fill="auto"/>
            <w:noWrap/>
            <w:vAlign w:val="bottom"/>
          </w:tcPr>
          <w:p w14:paraId="034EEA5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Pie, sweet, mixed berry, homemade</w:t>
            </w:r>
          </w:p>
        </w:tc>
      </w:tr>
      <w:tr w:rsidR="00285EF0" w:rsidRPr="0039389C" w14:paraId="024FC930" w14:textId="77777777" w:rsidTr="00285EF0">
        <w:trPr>
          <w:trHeight w:val="290"/>
        </w:trPr>
        <w:tc>
          <w:tcPr>
            <w:tcW w:w="9298" w:type="dxa"/>
            <w:shd w:val="clear" w:color="auto" w:fill="auto"/>
            <w:noWrap/>
            <w:vAlign w:val="bottom"/>
          </w:tcPr>
          <w:p w14:paraId="0E05746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Tart, jam, commercial</w:t>
            </w:r>
          </w:p>
        </w:tc>
      </w:tr>
      <w:tr w:rsidR="00285EF0" w:rsidRPr="0039389C" w14:paraId="15CE264A" w14:textId="77777777" w:rsidTr="00285EF0">
        <w:trPr>
          <w:trHeight w:val="290"/>
        </w:trPr>
        <w:tc>
          <w:tcPr>
            <w:tcW w:w="9298" w:type="dxa"/>
            <w:shd w:val="clear" w:color="auto" w:fill="auto"/>
            <w:noWrap/>
            <w:vAlign w:val="bottom"/>
          </w:tcPr>
          <w:p w14:paraId="49E5F3F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Tart, jam, homemade</w:t>
            </w:r>
          </w:p>
        </w:tc>
      </w:tr>
      <w:tr w:rsidR="00285EF0" w:rsidRPr="0039389C" w14:paraId="2950C8CE" w14:textId="77777777" w:rsidTr="00285EF0">
        <w:trPr>
          <w:trHeight w:val="290"/>
        </w:trPr>
        <w:tc>
          <w:tcPr>
            <w:tcW w:w="9298" w:type="dxa"/>
            <w:shd w:val="clear" w:color="auto" w:fill="auto"/>
            <w:noWrap/>
            <w:vAlign w:val="bottom"/>
          </w:tcPr>
          <w:p w14:paraId="209FB0D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Crepe or pancake, berry, homemade from basic ingredients</w:t>
            </w:r>
          </w:p>
        </w:tc>
      </w:tr>
      <w:tr w:rsidR="00285EF0" w:rsidRPr="0039389C" w14:paraId="42A187B4" w14:textId="77777777" w:rsidTr="00285EF0">
        <w:trPr>
          <w:trHeight w:val="290"/>
        </w:trPr>
        <w:tc>
          <w:tcPr>
            <w:tcW w:w="9298" w:type="dxa"/>
            <w:shd w:val="clear" w:color="auto" w:fill="auto"/>
            <w:noWrap/>
            <w:vAlign w:val="bottom"/>
          </w:tcPr>
          <w:p w14:paraId="1B345B5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Waffle, berry, fresh, homemade from basic ingredients</w:t>
            </w:r>
          </w:p>
        </w:tc>
      </w:tr>
      <w:tr w:rsidR="00285EF0" w:rsidRPr="0039389C" w14:paraId="2A270896" w14:textId="77777777" w:rsidTr="00285EF0">
        <w:trPr>
          <w:trHeight w:val="290"/>
        </w:trPr>
        <w:tc>
          <w:tcPr>
            <w:tcW w:w="9298" w:type="dxa"/>
            <w:shd w:val="clear" w:color="auto" w:fill="auto"/>
            <w:noWrap/>
            <w:vAlign w:val="bottom"/>
          </w:tcPr>
          <w:p w14:paraId="49DFCF78"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Doughnut, jam filled, sugar coated</w:t>
            </w:r>
          </w:p>
        </w:tc>
      </w:tr>
      <w:tr w:rsidR="00285EF0" w:rsidRPr="0039389C" w14:paraId="1211F2D0" w14:textId="77777777" w:rsidTr="00285EF0">
        <w:trPr>
          <w:trHeight w:val="290"/>
        </w:trPr>
        <w:tc>
          <w:tcPr>
            <w:tcW w:w="9298" w:type="dxa"/>
            <w:shd w:val="clear" w:color="auto" w:fill="auto"/>
            <w:noWrap/>
            <w:vAlign w:val="bottom"/>
          </w:tcPr>
          <w:p w14:paraId="36811BB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Doughnut, jam filled, with chocolate icing</w:t>
            </w:r>
          </w:p>
        </w:tc>
      </w:tr>
      <w:tr w:rsidR="00285EF0" w:rsidRPr="0039389C" w14:paraId="7938890E" w14:textId="77777777" w:rsidTr="00285EF0">
        <w:trPr>
          <w:trHeight w:val="290"/>
        </w:trPr>
        <w:tc>
          <w:tcPr>
            <w:tcW w:w="9298" w:type="dxa"/>
            <w:shd w:val="clear" w:color="auto" w:fill="auto"/>
            <w:noWrap/>
            <w:vAlign w:val="bottom"/>
          </w:tcPr>
          <w:p w14:paraId="559CBE2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Mixed berry, cooked</w:t>
            </w:r>
          </w:p>
        </w:tc>
      </w:tr>
      <w:tr w:rsidR="00285EF0" w:rsidRPr="0039389C" w14:paraId="4C518B65" w14:textId="77777777" w:rsidTr="00285EF0">
        <w:trPr>
          <w:trHeight w:val="290"/>
        </w:trPr>
        <w:tc>
          <w:tcPr>
            <w:tcW w:w="9298" w:type="dxa"/>
            <w:shd w:val="clear" w:color="auto" w:fill="auto"/>
            <w:noWrap/>
            <w:vAlign w:val="bottom"/>
          </w:tcPr>
          <w:p w14:paraId="08EECD9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Raspberry, canned in syrup</w:t>
            </w:r>
          </w:p>
        </w:tc>
      </w:tr>
      <w:tr w:rsidR="00285EF0" w:rsidRPr="0039389C" w14:paraId="700585D3" w14:textId="77777777" w:rsidTr="00285EF0">
        <w:trPr>
          <w:trHeight w:val="290"/>
        </w:trPr>
        <w:tc>
          <w:tcPr>
            <w:tcW w:w="9298" w:type="dxa"/>
            <w:shd w:val="clear" w:color="auto" w:fill="auto"/>
            <w:noWrap/>
            <w:vAlign w:val="bottom"/>
          </w:tcPr>
          <w:p w14:paraId="6F5D795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apple, banana &amp; berries, homemade</w:t>
            </w:r>
          </w:p>
        </w:tc>
      </w:tr>
      <w:tr w:rsidR="00285EF0" w:rsidRPr="0039389C" w14:paraId="5CF8AF52" w14:textId="77777777" w:rsidTr="00285EF0">
        <w:trPr>
          <w:trHeight w:val="290"/>
        </w:trPr>
        <w:tc>
          <w:tcPr>
            <w:tcW w:w="9298" w:type="dxa"/>
            <w:shd w:val="clear" w:color="auto" w:fill="auto"/>
            <w:noWrap/>
            <w:vAlign w:val="bottom"/>
          </w:tcPr>
          <w:p w14:paraId="1EEBF3E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apple, banana, berries &amp; other fruit, homemade</w:t>
            </w:r>
          </w:p>
        </w:tc>
      </w:tr>
      <w:tr w:rsidR="00285EF0" w:rsidRPr="0039389C" w14:paraId="5A0C57B7" w14:textId="77777777" w:rsidTr="00285EF0">
        <w:trPr>
          <w:trHeight w:val="290"/>
        </w:trPr>
        <w:tc>
          <w:tcPr>
            <w:tcW w:w="9298" w:type="dxa"/>
            <w:shd w:val="clear" w:color="auto" w:fill="auto"/>
            <w:noWrap/>
            <w:vAlign w:val="bottom"/>
          </w:tcPr>
          <w:p w14:paraId="4B6AC4C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apple, berries &amp; orange, homemade</w:t>
            </w:r>
          </w:p>
        </w:tc>
      </w:tr>
      <w:tr w:rsidR="00285EF0" w:rsidRPr="0039389C" w14:paraId="2FFACB12" w14:textId="77777777" w:rsidTr="00285EF0">
        <w:trPr>
          <w:trHeight w:val="290"/>
        </w:trPr>
        <w:tc>
          <w:tcPr>
            <w:tcW w:w="9298" w:type="dxa"/>
            <w:shd w:val="clear" w:color="auto" w:fill="auto"/>
            <w:noWrap/>
            <w:vAlign w:val="bottom"/>
          </w:tcPr>
          <w:p w14:paraId="268DFB9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banana, berries, melon &amp; other fruit, homemade</w:t>
            </w:r>
          </w:p>
        </w:tc>
      </w:tr>
      <w:tr w:rsidR="00285EF0" w:rsidRPr="0039389C" w14:paraId="0332A960" w14:textId="77777777" w:rsidTr="00285EF0">
        <w:trPr>
          <w:trHeight w:val="290"/>
        </w:trPr>
        <w:tc>
          <w:tcPr>
            <w:tcW w:w="9298" w:type="dxa"/>
            <w:shd w:val="clear" w:color="auto" w:fill="auto"/>
            <w:noWrap/>
            <w:vAlign w:val="bottom"/>
          </w:tcPr>
          <w:p w14:paraId="434D2FE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banana, berries &amp; stone fruit, homemade</w:t>
            </w:r>
          </w:p>
        </w:tc>
      </w:tr>
      <w:tr w:rsidR="00285EF0" w:rsidRPr="0039389C" w14:paraId="7C1F8214" w14:textId="77777777" w:rsidTr="00285EF0">
        <w:trPr>
          <w:trHeight w:val="290"/>
        </w:trPr>
        <w:tc>
          <w:tcPr>
            <w:tcW w:w="9298" w:type="dxa"/>
            <w:shd w:val="clear" w:color="auto" w:fill="auto"/>
            <w:noWrap/>
            <w:vAlign w:val="bottom"/>
          </w:tcPr>
          <w:p w14:paraId="49988B2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banana, berries, mango &amp; other fruit, homemade</w:t>
            </w:r>
          </w:p>
        </w:tc>
      </w:tr>
      <w:tr w:rsidR="00285EF0" w:rsidRPr="0039389C" w14:paraId="050C8784" w14:textId="77777777" w:rsidTr="00285EF0">
        <w:trPr>
          <w:trHeight w:val="290"/>
        </w:trPr>
        <w:tc>
          <w:tcPr>
            <w:tcW w:w="9298" w:type="dxa"/>
            <w:shd w:val="clear" w:color="auto" w:fill="auto"/>
            <w:noWrap/>
            <w:vAlign w:val="bottom"/>
          </w:tcPr>
          <w:p w14:paraId="5FCE3678"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berries &amp; pineapple, homemade</w:t>
            </w:r>
          </w:p>
        </w:tc>
      </w:tr>
      <w:tr w:rsidR="00285EF0" w:rsidRPr="0039389C" w14:paraId="3A5BFCB9" w14:textId="77777777" w:rsidTr="00285EF0">
        <w:trPr>
          <w:trHeight w:val="290"/>
        </w:trPr>
        <w:tc>
          <w:tcPr>
            <w:tcW w:w="9298" w:type="dxa"/>
            <w:shd w:val="clear" w:color="auto" w:fill="auto"/>
            <w:noWrap/>
            <w:vAlign w:val="bottom"/>
          </w:tcPr>
          <w:p w14:paraId="4CB7985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berries, cherries, watermelon or other red fruit, homemade</w:t>
            </w:r>
          </w:p>
        </w:tc>
      </w:tr>
      <w:tr w:rsidR="00285EF0" w:rsidRPr="0039389C" w14:paraId="3FB1AC36" w14:textId="77777777" w:rsidTr="00285EF0">
        <w:trPr>
          <w:trHeight w:val="290"/>
        </w:trPr>
        <w:tc>
          <w:tcPr>
            <w:tcW w:w="9298" w:type="dxa"/>
            <w:shd w:val="clear" w:color="auto" w:fill="auto"/>
            <w:noWrap/>
            <w:vAlign w:val="bottom"/>
          </w:tcPr>
          <w:p w14:paraId="75FB2B1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berries, mango, stone fruit &amp; other fruit, homemade</w:t>
            </w:r>
          </w:p>
        </w:tc>
      </w:tr>
      <w:tr w:rsidR="00285EF0" w:rsidRPr="0039389C" w14:paraId="0E3B875B" w14:textId="77777777" w:rsidTr="00285EF0">
        <w:trPr>
          <w:trHeight w:val="290"/>
        </w:trPr>
        <w:tc>
          <w:tcPr>
            <w:tcW w:w="9298" w:type="dxa"/>
            <w:shd w:val="clear" w:color="auto" w:fill="auto"/>
            <w:noWrap/>
            <w:vAlign w:val="bottom"/>
          </w:tcPr>
          <w:p w14:paraId="1E2861C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Mixed berry, dried</w:t>
            </w:r>
          </w:p>
        </w:tc>
      </w:tr>
      <w:tr w:rsidR="00285EF0" w:rsidRPr="0039389C" w14:paraId="3368E741" w14:textId="77777777" w:rsidTr="00285EF0">
        <w:trPr>
          <w:trHeight w:val="290"/>
        </w:trPr>
        <w:tc>
          <w:tcPr>
            <w:tcW w:w="9298" w:type="dxa"/>
            <w:shd w:val="clear" w:color="auto" w:fill="auto"/>
            <w:noWrap/>
            <w:vAlign w:val="bottom"/>
          </w:tcPr>
          <w:p w14:paraId="1CC457C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Crumble, apple &amp; berry, baked, homemade</w:t>
            </w:r>
          </w:p>
        </w:tc>
      </w:tr>
      <w:tr w:rsidR="00285EF0" w:rsidRPr="0039389C" w14:paraId="756070EA" w14:textId="77777777" w:rsidTr="00285EF0">
        <w:trPr>
          <w:trHeight w:val="290"/>
        </w:trPr>
        <w:tc>
          <w:tcPr>
            <w:tcW w:w="9298" w:type="dxa"/>
            <w:shd w:val="clear" w:color="auto" w:fill="auto"/>
            <w:noWrap/>
            <w:vAlign w:val="bottom"/>
          </w:tcPr>
          <w:p w14:paraId="5A7C80A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Souffle, fruit</w:t>
            </w:r>
          </w:p>
        </w:tc>
      </w:tr>
      <w:tr w:rsidR="00285EF0" w:rsidRPr="0039389C" w14:paraId="06FAE314" w14:textId="77777777" w:rsidTr="00285EF0">
        <w:trPr>
          <w:trHeight w:val="290"/>
        </w:trPr>
        <w:tc>
          <w:tcPr>
            <w:tcW w:w="9298" w:type="dxa"/>
            <w:shd w:val="clear" w:color="auto" w:fill="auto"/>
            <w:noWrap/>
            <w:vAlign w:val="bottom"/>
          </w:tcPr>
          <w:p w14:paraId="0FD8B09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natural or Greek, high fat (approx. 6%), added berry pieces</w:t>
            </w:r>
          </w:p>
        </w:tc>
      </w:tr>
      <w:tr w:rsidR="00285EF0" w:rsidRPr="0039389C" w14:paraId="55F60E88" w14:textId="77777777" w:rsidTr="00285EF0">
        <w:trPr>
          <w:trHeight w:val="290"/>
        </w:trPr>
        <w:tc>
          <w:tcPr>
            <w:tcW w:w="9298" w:type="dxa"/>
            <w:shd w:val="clear" w:color="auto" w:fill="auto"/>
            <w:noWrap/>
            <w:vAlign w:val="bottom"/>
          </w:tcPr>
          <w:p w14:paraId="61E62A6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regular fat (approx. 3%)</w:t>
            </w:r>
          </w:p>
        </w:tc>
      </w:tr>
      <w:tr w:rsidR="00285EF0" w:rsidRPr="0039389C" w14:paraId="7D914E22" w14:textId="77777777" w:rsidTr="00285EF0">
        <w:trPr>
          <w:trHeight w:val="290"/>
        </w:trPr>
        <w:tc>
          <w:tcPr>
            <w:tcW w:w="9298" w:type="dxa"/>
            <w:shd w:val="clear" w:color="auto" w:fill="auto"/>
            <w:noWrap/>
            <w:vAlign w:val="bottom"/>
          </w:tcPr>
          <w:p w14:paraId="5B98521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with added fruit juice, reduced fat (approx. 2%)</w:t>
            </w:r>
          </w:p>
        </w:tc>
      </w:tr>
      <w:tr w:rsidR="00285EF0" w:rsidRPr="0039389C" w14:paraId="2ED47C10" w14:textId="77777777" w:rsidTr="00285EF0">
        <w:trPr>
          <w:trHeight w:val="290"/>
        </w:trPr>
        <w:tc>
          <w:tcPr>
            <w:tcW w:w="9298" w:type="dxa"/>
            <w:shd w:val="clear" w:color="auto" w:fill="auto"/>
            <w:noWrap/>
            <w:vAlign w:val="bottom"/>
          </w:tcPr>
          <w:p w14:paraId="4A6F672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natural or Greek, regular fat (approx. 4%), added berry pieces</w:t>
            </w:r>
          </w:p>
        </w:tc>
      </w:tr>
      <w:tr w:rsidR="00285EF0" w:rsidRPr="0039389C" w14:paraId="5940504C" w14:textId="77777777" w:rsidTr="00285EF0">
        <w:trPr>
          <w:trHeight w:val="290"/>
        </w:trPr>
        <w:tc>
          <w:tcPr>
            <w:tcW w:w="9298" w:type="dxa"/>
            <w:shd w:val="clear" w:color="auto" w:fill="auto"/>
            <w:noWrap/>
            <w:vAlign w:val="bottom"/>
          </w:tcPr>
          <w:p w14:paraId="28A83D3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flavoured, regular fat (approx. 3%), added cereals</w:t>
            </w:r>
          </w:p>
        </w:tc>
      </w:tr>
      <w:tr w:rsidR="00285EF0" w:rsidRPr="0039389C" w14:paraId="4EADB6BA" w14:textId="77777777" w:rsidTr="00285EF0">
        <w:trPr>
          <w:trHeight w:val="290"/>
        </w:trPr>
        <w:tc>
          <w:tcPr>
            <w:tcW w:w="9298" w:type="dxa"/>
            <w:shd w:val="clear" w:color="auto" w:fill="auto"/>
            <w:noWrap/>
            <w:vAlign w:val="bottom"/>
          </w:tcPr>
          <w:p w14:paraId="1355691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reduced fat (1%)</w:t>
            </w:r>
          </w:p>
        </w:tc>
      </w:tr>
      <w:tr w:rsidR="00285EF0" w:rsidRPr="0039389C" w14:paraId="562231AB" w14:textId="77777777" w:rsidTr="00285EF0">
        <w:trPr>
          <w:trHeight w:val="290"/>
        </w:trPr>
        <w:tc>
          <w:tcPr>
            <w:tcW w:w="9298" w:type="dxa"/>
            <w:shd w:val="clear" w:color="auto" w:fill="auto"/>
            <w:noWrap/>
            <w:vAlign w:val="bottom"/>
          </w:tcPr>
          <w:p w14:paraId="7947E4D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tropical fruit or fruit salad pieces or flavoured, with added fruit juice, reduced fat (approx. 2%)</w:t>
            </w:r>
          </w:p>
        </w:tc>
      </w:tr>
      <w:tr w:rsidR="00285EF0" w:rsidRPr="0039389C" w14:paraId="1AC86CD2" w14:textId="77777777" w:rsidTr="00285EF0">
        <w:trPr>
          <w:trHeight w:val="290"/>
        </w:trPr>
        <w:tc>
          <w:tcPr>
            <w:tcW w:w="9298" w:type="dxa"/>
            <w:shd w:val="clear" w:color="auto" w:fill="auto"/>
            <w:noWrap/>
            <w:vAlign w:val="bottom"/>
          </w:tcPr>
          <w:p w14:paraId="78D83DD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vanilla flavoured, reduced fat (2%), added berry pieces</w:t>
            </w:r>
          </w:p>
        </w:tc>
      </w:tr>
      <w:tr w:rsidR="00285EF0" w:rsidRPr="0039389C" w14:paraId="1C3A95AB" w14:textId="77777777" w:rsidTr="00285EF0">
        <w:trPr>
          <w:trHeight w:val="290"/>
        </w:trPr>
        <w:tc>
          <w:tcPr>
            <w:tcW w:w="9298" w:type="dxa"/>
            <w:shd w:val="clear" w:color="auto" w:fill="auto"/>
            <w:noWrap/>
            <w:vAlign w:val="bottom"/>
          </w:tcPr>
          <w:p w14:paraId="16036B5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low fat (&lt;0.5%)</w:t>
            </w:r>
          </w:p>
        </w:tc>
      </w:tr>
      <w:tr w:rsidR="00285EF0" w:rsidRPr="0039389C" w14:paraId="422A6C29" w14:textId="77777777" w:rsidTr="00285EF0">
        <w:trPr>
          <w:trHeight w:val="290"/>
        </w:trPr>
        <w:tc>
          <w:tcPr>
            <w:tcW w:w="9298" w:type="dxa"/>
            <w:shd w:val="clear" w:color="auto" w:fill="auto"/>
            <w:noWrap/>
            <w:vAlign w:val="bottom"/>
          </w:tcPr>
          <w:p w14:paraId="0E8C948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low fat (&lt;0.5%), intense sweetened</w:t>
            </w:r>
          </w:p>
        </w:tc>
      </w:tr>
      <w:tr w:rsidR="00285EF0" w:rsidRPr="0039389C" w14:paraId="1D1B80F8" w14:textId="77777777" w:rsidTr="00285EF0">
        <w:trPr>
          <w:trHeight w:val="290"/>
        </w:trPr>
        <w:tc>
          <w:tcPr>
            <w:tcW w:w="9298" w:type="dxa"/>
            <w:shd w:val="clear" w:color="auto" w:fill="auto"/>
            <w:noWrap/>
            <w:vAlign w:val="bottom"/>
          </w:tcPr>
          <w:p w14:paraId="7084436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drinking style, fruit flavoured, reduced fat (1%)</w:t>
            </w:r>
          </w:p>
        </w:tc>
      </w:tr>
      <w:tr w:rsidR="00285EF0" w:rsidRPr="0039389C" w14:paraId="0E33588A" w14:textId="77777777" w:rsidTr="00285EF0">
        <w:trPr>
          <w:trHeight w:val="290"/>
        </w:trPr>
        <w:tc>
          <w:tcPr>
            <w:tcW w:w="9298" w:type="dxa"/>
            <w:shd w:val="clear" w:color="auto" w:fill="auto"/>
            <w:noWrap/>
            <w:vAlign w:val="bottom"/>
          </w:tcPr>
          <w:p w14:paraId="432F71F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regular fat (approx. 3%), added omega-3 polyunsaturates</w:t>
            </w:r>
          </w:p>
        </w:tc>
      </w:tr>
      <w:tr w:rsidR="00285EF0" w:rsidRPr="0039389C" w14:paraId="1F9F569B" w14:textId="77777777" w:rsidTr="00285EF0">
        <w:trPr>
          <w:trHeight w:val="290"/>
        </w:trPr>
        <w:tc>
          <w:tcPr>
            <w:tcW w:w="9298" w:type="dxa"/>
            <w:shd w:val="clear" w:color="auto" w:fill="auto"/>
            <w:noWrap/>
            <w:vAlign w:val="bottom"/>
          </w:tcPr>
          <w:p w14:paraId="62D850C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reduced fat (1%), added fibre</w:t>
            </w:r>
          </w:p>
        </w:tc>
      </w:tr>
      <w:tr w:rsidR="00285EF0" w:rsidRPr="0039389C" w14:paraId="70CFE3B8" w14:textId="77777777" w:rsidTr="00285EF0">
        <w:trPr>
          <w:trHeight w:val="290"/>
        </w:trPr>
        <w:tc>
          <w:tcPr>
            <w:tcW w:w="9298" w:type="dxa"/>
            <w:shd w:val="clear" w:color="auto" w:fill="auto"/>
            <w:noWrap/>
            <w:vAlign w:val="bottom"/>
          </w:tcPr>
          <w:p w14:paraId="3ECA454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low fat (&lt;0.5%), intense sweetened, added fibre</w:t>
            </w:r>
          </w:p>
        </w:tc>
      </w:tr>
      <w:tr w:rsidR="00285EF0" w:rsidRPr="0039389C" w14:paraId="665AA38A" w14:textId="77777777" w:rsidTr="00285EF0">
        <w:trPr>
          <w:trHeight w:val="290"/>
        </w:trPr>
        <w:tc>
          <w:tcPr>
            <w:tcW w:w="9298" w:type="dxa"/>
            <w:shd w:val="clear" w:color="auto" w:fill="auto"/>
            <w:noWrap/>
            <w:vAlign w:val="bottom"/>
          </w:tcPr>
          <w:p w14:paraId="725FF58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dessert flavoured, low fat (&lt;0.5%), intense sweetened, added fibre</w:t>
            </w:r>
          </w:p>
        </w:tc>
      </w:tr>
      <w:tr w:rsidR="00285EF0" w:rsidRPr="0039389C" w14:paraId="58664009" w14:textId="77777777" w:rsidTr="00285EF0">
        <w:trPr>
          <w:trHeight w:val="290"/>
        </w:trPr>
        <w:tc>
          <w:tcPr>
            <w:tcW w:w="9298" w:type="dxa"/>
            <w:shd w:val="clear" w:color="auto" w:fill="auto"/>
            <w:noWrap/>
            <w:vAlign w:val="bottom"/>
          </w:tcPr>
          <w:p w14:paraId="3E40D63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not further defined</w:t>
            </w:r>
          </w:p>
        </w:tc>
      </w:tr>
      <w:tr w:rsidR="00285EF0" w:rsidRPr="0039389C" w14:paraId="34479D52" w14:textId="77777777" w:rsidTr="00285EF0">
        <w:trPr>
          <w:trHeight w:val="290"/>
        </w:trPr>
        <w:tc>
          <w:tcPr>
            <w:tcW w:w="9298" w:type="dxa"/>
            <w:shd w:val="clear" w:color="auto" w:fill="auto"/>
            <w:noWrap/>
            <w:vAlign w:val="bottom"/>
          </w:tcPr>
          <w:p w14:paraId="65B38D7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Ice cream, all flavours, homemade from basic ingredients</w:t>
            </w:r>
          </w:p>
        </w:tc>
      </w:tr>
      <w:tr w:rsidR="00285EF0" w:rsidRPr="0039389C" w14:paraId="3D9EA285" w14:textId="77777777" w:rsidTr="00285EF0">
        <w:trPr>
          <w:trHeight w:val="290"/>
        </w:trPr>
        <w:tc>
          <w:tcPr>
            <w:tcW w:w="9298" w:type="dxa"/>
            <w:shd w:val="clear" w:color="auto" w:fill="auto"/>
            <w:noWrap/>
            <w:vAlign w:val="bottom"/>
          </w:tcPr>
          <w:p w14:paraId="3A6B335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frozen, berry flavoured, regular fat</w:t>
            </w:r>
          </w:p>
        </w:tc>
      </w:tr>
      <w:tr w:rsidR="00285EF0" w:rsidRPr="0039389C" w14:paraId="32AA14FF" w14:textId="77777777" w:rsidTr="00285EF0">
        <w:trPr>
          <w:trHeight w:val="290"/>
        </w:trPr>
        <w:tc>
          <w:tcPr>
            <w:tcW w:w="9298" w:type="dxa"/>
            <w:shd w:val="clear" w:color="auto" w:fill="auto"/>
            <w:noWrap/>
            <w:vAlign w:val="bottom"/>
          </w:tcPr>
          <w:p w14:paraId="09CDAE7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cheesecake, biscuit base, fruit flavoured cream cheese topping, homemade from basic ingredients</w:t>
            </w:r>
          </w:p>
        </w:tc>
      </w:tr>
      <w:tr w:rsidR="00285EF0" w:rsidRPr="0039389C" w14:paraId="51BC07A2" w14:textId="77777777" w:rsidTr="00285EF0">
        <w:trPr>
          <w:trHeight w:val="290"/>
        </w:trPr>
        <w:tc>
          <w:tcPr>
            <w:tcW w:w="9298" w:type="dxa"/>
            <w:shd w:val="clear" w:color="auto" w:fill="auto"/>
            <w:noWrap/>
            <w:vAlign w:val="bottom"/>
          </w:tcPr>
          <w:p w14:paraId="41F43C5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Trifle, homemade from basic ingredients</w:t>
            </w:r>
          </w:p>
        </w:tc>
      </w:tr>
      <w:tr w:rsidR="00285EF0" w:rsidRPr="0039389C" w14:paraId="348350B1" w14:textId="77777777" w:rsidTr="00285EF0">
        <w:trPr>
          <w:trHeight w:val="290"/>
        </w:trPr>
        <w:tc>
          <w:tcPr>
            <w:tcW w:w="9298" w:type="dxa"/>
            <w:shd w:val="clear" w:color="auto" w:fill="auto"/>
            <w:noWrap/>
            <w:vAlign w:val="bottom"/>
          </w:tcPr>
          <w:p w14:paraId="357DC1D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cows milk, all flavours, added berries</w:t>
            </w:r>
          </w:p>
        </w:tc>
      </w:tr>
      <w:tr w:rsidR="00285EF0" w:rsidRPr="0039389C" w14:paraId="2EE39A14" w14:textId="77777777" w:rsidTr="00285EF0">
        <w:trPr>
          <w:trHeight w:val="290"/>
        </w:trPr>
        <w:tc>
          <w:tcPr>
            <w:tcW w:w="9298" w:type="dxa"/>
            <w:shd w:val="clear" w:color="auto" w:fill="auto"/>
            <w:noWrap/>
            <w:vAlign w:val="bottom"/>
          </w:tcPr>
          <w:p w14:paraId="2CBB777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cows milk, all flavours, added mixed fruit</w:t>
            </w:r>
          </w:p>
        </w:tc>
      </w:tr>
      <w:tr w:rsidR="00285EF0" w:rsidRPr="0039389C" w14:paraId="0655402E" w14:textId="77777777" w:rsidTr="00285EF0">
        <w:trPr>
          <w:trHeight w:val="290"/>
        </w:trPr>
        <w:tc>
          <w:tcPr>
            <w:tcW w:w="9298" w:type="dxa"/>
            <w:shd w:val="clear" w:color="auto" w:fill="auto"/>
            <w:noWrap/>
            <w:vAlign w:val="bottom"/>
          </w:tcPr>
          <w:p w14:paraId="6C9AB66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cows milk, all flavours, added mixed fruit &amp; egg</w:t>
            </w:r>
          </w:p>
        </w:tc>
      </w:tr>
      <w:tr w:rsidR="00285EF0" w:rsidRPr="0039389C" w14:paraId="00E092E9" w14:textId="77777777" w:rsidTr="00285EF0">
        <w:trPr>
          <w:trHeight w:val="290"/>
        </w:trPr>
        <w:tc>
          <w:tcPr>
            <w:tcW w:w="9298" w:type="dxa"/>
            <w:shd w:val="clear" w:color="auto" w:fill="auto"/>
            <w:noWrap/>
            <w:vAlign w:val="bottom"/>
          </w:tcPr>
          <w:p w14:paraId="0F8BCA6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cows milk, all flavours, added mixed fruit, guarana &amp; herbal extracts</w:t>
            </w:r>
          </w:p>
        </w:tc>
      </w:tr>
      <w:tr w:rsidR="00285EF0" w:rsidRPr="0039389C" w14:paraId="75844F3A" w14:textId="77777777" w:rsidTr="00285EF0">
        <w:trPr>
          <w:trHeight w:val="290"/>
        </w:trPr>
        <w:tc>
          <w:tcPr>
            <w:tcW w:w="9298" w:type="dxa"/>
            <w:shd w:val="clear" w:color="auto" w:fill="auto"/>
            <w:noWrap/>
            <w:vAlign w:val="bottom"/>
          </w:tcPr>
          <w:p w14:paraId="42709EA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cows milk, all flavours, added mixed fruit &amp; nuts or seeds</w:t>
            </w:r>
          </w:p>
        </w:tc>
      </w:tr>
      <w:tr w:rsidR="00285EF0" w:rsidRPr="0039389C" w14:paraId="0D6E0EE0" w14:textId="77777777" w:rsidTr="00285EF0">
        <w:trPr>
          <w:trHeight w:val="290"/>
        </w:trPr>
        <w:tc>
          <w:tcPr>
            <w:tcW w:w="9298" w:type="dxa"/>
            <w:shd w:val="clear" w:color="auto" w:fill="auto"/>
            <w:noWrap/>
            <w:vAlign w:val="bottom"/>
          </w:tcPr>
          <w:p w14:paraId="6FE05D7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non-dairy base, all flavours, added mixed fruit</w:t>
            </w:r>
          </w:p>
        </w:tc>
      </w:tr>
      <w:tr w:rsidR="00285EF0" w:rsidRPr="0039389C" w14:paraId="157A3E64" w14:textId="77777777" w:rsidTr="00285EF0">
        <w:trPr>
          <w:trHeight w:val="290"/>
        </w:trPr>
        <w:tc>
          <w:tcPr>
            <w:tcW w:w="9298" w:type="dxa"/>
            <w:shd w:val="clear" w:color="auto" w:fill="auto"/>
            <w:noWrap/>
            <w:vAlign w:val="bottom"/>
          </w:tcPr>
          <w:p w14:paraId="523D51D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soy based, berry flavoured, regular fat (approx. 3%)</w:t>
            </w:r>
          </w:p>
        </w:tc>
      </w:tr>
      <w:tr w:rsidR="00285EF0" w:rsidRPr="0039389C" w14:paraId="6E42B986" w14:textId="77777777" w:rsidTr="00285EF0">
        <w:trPr>
          <w:trHeight w:val="290"/>
        </w:trPr>
        <w:tc>
          <w:tcPr>
            <w:tcW w:w="9298" w:type="dxa"/>
            <w:shd w:val="clear" w:color="auto" w:fill="auto"/>
            <w:noWrap/>
            <w:vAlign w:val="bottom"/>
          </w:tcPr>
          <w:p w14:paraId="0DB8312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Jam, mixed berry, regular</w:t>
            </w:r>
          </w:p>
        </w:tc>
      </w:tr>
      <w:tr w:rsidR="00285EF0" w:rsidRPr="0039389C" w14:paraId="391DCC21" w14:textId="77777777" w:rsidTr="00285EF0">
        <w:trPr>
          <w:trHeight w:val="290"/>
        </w:trPr>
        <w:tc>
          <w:tcPr>
            <w:tcW w:w="9298" w:type="dxa"/>
            <w:shd w:val="clear" w:color="auto" w:fill="auto"/>
            <w:noWrap/>
            <w:vAlign w:val="bottom"/>
          </w:tcPr>
          <w:p w14:paraId="10D43C6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Jam, raspberry, regular</w:t>
            </w:r>
          </w:p>
        </w:tc>
      </w:tr>
      <w:tr w:rsidR="00285EF0" w:rsidRPr="0039389C" w14:paraId="1DEF4269" w14:textId="77777777" w:rsidTr="00285EF0">
        <w:trPr>
          <w:trHeight w:val="290"/>
        </w:trPr>
        <w:tc>
          <w:tcPr>
            <w:tcW w:w="9298" w:type="dxa"/>
            <w:shd w:val="clear" w:color="auto" w:fill="auto"/>
            <w:noWrap/>
            <w:vAlign w:val="bottom"/>
          </w:tcPr>
          <w:p w14:paraId="472CD4D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Jam, not further defined</w:t>
            </w:r>
          </w:p>
        </w:tc>
      </w:tr>
      <w:tr w:rsidR="00285EF0" w:rsidRPr="0039389C" w14:paraId="107C1F72" w14:textId="77777777" w:rsidTr="00285EF0">
        <w:trPr>
          <w:trHeight w:val="290"/>
        </w:trPr>
        <w:tc>
          <w:tcPr>
            <w:tcW w:w="9298" w:type="dxa"/>
            <w:shd w:val="clear" w:color="auto" w:fill="auto"/>
            <w:noWrap/>
            <w:vAlign w:val="bottom"/>
          </w:tcPr>
          <w:p w14:paraId="7ED36FF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Sauce, sweet, mixed berry coulis</w:t>
            </w:r>
          </w:p>
        </w:tc>
      </w:tr>
      <w:tr w:rsidR="00285EF0" w:rsidRPr="0039389C" w14:paraId="153904D0" w14:textId="77777777" w:rsidTr="00285EF0">
        <w:trPr>
          <w:trHeight w:val="290"/>
        </w:trPr>
        <w:tc>
          <w:tcPr>
            <w:tcW w:w="9298" w:type="dxa"/>
            <w:shd w:val="clear" w:color="auto" w:fill="auto"/>
            <w:noWrap/>
            <w:vAlign w:val="bottom"/>
          </w:tcPr>
          <w:p w14:paraId="04CF068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Jelly, sugar sweetened, all flavours, prepared, added berries</w:t>
            </w:r>
          </w:p>
        </w:tc>
      </w:tr>
      <w:tr w:rsidR="00285EF0" w:rsidRPr="0039389C" w14:paraId="3EF80874" w14:textId="77777777" w:rsidTr="00285EF0">
        <w:trPr>
          <w:trHeight w:val="290"/>
        </w:trPr>
        <w:tc>
          <w:tcPr>
            <w:tcW w:w="9298" w:type="dxa"/>
            <w:shd w:val="clear" w:color="auto" w:fill="auto"/>
            <w:noWrap/>
            <w:vAlign w:val="bottom"/>
          </w:tcPr>
          <w:p w14:paraId="477A6EC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w:t>
            </w:r>
          </w:p>
        </w:tc>
      </w:tr>
      <w:tr w:rsidR="00285EF0" w:rsidRPr="0039389C" w14:paraId="79FA95D1" w14:textId="77777777" w:rsidTr="00285EF0">
        <w:trPr>
          <w:trHeight w:val="290"/>
        </w:trPr>
        <w:tc>
          <w:tcPr>
            <w:tcW w:w="9298" w:type="dxa"/>
            <w:shd w:val="clear" w:color="auto" w:fill="auto"/>
            <w:noWrap/>
            <w:vAlign w:val="bottom"/>
          </w:tcPr>
          <w:p w14:paraId="4C692D4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 added vitamins B1, B2, B3, folate &amp; Fe</w:t>
            </w:r>
          </w:p>
        </w:tc>
      </w:tr>
      <w:tr w:rsidR="00285EF0" w:rsidRPr="0039389C" w14:paraId="7D2EE0B8" w14:textId="77777777" w:rsidTr="00285EF0">
        <w:trPr>
          <w:trHeight w:val="290"/>
        </w:trPr>
        <w:tc>
          <w:tcPr>
            <w:tcW w:w="9298" w:type="dxa"/>
            <w:shd w:val="clear" w:color="auto" w:fill="auto"/>
            <w:noWrap/>
            <w:vAlign w:val="bottom"/>
          </w:tcPr>
          <w:p w14:paraId="1D52666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 high fibre, added vitamins B1, B2, B3, B6, E, &amp; folate, Fe &amp; Zn</w:t>
            </w:r>
          </w:p>
        </w:tc>
      </w:tr>
      <w:tr w:rsidR="00285EF0" w:rsidRPr="0039389C" w14:paraId="00876AAB" w14:textId="77777777" w:rsidTr="00285EF0">
        <w:trPr>
          <w:trHeight w:val="290"/>
        </w:trPr>
        <w:tc>
          <w:tcPr>
            <w:tcW w:w="9298" w:type="dxa"/>
            <w:shd w:val="clear" w:color="auto" w:fill="auto"/>
            <w:noWrap/>
            <w:vAlign w:val="bottom"/>
          </w:tcPr>
          <w:p w14:paraId="0A6FDD3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10% dried fruit &amp; 5% nuts</w:t>
            </w:r>
          </w:p>
        </w:tc>
      </w:tr>
      <w:tr w:rsidR="00285EF0" w:rsidRPr="0039389C" w14:paraId="23632FD5" w14:textId="77777777" w:rsidTr="00285EF0">
        <w:trPr>
          <w:trHeight w:val="290"/>
        </w:trPr>
        <w:tc>
          <w:tcPr>
            <w:tcW w:w="9298" w:type="dxa"/>
            <w:shd w:val="clear" w:color="auto" w:fill="auto"/>
            <w:noWrap/>
            <w:vAlign w:val="bottom"/>
          </w:tcPr>
          <w:p w14:paraId="6613DF1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10% dried fruit &amp; 10% nuts</w:t>
            </w:r>
          </w:p>
        </w:tc>
      </w:tr>
      <w:tr w:rsidR="00285EF0" w:rsidRPr="0039389C" w14:paraId="311E858E" w14:textId="77777777" w:rsidTr="00285EF0">
        <w:trPr>
          <w:trHeight w:val="290"/>
        </w:trPr>
        <w:tc>
          <w:tcPr>
            <w:tcW w:w="9298" w:type="dxa"/>
            <w:shd w:val="clear" w:color="auto" w:fill="auto"/>
            <w:noWrap/>
            <w:vAlign w:val="bottom"/>
          </w:tcPr>
          <w:p w14:paraId="2F2ECA9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10% dried fruit &amp; 45% nuts, chocolate-coated</w:t>
            </w:r>
          </w:p>
        </w:tc>
      </w:tr>
      <w:tr w:rsidR="00285EF0" w:rsidRPr="0039389C" w14:paraId="58EA2FCA" w14:textId="77777777" w:rsidTr="00285EF0">
        <w:trPr>
          <w:trHeight w:val="290"/>
        </w:trPr>
        <w:tc>
          <w:tcPr>
            <w:tcW w:w="9298" w:type="dxa"/>
            <w:shd w:val="clear" w:color="auto" w:fill="auto"/>
            <w:noWrap/>
            <w:vAlign w:val="bottom"/>
          </w:tcPr>
          <w:p w14:paraId="7AF660B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10% dried fruit &amp; 60% nuts</w:t>
            </w:r>
          </w:p>
        </w:tc>
      </w:tr>
      <w:tr w:rsidR="00285EF0" w:rsidRPr="0039389C" w14:paraId="27E56F9F" w14:textId="77777777" w:rsidTr="00285EF0">
        <w:trPr>
          <w:trHeight w:val="290"/>
        </w:trPr>
        <w:tc>
          <w:tcPr>
            <w:tcW w:w="9298" w:type="dxa"/>
            <w:shd w:val="clear" w:color="auto" w:fill="auto"/>
            <w:noWrap/>
            <w:vAlign w:val="bottom"/>
          </w:tcPr>
          <w:p w14:paraId="2B383F6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10% dried fruit &amp; 60% nuts, yoghurt-coated</w:t>
            </w:r>
          </w:p>
        </w:tc>
      </w:tr>
      <w:tr w:rsidR="00285EF0" w:rsidRPr="0039389C" w14:paraId="6AF4E266" w14:textId="77777777" w:rsidTr="00285EF0">
        <w:trPr>
          <w:trHeight w:val="290"/>
        </w:trPr>
        <w:tc>
          <w:tcPr>
            <w:tcW w:w="9298" w:type="dxa"/>
            <w:shd w:val="clear" w:color="auto" w:fill="auto"/>
            <w:noWrap/>
            <w:vAlign w:val="bottom"/>
          </w:tcPr>
          <w:p w14:paraId="27F7DD6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15% dried fruit &amp; 25% nuts, added vitamins B1, B2, B3, C &amp; folate, Fe, &amp; Zn</w:t>
            </w:r>
          </w:p>
        </w:tc>
      </w:tr>
      <w:tr w:rsidR="00285EF0" w:rsidRPr="0039389C" w14:paraId="07504F63" w14:textId="77777777" w:rsidTr="00285EF0">
        <w:trPr>
          <w:trHeight w:val="290"/>
        </w:trPr>
        <w:tc>
          <w:tcPr>
            <w:tcW w:w="9298" w:type="dxa"/>
            <w:shd w:val="clear" w:color="auto" w:fill="auto"/>
            <w:noWrap/>
            <w:vAlign w:val="bottom"/>
          </w:tcPr>
          <w:p w14:paraId="4F9E4F2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20% dried fruit &amp; 5% nuts</w:t>
            </w:r>
          </w:p>
        </w:tc>
      </w:tr>
      <w:tr w:rsidR="00285EF0" w:rsidRPr="0039389C" w14:paraId="03992F71" w14:textId="77777777" w:rsidTr="00285EF0">
        <w:trPr>
          <w:trHeight w:val="290"/>
        </w:trPr>
        <w:tc>
          <w:tcPr>
            <w:tcW w:w="9298" w:type="dxa"/>
            <w:shd w:val="clear" w:color="auto" w:fill="auto"/>
            <w:noWrap/>
            <w:vAlign w:val="bottom"/>
          </w:tcPr>
          <w:p w14:paraId="2F023AD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20% dried fruit &amp; 20% nuts, chocolate base</w:t>
            </w:r>
          </w:p>
        </w:tc>
      </w:tr>
      <w:tr w:rsidR="00285EF0" w:rsidRPr="0039389C" w14:paraId="58511D8C" w14:textId="77777777" w:rsidTr="00285EF0">
        <w:trPr>
          <w:trHeight w:val="290"/>
        </w:trPr>
        <w:tc>
          <w:tcPr>
            <w:tcW w:w="9298" w:type="dxa"/>
            <w:shd w:val="clear" w:color="auto" w:fill="auto"/>
            <w:noWrap/>
            <w:vAlign w:val="bottom"/>
          </w:tcPr>
          <w:p w14:paraId="26BDBEE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30% dried fruit &amp; 30% nuts</w:t>
            </w:r>
          </w:p>
        </w:tc>
      </w:tr>
      <w:tr w:rsidR="00285EF0" w:rsidRPr="0039389C" w14:paraId="5C3B6895" w14:textId="77777777" w:rsidTr="00285EF0">
        <w:trPr>
          <w:trHeight w:val="290"/>
        </w:trPr>
        <w:tc>
          <w:tcPr>
            <w:tcW w:w="9298" w:type="dxa"/>
            <w:shd w:val="clear" w:color="auto" w:fill="auto"/>
            <w:noWrap/>
            <w:vAlign w:val="bottom"/>
          </w:tcPr>
          <w:p w14:paraId="3AE7733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gluten free, with 20% dried fruit &amp; 20% seeds</w:t>
            </w:r>
          </w:p>
        </w:tc>
      </w:tr>
      <w:tr w:rsidR="00285EF0" w:rsidRPr="0039389C" w14:paraId="0EFCD24B" w14:textId="77777777" w:rsidTr="00285EF0">
        <w:trPr>
          <w:trHeight w:val="290"/>
        </w:trPr>
        <w:tc>
          <w:tcPr>
            <w:tcW w:w="9298" w:type="dxa"/>
            <w:shd w:val="clear" w:color="auto" w:fill="auto"/>
            <w:noWrap/>
            <w:vAlign w:val="bottom"/>
          </w:tcPr>
          <w:p w14:paraId="6E27FC0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made from breakfast cereal with dried fruit</w:t>
            </w:r>
          </w:p>
        </w:tc>
      </w:tr>
      <w:tr w:rsidR="00285EF0" w:rsidRPr="0039389C" w14:paraId="1BAF09BE" w14:textId="77777777" w:rsidTr="00285EF0">
        <w:trPr>
          <w:trHeight w:val="290"/>
        </w:trPr>
        <w:tc>
          <w:tcPr>
            <w:tcW w:w="9298" w:type="dxa"/>
            <w:shd w:val="clear" w:color="auto" w:fill="auto"/>
            <w:noWrap/>
            <w:vAlign w:val="bottom"/>
          </w:tcPr>
          <w:p w14:paraId="141C45D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not further defined</w:t>
            </w:r>
          </w:p>
        </w:tc>
      </w:tr>
      <w:tr w:rsidR="00285EF0" w:rsidRPr="0039389C" w14:paraId="43344739" w14:textId="77777777" w:rsidTr="00285EF0">
        <w:trPr>
          <w:trHeight w:val="290"/>
        </w:trPr>
        <w:tc>
          <w:tcPr>
            <w:tcW w:w="9298" w:type="dxa"/>
            <w:shd w:val="clear" w:color="auto" w:fill="auto"/>
            <w:noWrap/>
            <w:vAlign w:val="bottom"/>
          </w:tcPr>
          <w:p w14:paraId="251574F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 chocolate-coated</w:t>
            </w:r>
          </w:p>
        </w:tc>
      </w:tr>
      <w:tr w:rsidR="00285EF0" w:rsidRPr="0039389C" w14:paraId="747ADC6D" w14:textId="77777777" w:rsidTr="00285EF0">
        <w:trPr>
          <w:trHeight w:val="290"/>
        </w:trPr>
        <w:tc>
          <w:tcPr>
            <w:tcW w:w="9298" w:type="dxa"/>
            <w:shd w:val="clear" w:color="auto" w:fill="auto"/>
            <w:noWrap/>
            <w:vAlign w:val="bottom"/>
          </w:tcPr>
          <w:p w14:paraId="479D3158"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 yoghurt-coated</w:t>
            </w:r>
          </w:p>
        </w:tc>
      </w:tr>
      <w:tr w:rsidR="00285EF0" w:rsidRPr="0039389C" w14:paraId="18F00E47" w14:textId="77777777" w:rsidTr="00285EF0">
        <w:trPr>
          <w:trHeight w:val="290"/>
        </w:trPr>
        <w:tc>
          <w:tcPr>
            <w:tcW w:w="9298" w:type="dxa"/>
            <w:shd w:val="clear" w:color="auto" w:fill="auto"/>
            <w:noWrap/>
            <w:vAlign w:val="bottom"/>
          </w:tcPr>
          <w:p w14:paraId="28672B2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 yoghurt-coated, added vitamins B1, B2, B3, folate &amp; Fe</w:t>
            </w:r>
          </w:p>
        </w:tc>
      </w:tr>
      <w:tr w:rsidR="00285EF0" w:rsidRPr="0039389C" w14:paraId="2DD07943" w14:textId="77777777" w:rsidTr="00285EF0">
        <w:trPr>
          <w:trHeight w:val="290"/>
        </w:trPr>
        <w:tc>
          <w:tcPr>
            <w:tcW w:w="9298" w:type="dxa"/>
            <w:shd w:val="clear" w:color="auto" w:fill="auto"/>
            <w:noWrap/>
            <w:vAlign w:val="bottom"/>
          </w:tcPr>
          <w:p w14:paraId="4C6084B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15% dried fruit &amp; 15% nuts, yoghurt-coated</w:t>
            </w:r>
          </w:p>
        </w:tc>
      </w:tr>
      <w:tr w:rsidR="00285EF0" w:rsidRPr="0039389C" w14:paraId="7D9A5569" w14:textId="77777777" w:rsidTr="00285EF0">
        <w:trPr>
          <w:trHeight w:val="290"/>
        </w:trPr>
        <w:tc>
          <w:tcPr>
            <w:tcW w:w="9298" w:type="dxa"/>
            <w:shd w:val="clear" w:color="auto" w:fill="auto"/>
            <w:noWrap/>
            <w:vAlign w:val="bottom"/>
          </w:tcPr>
          <w:p w14:paraId="31C8C0D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30% dried fruit, yoghurt-coated, added vitamins B1, B2, B3, folate &amp; Fe</w:t>
            </w:r>
          </w:p>
        </w:tc>
      </w:tr>
      <w:tr w:rsidR="00285EF0" w:rsidRPr="0039389C" w14:paraId="31CD979A" w14:textId="77777777" w:rsidTr="00285EF0">
        <w:trPr>
          <w:trHeight w:val="290"/>
        </w:trPr>
        <w:tc>
          <w:tcPr>
            <w:tcW w:w="9298" w:type="dxa"/>
            <w:shd w:val="clear" w:color="auto" w:fill="auto"/>
            <w:noWrap/>
            <w:vAlign w:val="bottom"/>
          </w:tcPr>
          <w:p w14:paraId="24CB998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Lolly, fruit flavoured, chewy</w:t>
            </w:r>
          </w:p>
        </w:tc>
      </w:tr>
      <w:tr w:rsidR="00285EF0" w:rsidRPr="0039389C" w14:paraId="553BDBFF" w14:textId="77777777" w:rsidTr="00285EF0">
        <w:trPr>
          <w:trHeight w:val="290"/>
        </w:trPr>
        <w:tc>
          <w:tcPr>
            <w:tcW w:w="9298" w:type="dxa"/>
            <w:shd w:val="clear" w:color="auto" w:fill="auto"/>
            <w:noWrap/>
            <w:vAlign w:val="bottom"/>
          </w:tcPr>
          <w:p w14:paraId="373DB45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Wine cooler, wine &amp; fruit juice blend, all flavours</w:t>
            </w:r>
          </w:p>
        </w:tc>
      </w:tr>
      <w:tr w:rsidR="00285EF0" w:rsidRPr="0039389C" w14:paraId="1488A82C" w14:textId="77777777" w:rsidTr="00285EF0">
        <w:trPr>
          <w:trHeight w:val="290"/>
        </w:trPr>
        <w:tc>
          <w:tcPr>
            <w:tcW w:w="9298" w:type="dxa"/>
            <w:shd w:val="clear" w:color="auto" w:fill="auto"/>
            <w:noWrap/>
            <w:vAlign w:val="bottom"/>
          </w:tcPr>
          <w:p w14:paraId="7473AB8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Protein drink, whey based, protein &gt;70%, fortified, prepared with juice</w:t>
            </w:r>
          </w:p>
        </w:tc>
      </w:tr>
      <w:tr w:rsidR="00285EF0" w:rsidRPr="0039389C" w14:paraId="2D95F980" w14:textId="77777777" w:rsidTr="00285EF0">
        <w:trPr>
          <w:trHeight w:val="290"/>
        </w:trPr>
        <w:tc>
          <w:tcPr>
            <w:tcW w:w="9298" w:type="dxa"/>
            <w:shd w:val="clear" w:color="auto" w:fill="FFFFFF" w:themeFill="background1"/>
            <w:noWrap/>
            <w:vAlign w:val="bottom"/>
          </w:tcPr>
          <w:p w14:paraId="59A86E22" w14:textId="77777777" w:rsidR="00285EF0" w:rsidRPr="0039389C" w:rsidRDefault="00285EF0" w:rsidP="00285EF0">
            <w:pPr>
              <w:ind w:left="313" w:hanging="284"/>
              <w:rPr>
                <w:rFonts w:cs="Arial"/>
                <w:b/>
                <w:bCs/>
                <w:color w:val="000000"/>
                <w:sz w:val="20"/>
                <w:szCs w:val="20"/>
                <w:lang w:eastAsia="en-GB"/>
              </w:rPr>
            </w:pPr>
          </w:p>
        </w:tc>
      </w:tr>
      <w:tr w:rsidR="00285EF0" w:rsidRPr="0039389C" w14:paraId="000C9518" w14:textId="77777777" w:rsidTr="00285EF0">
        <w:trPr>
          <w:trHeight w:val="290"/>
        </w:trPr>
        <w:tc>
          <w:tcPr>
            <w:tcW w:w="9298" w:type="dxa"/>
            <w:shd w:val="clear" w:color="auto" w:fill="C6D9F1" w:themeFill="text2" w:themeFillTint="33"/>
            <w:noWrap/>
            <w:vAlign w:val="bottom"/>
          </w:tcPr>
          <w:p w14:paraId="6D917399" w14:textId="77777777" w:rsidR="00285EF0" w:rsidRPr="0039389C" w:rsidRDefault="00285EF0" w:rsidP="00285EF0">
            <w:pPr>
              <w:ind w:left="313" w:hanging="284"/>
              <w:rPr>
                <w:rFonts w:cs="Arial"/>
                <w:color w:val="000000"/>
                <w:sz w:val="20"/>
                <w:szCs w:val="20"/>
                <w:lang w:eastAsia="en-GB"/>
              </w:rPr>
            </w:pPr>
            <w:r w:rsidRPr="0039389C">
              <w:rPr>
                <w:rFonts w:cs="Arial"/>
                <w:b/>
                <w:bCs/>
                <w:color w:val="000000"/>
                <w:sz w:val="20"/>
                <w:szCs w:val="20"/>
                <w:lang w:eastAsia="en-GB"/>
              </w:rPr>
              <w:t>Strawberry</w:t>
            </w:r>
          </w:p>
        </w:tc>
      </w:tr>
      <w:tr w:rsidR="00285EF0" w:rsidRPr="0039389C" w14:paraId="59E4EBF1" w14:textId="77777777" w:rsidTr="00285EF0">
        <w:trPr>
          <w:trHeight w:val="290"/>
        </w:trPr>
        <w:tc>
          <w:tcPr>
            <w:tcW w:w="9298" w:type="dxa"/>
            <w:shd w:val="clear" w:color="auto" w:fill="auto"/>
            <w:noWrap/>
            <w:vAlign w:val="bottom"/>
          </w:tcPr>
          <w:p w14:paraId="7DC06B65" w14:textId="77777777" w:rsidR="00285EF0" w:rsidRPr="0039389C" w:rsidRDefault="00285EF0" w:rsidP="00285EF0">
            <w:pPr>
              <w:ind w:left="313" w:hanging="284"/>
              <w:rPr>
                <w:rFonts w:cs="Arial"/>
                <w:b/>
                <w:bCs/>
                <w:color w:val="000000"/>
                <w:sz w:val="20"/>
                <w:szCs w:val="20"/>
                <w:lang w:eastAsia="en-GB"/>
              </w:rPr>
            </w:pPr>
            <w:r w:rsidRPr="0039389C">
              <w:rPr>
                <w:rFonts w:cs="Arial"/>
                <w:color w:val="000000"/>
                <w:sz w:val="20"/>
                <w:szCs w:val="20"/>
                <w:lang w:eastAsia="en-GB"/>
              </w:rPr>
              <w:t>Iced tea, homemade, unsweetened</w:t>
            </w:r>
          </w:p>
        </w:tc>
      </w:tr>
      <w:tr w:rsidR="00285EF0" w:rsidRPr="0039389C" w14:paraId="2B5DD0EA" w14:textId="77777777" w:rsidTr="00285EF0">
        <w:trPr>
          <w:trHeight w:val="290"/>
        </w:trPr>
        <w:tc>
          <w:tcPr>
            <w:tcW w:w="9298" w:type="dxa"/>
            <w:shd w:val="clear" w:color="auto" w:fill="auto"/>
            <w:noWrap/>
            <w:vAlign w:val="bottom"/>
          </w:tcPr>
          <w:p w14:paraId="3E3C538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Juice, apple &amp; forest fruits, commercial</w:t>
            </w:r>
          </w:p>
        </w:tc>
      </w:tr>
      <w:tr w:rsidR="00285EF0" w:rsidRPr="0039389C" w14:paraId="17F123DA" w14:textId="77777777" w:rsidTr="00285EF0">
        <w:trPr>
          <w:trHeight w:val="290"/>
        </w:trPr>
        <w:tc>
          <w:tcPr>
            <w:tcW w:w="9298" w:type="dxa"/>
            <w:shd w:val="clear" w:color="auto" w:fill="auto"/>
            <w:noWrap/>
            <w:vAlign w:val="bottom"/>
          </w:tcPr>
          <w:p w14:paraId="49247D8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Juice, fruit, commercial, not further defined</w:t>
            </w:r>
          </w:p>
        </w:tc>
      </w:tr>
      <w:tr w:rsidR="00285EF0" w:rsidRPr="0039389C" w14:paraId="27737124" w14:textId="77777777" w:rsidTr="00285EF0">
        <w:trPr>
          <w:trHeight w:val="290"/>
        </w:trPr>
        <w:tc>
          <w:tcPr>
            <w:tcW w:w="9298" w:type="dxa"/>
            <w:shd w:val="clear" w:color="auto" w:fill="auto"/>
            <w:noWrap/>
            <w:vAlign w:val="bottom"/>
          </w:tcPr>
          <w:p w14:paraId="18F91A5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Juice, commercial, not further defined</w:t>
            </w:r>
          </w:p>
        </w:tc>
      </w:tr>
      <w:tr w:rsidR="00285EF0" w:rsidRPr="0039389C" w14:paraId="25387488" w14:textId="77777777" w:rsidTr="00285EF0">
        <w:trPr>
          <w:trHeight w:val="290"/>
        </w:trPr>
        <w:tc>
          <w:tcPr>
            <w:tcW w:w="9298" w:type="dxa"/>
            <w:shd w:val="clear" w:color="auto" w:fill="auto"/>
            <w:noWrap/>
            <w:vAlign w:val="bottom"/>
          </w:tcPr>
          <w:p w14:paraId="12C8322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fruit juice based, added berries</w:t>
            </w:r>
          </w:p>
        </w:tc>
      </w:tr>
      <w:tr w:rsidR="00285EF0" w:rsidRPr="0039389C" w14:paraId="578B8970" w14:textId="77777777" w:rsidTr="00285EF0">
        <w:trPr>
          <w:trHeight w:val="290"/>
        </w:trPr>
        <w:tc>
          <w:tcPr>
            <w:tcW w:w="9298" w:type="dxa"/>
            <w:shd w:val="clear" w:color="auto" w:fill="auto"/>
            <w:noWrap/>
            <w:vAlign w:val="bottom"/>
          </w:tcPr>
          <w:p w14:paraId="01DB5D0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fruit juice based, added mixed fruit</w:t>
            </w:r>
          </w:p>
        </w:tc>
      </w:tr>
      <w:tr w:rsidR="00285EF0" w:rsidRPr="0039389C" w14:paraId="53DB00C0" w14:textId="77777777" w:rsidTr="00285EF0">
        <w:trPr>
          <w:trHeight w:val="290"/>
        </w:trPr>
        <w:tc>
          <w:tcPr>
            <w:tcW w:w="9298" w:type="dxa"/>
            <w:shd w:val="clear" w:color="auto" w:fill="auto"/>
            <w:noWrap/>
            <w:vAlign w:val="bottom"/>
          </w:tcPr>
          <w:p w14:paraId="1F246FA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fruit juice based, added mixed fruit &amp; nuts or seeds</w:t>
            </w:r>
          </w:p>
        </w:tc>
      </w:tr>
      <w:tr w:rsidR="00285EF0" w:rsidRPr="0039389C" w14:paraId="2DAC8B92" w14:textId="77777777" w:rsidTr="00285EF0">
        <w:trPr>
          <w:trHeight w:val="290"/>
        </w:trPr>
        <w:tc>
          <w:tcPr>
            <w:tcW w:w="9298" w:type="dxa"/>
            <w:shd w:val="clear" w:color="auto" w:fill="auto"/>
            <w:noWrap/>
            <w:vAlign w:val="bottom"/>
          </w:tcPr>
          <w:p w14:paraId="13B8A55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Juice, apple &amp; berries, home squeezed</w:t>
            </w:r>
          </w:p>
        </w:tc>
      </w:tr>
      <w:tr w:rsidR="00285EF0" w:rsidRPr="0039389C" w14:paraId="10DF712A" w14:textId="77777777" w:rsidTr="00285EF0">
        <w:trPr>
          <w:trHeight w:val="290"/>
        </w:trPr>
        <w:tc>
          <w:tcPr>
            <w:tcW w:w="9298" w:type="dxa"/>
            <w:shd w:val="clear" w:color="auto" w:fill="auto"/>
            <w:noWrap/>
            <w:vAlign w:val="bottom"/>
          </w:tcPr>
          <w:p w14:paraId="4F732F0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Juice, fruit &amp; vegetable blend, apple, berries, beetroot &amp; carrot, commercial</w:t>
            </w:r>
          </w:p>
        </w:tc>
      </w:tr>
      <w:tr w:rsidR="00285EF0" w:rsidRPr="0039389C" w14:paraId="4ADEB798" w14:textId="77777777" w:rsidTr="00285EF0">
        <w:trPr>
          <w:trHeight w:val="290"/>
        </w:trPr>
        <w:tc>
          <w:tcPr>
            <w:tcW w:w="9298" w:type="dxa"/>
            <w:shd w:val="clear" w:color="auto" w:fill="auto"/>
            <w:noWrap/>
            <w:vAlign w:val="bottom"/>
          </w:tcPr>
          <w:p w14:paraId="6705216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Mineral water, non-citrus flavoured, regular</w:t>
            </w:r>
          </w:p>
        </w:tc>
      </w:tr>
      <w:tr w:rsidR="00285EF0" w:rsidRPr="0039389C" w14:paraId="7F8BE0DE" w14:textId="77777777" w:rsidTr="00285EF0">
        <w:trPr>
          <w:trHeight w:val="290"/>
        </w:trPr>
        <w:tc>
          <w:tcPr>
            <w:tcW w:w="9298" w:type="dxa"/>
            <w:shd w:val="clear" w:color="auto" w:fill="auto"/>
            <w:noWrap/>
            <w:vAlign w:val="bottom"/>
          </w:tcPr>
          <w:p w14:paraId="5D3619E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Bun, sweet, with fruit (other than sultanas), uniced</w:t>
            </w:r>
          </w:p>
        </w:tc>
      </w:tr>
      <w:tr w:rsidR="00285EF0" w:rsidRPr="0039389C" w14:paraId="62DF6A03" w14:textId="77777777" w:rsidTr="00285EF0">
        <w:trPr>
          <w:trHeight w:val="290"/>
        </w:trPr>
        <w:tc>
          <w:tcPr>
            <w:tcW w:w="9298" w:type="dxa"/>
            <w:shd w:val="clear" w:color="auto" w:fill="auto"/>
            <w:noWrap/>
            <w:vAlign w:val="bottom"/>
          </w:tcPr>
          <w:p w14:paraId="343EA8D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Bun, sweet, with fruit (other than sultanas), iced</w:t>
            </w:r>
          </w:p>
        </w:tc>
      </w:tr>
      <w:tr w:rsidR="00285EF0" w:rsidRPr="0039389C" w14:paraId="12AB5E9C" w14:textId="77777777" w:rsidTr="00285EF0">
        <w:trPr>
          <w:trHeight w:val="290"/>
        </w:trPr>
        <w:tc>
          <w:tcPr>
            <w:tcW w:w="9298" w:type="dxa"/>
            <w:shd w:val="clear" w:color="auto" w:fill="auto"/>
            <w:noWrap/>
            <w:vAlign w:val="bottom"/>
          </w:tcPr>
          <w:p w14:paraId="2FF2DA3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Bun, sweet, with fruit (other than sultanas) &amp; nuts, iced</w:t>
            </w:r>
          </w:p>
        </w:tc>
      </w:tr>
      <w:tr w:rsidR="00285EF0" w:rsidRPr="0039389C" w14:paraId="1FC284DE" w14:textId="77777777" w:rsidTr="00285EF0">
        <w:trPr>
          <w:trHeight w:val="290"/>
        </w:trPr>
        <w:tc>
          <w:tcPr>
            <w:tcW w:w="9298" w:type="dxa"/>
            <w:shd w:val="clear" w:color="auto" w:fill="auto"/>
            <w:noWrap/>
            <w:vAlign w:val="bottom"/>
          </w:tcPr>
          <w:p w14:paraId="5359313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Bun, sweet, with mock cream &amp; jam, uniced</w:t>
            </w:r>
          </w:p>
        </w:tc>
      </w:tr>
      <w:tr w:rsidR="00285EF0" w:rsidRPr="0039389C" w14:paraId="5931C636" w14:textId="77777777" w:rsidTr="00285EF0">
        <w:trPr>
          <w:trHeight w:val="290"/>
        </w:trPr>
        <w:tc>
          <w:tcPr>
            <w:tcW w:w="9298" w:type="dxa"/>
            <w:shd w:val="clear" w:color="auto" w:fill="auto"/>
            <w:noWrap/>
            <w:vAlign w:val="bottom"/>
          </w:tcPr>
          <w:p w14:paraId="047009B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Bun, sweet, not further defined</w:t>
            </w:r>
          </w:p>
        </w:tc>
      </w:tr>
      <w:tr w:rsidR="00285EF0" w:rsidRPr="0039389C" w14:paraId="11F59852" w14:textId="77777777" w:rsidTr="00285EF0">
        <w:trPr>
          <w:trHeight w:val="290"/>
        </w:trPr>
        <w:tc>
          <w:tcPr>
            <w:tcW w:w="9298" w:type="dxa"/>
            <w:shd w:val="clear" w:color="auto" w:fill="auto"/>
            <w:noWrap/>
            <w:vAlign w:val="bottom"/>
          </w:tcPr>
          <w:p w14:paraId="658DF4C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whole wheat, small biscuit, with berries, added vitamins B1, B2, B3 &amp; folate, Ca &amp; Fe</w:t>
            </w:r>
          </w:p>
        </w:tc>
      </w:tr>
      <w:tr w:rsidR="00285EF0" w:rsidRPr="0039389C" w14:paraId="7DEA4AAC" w14:textId="77777777" w:rsidTr="00285EF0">
        <w:trPr>
          <w:trHeight w:val="290"/>
        </w:trPr>
        <w:tc>
          <w:tcPr>
            <w:tcW w:w="9298" w:type="dxa"/>
            <w:shd w:val="clear" w:color="auto" w:fill="auto"/>
            <w:noWrap/>
            <w:vAlign w:val="bottom"/>
          </w:tcPr>
          <w:p w14:paraId="15E1439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whole wheat, small biscuit, with fruit paste, added vitamins B1, B2, B3 &amp; C &amp; Fe</w:t>
            </w:r>
          </w:p>
        </w:tc>
      </w:tr>
      <w:tr w:rsidR="00285EF0" w:rsidRPr="0039389C" w14:paraId="422C3CA8" w14:textId="77777777" w:rsidTr="00285EF0">
        <w:trPr>
          <w:trHeight w:val="290"/>
        </w:trPr>
        <w:tc>
          <w:tcPr>
            <w:tcW w:w="9298" w:type="dxa"/>
            <w:shd w:val="clear" w:color="auto" w:fill="auto"/>
            <w:noWrap/>
            <w:vAlign w:val="bottom"/>
          </w:tcPr>
          <w:p w14:paraId="203F946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(rice &amp; wheat), flakes, berries, added vitamins B1, B2, B3, B6 &amp; folate, Ca, Fe &amp; Zn</w:t>
            </w:r>
          </w:p>
        </w:tc>
      </w:tr>
      <w:tr w:rsidR="00285EF0" w:rsidRPr="0039389C" w14:paraId="7E7C2016" w14:textId="77777777" w:rsidTr="00285EF0">
        <w:trPr>
          <w:trHeight w:val="290"/>
        </w:trPr>
        <w:tc>
          <w:tcPr>
            <w:tcW w:w="9298" w:type="dxa"/>
            <w:shd w:val="clear" w:color="auto" w:fill="auto"/>
            <w:noWrap/>
            <w:vAlign w:val="bottom"/>
          </w:tcPr>
          <w:p w14:paraId="361FD6B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&amp; corn), flakes, berries &amp; sultanas, added vitamins A, B1, B2, B3, B6, E &amp; folate, Ca, Fe &amp; Zn</w:t>
            </w:r>
          </w:p>
        </w:tc>
      </w:tr>
      <w:tr w:rsidR="00285EF0" w:rsidRPr="0039389C" w14:paraId="2B8B8C4C" w14:textId="77777777" w:rsidTr="00285EF0">
        <w:trPr>
          <w:trHeight w:val="290"/>
        </w:trPr>
        <w:tc>
          <w:tcPr>
            <w:tcW w:w="9298" w:type="dxa"/>
            <w:shd w:val="clear" w:color="auto" w:fill="auto"/>
            <w:noWrap/>
            <w:vAlign w:val="bottom"/>
          </w:tcPr>
          <w:p w14:paraId="7AE7D96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&amp; oat), flakes, berries, added vitamins B1, B2, B3 &amp; folate &amp; Fe</w:t>
            </w:r>
          </w:p>
        </w:tc>
      </w:tr>
      <w:tr w:rsidR="00285EF0" w:rsidRPr="0039389C" w14:paraId="36A2258E" w14:textId="77777777" w:rsidTr="00285EF0">
        <w:trPr>
          <w:trHeight w:val="290"/>
        </w:trPr>
        <w:tc>
          <w:tcPr>
            <w:tcW w:w="9298" w:type="dxa"/>
            <w:shd w:val="clear" w:color="auto" w:fill="auto"/>
            <w:noWrap/>
            <w:vAlign w:val="bottom"/>
          </w:tcPr>
          <w:p w14:paraId="239217A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oat &amp; corn), flakes &amp; clusters, pomegranate &amp; berries, added vitamins A, B1, B2, B3, B6, E &amp; folate, Ca, Fe &amp; Zn</w:t>
            </w:r>
          </w:p>
        </w:tc>
      </w:tr>
      <w:tr w:rsidR="00285EF0" w:rsidRPr="0039389C" w14:paraId="3A8B0DFB" w14:textId="77777777" w:rsidTr="00285EF0">
        <w:trPr>
          <w:trHeight w:val="290"/>
        </w:trPr>
        <w:tc>
          <w:tcPr>
            <w:tcW w:w="9298" w:type="dxa"/>
            <w:shd w:val="clear" w:color="auto" w:fill="auto"/>
            <w:noWrap/>
            <w:vAlign w:val="bottom"/>
          </w:tcPr>
          <w:p w14:paraId="058781C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rice &amp; oat), flakes, dried fruit, added vitamins B1, B2, B3 &amp; E &amp; Fe</w:t>
            </w:r>
          </w:p>
        </w:tc>
      </w:tr>
      <w:tr w:rsidR="00285EF0" w:rsidRPr="0039389C" w14:paraId="4BE1B2B7" w14:textId="77777777" w:rsidTr="00285EF0">
        <w:trPr>
          <w:trHeight w:val="290"/>
        </w:trPr>
        <w:tc>
          <w:tcPr>
            <w:tcW w:w="9298" w:type="dxa"/>
            <w:shd w:val="clear" w:color="auto" w:fill="auto"/>
            <w:noWrap/>
            <w:vAlign w:val="bottom"/>
          </w:tcPr>
          <w:p w14:paraId="03A429B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corn, rice &amp; oat), clusters, sultana &amp; berries, added vitamins B1, B2, B3, E &amp; folate, Ca &amp; Fe</w:t>
            </w:r>
          </w:p>
        </w:tc>
      </w:tr>
      <w:tr w:rsidR="00285EF0" w:rsidRPr="0039389C" w14:paraId="75CE8AAF" w14:textId="77777777" w:rsidTr="00285EF0">
        <w:trPr>
          <w:trHeight w:val="290"/>
        </w:trPr>
        <w:tc>
          <w:tcPr>
            <w:tcW w:w="9298" w:type="dxa"/>
            <w:shd w:val="clear" w:color="auto" w:fill="auto"/>
            <w:noWrap/>
            <w:vAlign w:val="bottom"/>
          </w:tcPr>
          <w:p w14:paraId="2C91F0C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(wheat, corn, rice &amp; oat), flakes, berries, added vitamins B1, B2, B3, E &amp; folate, Ca &amp; Fe</w:t>
            </w:r>
          </w:p>
        </w:tc>
      </w:tr>
      <w:tr w:rsidR="00285EF0" w:rsidRPr="0039389C" w14:paraId="3826DE7E" w14:textId="77777777" w:rsidTr="00285EF0">
        <w:trPr>
          <w:trHeight w:val="290"/>
        </w:trPr>
        <w:tc>
          <w:tcPr>
            <w:tcW w:w="9298" w:type="dxa"/>
            <w:shd w:val="clear" w:color="auto" w:fill="auto"/>
            <w:noWrap/>
            <w:vAlign w:val="bottom"/>
          </w:tcPr>
          <w:p w14:paraId="0FAB429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mixed grain, commercial, not further defined</w:t>
            </w:r>
          </w:p>
        </w:tc>
      </w:tr>
      <w:tr w:rsidR="00285EF0" w:rsidRPr="0039389C" w14:paraId="175BA440" w14:textId="77777777" w:rsidTr="00285EF0">
        <w:trPr>
          <w:trHeight w:val="290"/>
        </w:trPr>
        <w:tc>
          <w:tcPr>
            <w:tcW w:w="9298" w:type="dxa"/>
            <w:shd w:val="clear" w:color="auto" w:fill="auto"/>
            <w:noWrap/>
            <w:vAlign w:val="bottom"/>
          </w:tcPr>
          <w:p w14:paraId="46326BB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Breakfast cereal, not further defined</w:t>
            </w:r>
          </w:p>
        </w:tc>
      </w:tr>
      <w:tr w:rsidR="00285EF0" w:rsidRPr="0039389C" w14:paraId="1F11170B" w14:textId="77777777" w:rsidTr="00285EF0">
        <w:trPr>
          <w:trHeight w:val="290"/>
        </w:trPr>
        <w:tc>
          <w:tcPr>
            <w:tcW w:w="9298" w:type="dxa"/>
            <w:shd w:val="clear" w:color="auto" w:fill="auto"/>
            <w:noWrap/>
            <w:vAlign w:val="bottom"/>
          </w:tcPr>
          <w:p w14:paraId="31B8F16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not further defined</w:t>
            </w:r>
          </w:p>
        </w:tc>
      </w:tr>
      <w:tr w:rsidR="00285EF0" w:rsidRPr="0039389C" w14:paraId="3D52E7B9" w14:textId="77777777" w:rsidTr="00285EF0">
        <w:trPr>
          <w:trHeight w:val="290"/>
        </w:trPr>
        <w:tc>
          <w:tcPr>
            <w:tcW w:w="9298" w:type="dxa"/>
            <w:shd w:val="clear" w:color="auto" w:fill="auto"/>
            <w:noWrap/>
            <w:vAlign w:val="bottom"/>
          </w:tcPr>
          <w:p w14:paraId="6DADBDB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jam-filled, homemade from basic ingredients, fat not further defined</w:t>
            </w:r>
          </w:p>
        </w:tc>
      </w:tr>
      <w:tr w:rsidR="00285EF0" w:rsidRPr="0039389C" w14:paraId="30F8B2C7" w14:textId="77777777" w:rsidTr="00285EF0">
        <w:trPr>
          <w:trHeight w:val="290"/>
        </w:trPr>
        <w:tc>
          <w:tcPr>
            <w:tcW w:w="9298" w:type="dxa"/>
            <w:shd w:val="clear" w:color="auto" w:fill="auto"/>
            <w:noWrap/>
            <w:vAlign w:val="bottom"/>
          </w:tcPr>
          <w:p w14:paraId="3090758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sandwich, cream &amp; jam filling, commercial</w:t>
            </w:r>
          </w:p>
        </w:tc>
      </w:tr>
      <w:tr w:rsidR="00285EF0" w:rsidRPr="0039389C" w14:paraId="27615AB9" w14:textId="77777777" w:rsidTr="00285EF0">
        <w:trPr>
          <w:trHeight w:val="290"/>
        </w:trPr>
        <w:tc>
          <w:tcPr>
            <w:tcW w:w="9298" w:type="dxa"/>
            <w:shd w:val="clear" w:color="auto" w:fill="auto"/>
            <w:noWrap/>
            <w:vAlign w:val="bottom"/>
          </w:tcPr>
          <w:p w14:paraId="4FEF38C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cream assorted, commercial, not further defined</w:t>
            </w:r>
          </w:p>
        </w:tc>
      </w:tr>
      <w:tr w:rsidR="00285EF0" w:rsidRPr="0039389C" w14:paraId="6A4FAAC7" w14:textId="77777777" w:rsidTr="00285EF0">
        <w:trPr>
          <w:trHeight w:val="290"/>
        </w:trPr>
        <w:tc>
          <w:tcPr>
            <w:tcW w:w="9298" w:type="dxa"/>
            <w:shd w:val="clear" w:color="auto" w:fill="auto"/>
            <w:noWrap/>
            <w:vAlign w:val="bottom"/>
          </w:tcPr>
          <w:p w14:paraId="5CE2226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marshmallow filling, chocolate-coated, commercial</w:t>
            </w:r>
          </w:p>
        </w:tc>
      </w:tr>
      <w:tr w:rsidR="00285EF0" w:rsidRPr="0039389C" w14:paraId="71B53727" w14:textId="77777777" w:rsidTr="00285EF0">
        <w:trPr>
          <w:trHeight w:val="290"/>
        </w:trPr>
        <w:tc>
          <w:tcPr>
            <w:tcW w:w="9298" w:type="dxa"/>
            <w:shd w:val="clear" w:color="auto" w:fill="auto"/>
            <w:noWrap/>
            <w:vAlign w:val="bottom"/>
          </w:tcPr>
          <w:p w14:paraId="0D5785D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Biscuit, sweet, chocolate, commercial, not further defined</w:t>
            </w:r>
          </w:p>
        </w:tc>
      </w:tr>
      <w:tr w:rsidR="00285EF0" w:rsidRPr="0039389C" w14:paraId="5725F26A" w14:textId="77777777" w:rsidTr="00285EF0">
        <w:trPr>
          <w:trHeight w:val="290"/>
        </w:trPr>
        <w:tc>
          <w:tcPr>
            <w:tcW w:w="9298" w:type="dxa"/>
            <w:shd w:val="clear" w:color="auto" w:fill="auto"/>
            <w:noWrap/>
            <w:vAlign w:val="bottom"/>
          </w:tcPr>
          <w:p w14:paraId="5011D50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sponge, plain, commercial, uniced, filled with jam</w:t>
            </w:r>
          </w:p>
        </w:tc>
      </w:tr>
      <w:tr w:rsidR="00285EF0" w:rsidRPr="0039389C" w14:paraId="35CAE2CF" w14:textId="77777777" w:rsidTr="00285EF0">
        <w:trPr>
          <w:trHeight w:val="290"/>
        </w:trPr>
        <w:tc>
          <w:tcPr>
            <w:tcW w:w="9298" w:type="dxa"/>
            <w:shd w:val="clear" w:color="auto" w:fill="auto"/>
            <w:noWrap/>
            <w:vAlign w:val="bottom"/>
          </w:tcPr>
          <w:p w14:paraId="65D19EE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sponge, plain, commercial, uniced, filled with jam &amp; cream</w:t>
            </w:r>
          </w:p>
        </w:tc>
      </w:tr>
      <w:tr w:rsidR="00285EF0" w:rsidRPr="0039389C" w14:paraId="1E12FF44" w14:textId="77777777" w:rsidTr="00285EF0">
        <w:trPr>
          <w:trHeight w:val="290"/>
        </w:trPr>
        <w:tc>
          <w:tcPr>
            <w:tcW w:w="9298" w:type="dxa"/>
            <w:shd w:val="clear" w:color="auto" w:fill="auto"/>
            <w:noWrap/>
            <w:vAlign w:val="bottom"/>
          </w:tcPr>
          <w:p w14:paraId="436BEA9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sponge, plain, homemade from basic ingredients, uniced, filled with jam &amp;/or cream</w:t>
            </w:r>
          </w:p>
        </w:tc>
      </w:tr>
      <w:tr w:rsidR="00285EF0" w:rsidRPr="0039389C" w14:paraId="408E71A9" w14:textId="77777777" w:rsidTr="00285EF0">
        <w:trPr>
          <w:trHeight w:val="290"/>
        </w:trPr>
        <w:tc>
          <w:tcPr>
            <w:tcW w:w="9298" w:type="dxa"/>
            <w:shd w:val="clear" w:color="auto" w:fill="auto"/>
            <w:noWrap/>
            <w:vAlign w:val="bottom"/>
          </w:tcPr>
          <w:p w14:paraId="59D7A2D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sponge, plain, uniced, filled with fruit &amp; cream</w:t>
            </w:r>
          </w:p>
        </w:tc>
      </w:tr>
      <w:tr w:rsidR="00285EF0" w:rsidRPr="0039389C" w14:paraId="4CE86A52" w14:textId="77777777" w:rsidTr="00285EF0">
        <w:trPr>
          <w:trHeight w:val="290"/>
        </w:trPr>
        <w:tc>
          <w:tcPr>
            <w:tcW w:w="9298" w:type="dxa"/>
            <w:shd w:val="clear" w:color="auto" w:fill="auto"/>
            <w:noWrap/>
            <w:vAlign w:val="bottom"/>
          </w:tcPr>
          <w:p w14:paraId="33AB47A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sponge, chocolate flavoured, commercial, uniced, filled with jam &amp; cream</w:t>
            </w:r>
          </w:p>
        </w:tc>
      </w:tr>
      <w:tr w:rsidR="00285EF0" w:rsidRPr="0039389C" w14:paraId="3BD45311" w14:textId="77777777" w:rsidTr="00285EF0">
        <w:trPr>
          <w:trHeight w:val="290"/>
        </w:trPr>
        <w:tc>
          <w:tcPr>
            <w:tcW w:w="9298" w:type="dxa"/>
            <w:shd w:val="clear" w:color="auto" w:fill="auto"/>
            <w:noWrap/>
            <w:vAlign w:val="bottom"/>
          </w:tcPr>
          <w:p w14:paraId="0B439C6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lamington, filled with jam &amp;/or cream</w:t>
            </w:r>
          </w:p>
        </w:tc>
      </w:tr>
      <w:tr w:rsidR="00285EF0" w:rsidRPr="0039389C" w14:paraId="61EDB6CD" w14:textId="77777777" w:rsidTr="00285EF0">
        <w:trPr>
          <w:trHeight w:val="290"/>
        </w:trPr>
        <w:tc>
          <w:tcPr>
            <w:tcW w:w="9298" w:type="dxa"/>
            <w:shd w:val="clear" w:color="auto" w:fill="auto"/>
            <w:noWrap/>
            <w:vAlign w:val="bottom"/>
          </w:tcPr>
          <w:p w14:paraId="5B8394B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berry, undefined fat, uniced</w:t>
            </w:r>
          </w:p>
        </w:tc>
      </w:tr>
      <w:tr w:rsidR="00285EF0" w:rsidRPr="0039389C" w14:paraId="23EA6191" w14:textId="77777777" w:rsidTr="00285EF0">
        <w:trPr>
          <w:trHeight w:val="290"/>
        </w:trPr>
        <w:tc>
          <w:tcPr>
            <w:tcW w:w="9298" w:type="dxa"/>
            <w:shd w:val="clear" w:color="auto" w:fill="auto"/>
            <w:noWrap/>
            <w:vAlign w:val="bottom"/>
          </w:tcPr>
          <w:p w14:paraId="778AD3C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berry, reduced fat, commercial, uniced</w:t>
            </w:r>
          </w:p>
        </w:tc>
      </w:tr>
      <w:tr w:rsidR="00285EF0" w:rsidRPr="0039389C" w14:paraId="2F943CF1" w14:textId="77777777" w:rsidTr="00285EF0">
        <w:trPr>
          <w:trHeight w:val="290"/>
        </w:trPr>
        <w:tc>
          <w:tcPr>
            <w:tcW w:w="9298" w:type="dxa"/>
            <w:shd w:val="clear" w:color="auto" w:fill="auto"/>
            <w:noWrap/>
            <w:vAlign w:val="bottom"/>
          </w:tcPr>
          <w:p w14:paraId="71ADB20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cupcake or muffin, berry, prepared from dry mix, undefined fat, uniced</w:t>
            </w:r>
          </w:p>
        </w:tc>
      </w:tr>
      <w:tr w:rsidR="00285EF0" w:rsidRPr="0039389C" w14:paraId="50DF9DC2" w14:textId="77777777" w:rsidTr="00285EF0">
        <w:trPr>
          <w:trHeight w:val="290"/>
        </w:trPr>
        <w:tc>
          <w:tcPr>
            <w:tcW w:w="9298" w:type="dxa"/>
            <w:shd w:val="clear" w:color="auto" w:fill="auto"/>
            <w:noWrap/>
            <w:vAlign w:val="bottom"/>
          </w:tcPr>
          <w:p w14:paraId="64F2C79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friand, commercial, uniced</w:t>
            </w:r>
          </w:p>
        </w:tc>
      </w:tr>
      <w:tr w:rsidR="00285EF0" w:rsidRPr="0039389C" w14:paraId="6BAEB7E8" w14:textId="77777777" w:rsidTr="00285EF0">
        <w:trPr>
          <w:trHeight w:val="290"/>
        </w:trPr>
        <w:tc>
          <w:tcPr>
            <w:tcW w:w="9298" w:type="dxa"/>
            <w:shd w:val="clear" w:color="auto" w:fill="auto"/>
            <w:noWrap/>
            <w:vAlign w:val="bottom"/>
          </w:tcPr>
          <w:p w14:paraId="2DB3F44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friand, homemade from basic ingredients, uniced</w:t>
            </w:r>
          </w:p>
        </w:tc>
      </w:tr>
      <w:tr w:rsidR="00285EF0" w:rsidRPr="0039389C" w14:paraId="21EEEB6C" w14:textId="77777777" w:rsidTr="00285EF0">
        <w:trPr>
          <w:trHeight w:val="290"/>
        </w:trPr>
        <w:tc>
          <w:tcPr>
            <w:tcW w:w="9298" w:type="dxa"/>
            <w:shd w:val="clear" w:color="auto" w:fill="auto"/>
            <w:noWrap/>
            <w:vAlign w:val="bottom"/>
          </w:tcPr>
          <w:p w14:paraId="28D22C0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Muffin, cake-style, berry, commercial, uniced</w:t>
            </w:r>
          </w:p>
        </w:tc>
      </w:tr>
      <w:tr w:rsidR="00285EF0" w:rsidRPr="0039389C" w14:paraId="1BDA4E32" w14:textId="77777777" w:rsidTr="00285EF0">
        <w:trPr>
          <w:trHeight w:val="290"/>
        </w:trPr>
        <w:tc>
          <w:tcPr>
            <w:tcW w:w="9298" w:type="dxa"/>
            <w:shd w:val="clear" w:color="auto" w:fill="auto"/>
            <w:noWrap/>
            <w:vAlign w:val="bottom"/>
          </w:tcPr>
          <w:p w14:paraId="65CA4588"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Muffin, cake-style, berry, homemade from basic ingredients, uniced</w:t>
            </w:r>
          </w:p>
        </w:tc>
      </w:tr>
      <w:tr w:rsidR="00285EF0" w:rsidRPr="0039389C" w14:paraId="2FACAE7F" w14:textId="77777777" w:rsidTr="00285EF0">
        <w:trPr>
          <w:trHeight w:val="290"/>
        </w:trPr>
        <w:tc>
          <w:tcPr>
            <w:tcW w:w="9298" w:type="dxa"/>
            <w:shd w:val="clear" w:color="auto" w:fill="auto"/>
            <w:noWrap/>
            <w:vAlign w:val="bottom"/>
          </w:tcPr>
          <w:p w14:paraId="20F69B3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Muffin, cake-style, commercial, not further defined</w:t>
            </w:r>
          </w:p>
        </w:tc>
      </w:tr>
      <w:tr w:rsidR="00285EF0" w:rsidRPr="0039389C" w14:paraId="6DEFC6B9" w14:textId="77777777" w:rsidTr="00285EF0">
        <w:trPr>
          <w:trHeight w:val="290"/>
        </w:trPr>
        <w:tc>
          <w:tcPr>
            <w:tcW w:w="9298" w:type="dxa"/>
            <w:shd w:val="clear" w:color="auto" w:fill="auto"/>
            <w:noWrap/>
            <w:vAlign w:val="bottom"/>
          </w:tcPr>
          <w:p w14:paraId="0EAF161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or cupcake, berry shortcake, undefined fat</w:t>
            </w:r>
          </w:p>
        </w:tc>
      </w:tr>
      <w:tr w:rsidR="00285EF0" w:rsidRPr="0039389C" w14:paraId="12EE2E6B" w14:textId="77777777" w:rsidTr="00285EF0">
        <w:trPr>
          <w:trHeight w:val="290"/>
        </w:trPr>
        <w:tc>
          <w:tcPr>
            <w:tcW w:w="9298" w:type="dxa"/>
            <w:shd w:val="clear" w:color="auto" w:fill="auto"/>
            <w:noWrap/>
            <w:vAlign w:val="bottom"/>
          </w:tcPr>
          <w:p w14:paraId="22A79AE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Slice, coconut, with jam, commercial</w:t>
            </w:r>
          </w:p>
        </w:tc>
      </w:tr>
      <w:tr w:rsidR="00285EF0" w:rsidRPr="0039389C" w14:paraId="3F0036CA" w14:textId="77777777" w:rsidTr="00285EF0">
        <w:trPr>
          <w:trHeight w:val="290"/>
        </w:trPr>
        <w:tc>
          <w:tcPr>
            <w:tcW w:w="9298" w:type="dxa"/>
            <w:shd w:val="clear" w:color="auto" w:fill="auto"/>
            <w:noWrap/>
            <w:vAlign w:val="bottom"/>
          </w:tcPr>
          <w:p w14:paraId="56776F9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Slice, coconut, with jam, homemade from basic ingredients, fat not further defined</w:t>
            </w:r>
          </w:p>
        </w:tc>
      </w:tr>
      <w:tr w:rsidR="00285EF0" w:rsidRPr="0039389C" w14:paraId="492B67D6" w14:textId="77777777" w:rsidTr="00285EF0">
        <w:trPr>
          <w:trHeight w:val="290"/>
        </w:trPr>
        <w:tc>
          <w:tcPr>
            <w:tcW w:w="9298" w:type="dxa"/>
            <w:shd w:val="clear" w:color="auto" w:fill="auto"/>
            <w:noWrap/>
            <w:vAlign w:val="bottom"/>
          </w:tcPr>
          <w:p w14:paraId="0642BBC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Slice, meringue, with jam, homemade from basic ingredients, fat not further defined</w:t>
            </w:r>
          </w:p>
        </w:tc>
      </w:tr>
      <w:tr w:rsidR="00285EF0" w:rsidRPr="0039389C" w14:paraId="7CA081DC" w14:textId="77777777" w:rsidTr="00285EF0">
        <w:trPr>
          <w:trHeight w:val="290"/>
        </w:trPr>
        <w:tc>
          <w:tcPr>
            <w:tcW w:w="9298" w:type="dxa"/>
            <w:shd w:val="clear" w:color="auto" w:fill="auto"/>
            <w:noWrap/>
            <w:vAlign w:val="bottom"/>
          </w:tcPr>
          <w:p w14:paraId="213B57B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Slice, not further defined</w:t>
            </w:r>
          </w:p>
        </w:tc>
      </w:tr>
      <w:tr w:rsidR="00285EF0" w:rsidRPr="0039389C" w14:paraId="6242078D" w14:textId="77777777" w:rsidTr="00285EF0">
        <w:trPr>
          <w:trHeight w:val="290"/>
        </w:trPr>
        <w:tc>
          <w:tcPr>
            <w:tcW w:w="9298" w:type="dxa"/>
            <w:shd w:val="clear" w:color="auto" w:fill="auto"/>
            <w:noWrap/>
            <w:vAlign w:val="bottom"/>
          </w:tcPr>
          <w:p w14:paraId="34A2BD3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Pie, sweet, mixed berry, homemade</w:t>
            </w:r>
          </w:p>
        </w:tc>
      </w:tr>
      <w:tr w:rsidR="00285EF0" w:rsidRPr="0039389C" w14:paraId="2124748B" w14:textId="77777777" w:rsidTr="00285EF0">
        <w:trPr>
          <w:trHeight w:val="290"/>
        </w:trPr>
        <w:tc>
          <w:tcPr>
            <w:tcW w:w="9298" w:type="dxa"/>
            <w:shd w:val="clear" w:color="auto" w:fill="auto"/>
            <w:noWrap/>
            <w:vAlign w:val="bottom"/>
          </w:tcPr>
          <w:p w14:paraId="1A288FE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Tart, jam, commercial</w:t>
            </w:r>
          </w:p>
        </w:tc>
      </w:tr>
      <w:tr w:rsidR="00285EF0" w:rsidRPr="0039389C" w14:paraId="70F16479" w14:textId="77777777" w:rsidTr="00285EF0">
        <w:trPr>
          <w:trHeight w:val="290"/>
        </w:trPr>
        <w:tc>
          <w:tcPr>
            <w:tcW w:w="9298" w:type="dxa"/>
            <w:shd w:val="clear" w:color="auto" w:fill="auto"/>
            <w:noWrap/>
            <w:vAlign w:val="bottom"/>
          </w:tcPr>
          <w:p w14:paraId="0E97CF1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Tart, jam, homemade</w:t>
            </w:r>
          </w:p>
        </w:tc>
      </w:tr>
      <w:tr w:rsidR="00285EF0" w:rsidRPr="0039389C" w14:paraId="12880EB7" w14:textId="77777777" w:rsidTr="00285EF0">
        <w:trPr>
          <w:trHeight w:val="290"/>
        </w:trPr>
        <w:tc>
          <w:tcPr>
            <w:tcW w:w="9298" w:type="dxa"/>
            <w:shd w:val="clear" w:color="auto" w:fill="auto"/>
            <w:noWrap/>
            <w:vAlign w:val="bottom"/>
          </w:tcPr>
          <w:p w14:paraId="77A86718"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Crepe or pancake, berry, homemade from basic ingredients</w:t>
            </w:r>
          </w:p>
        </w:tc>
      </w:tr>
      <w:tr w:rsidR="00285EF0" w:rsidRPr="0039389C" w14:paraId="5E374D4C" w14:textId="77777777" w:rsidTr="00285EF0">
        <w:trPr>
          <w:trHeight w:val="290"/>
        </w:trPr>
        <w:tc>
          <w:tcPr>
            <w:tcW w:w="9298" w:type="dxa"/>
            <w:shd w:val="clear" w:color="auto" w:fill="auto"/>
            <w:noWrap/>
            <w:vAlign w:val="bottom"/>
          </w:tcPr>
          <w:p w14:paraId="08A933D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Waffle, berry, fresh, homemade from basic ingredients</w:t>
            </w:r>
          </w:p>
        </w:tc>
      </w:tr>
      <w:tr w:rsidR="00285EF0" w:rsidRPr="0039389C" w14:paraId="4C38EBB5" w14:textId="77777777" w:rsidTr="00285EF0">
        <w:trPr>
          <w:trHeight w:val="290"/>
        </w:trPr>
        <w:tc>
          <w:tcPr>
            <w:tcW w:w="9298" w:type="dxa"/>
            <w:shd w:val="clear" w:color="auto" w:fill="auto"/>
            <w:noWrap/>
            <w:vAlign w:val="bottom"/>
          </w:tcPr>
          <w:p w14:paraId="0A9D364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Doughnut, jam filled, sugar coated</w:t>
            </w:r>
          </w:p>
        </w:tc>
      </w:tr>
      <w:tr w:rsidR="00285EF0" w:rsidRPr="0039389C" w14:paraId="1BF98371" w14:textId="77777777" w:rsidTr="00285EF0">
        <w:trPr>
          <w:trHeight w:val="290"/>
        </w:trPr>
        <w:tc>
          <w:tcPr>
            <w:tcW w:w="9298" w:type="dxa"/>
            <w:shd w:val="clear" w:color="auto" w:fill="auto"/>
            <w:noWrap/>
            <w:vAlign w:val="bottom"/>
          </w:tcPr>
          <w:p w14:paraId="3EB7606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Doughnut, jam filled, with chocolate icing</w:t>
            </w:r>
          </w:p>
        </w:tc>
      </w:tr>
      <w:tr w:rsidR="00285EF0" w:rsidRPr="0039389C" w14:paraId="49414BA8" w14:textId="77777777" w:rsidTr="00285EF0">
        <w:trPr>
          <w:trHeight w:val="290"/>
        </w:trPr>
        <w:tc>
          <w:tcPr>
            <w:tcW w:w="9298" w:type="dxa"/>
            <w:shd w:val="clear" w:color="auto" w:fill="auto"/>
            <w:noWrap/>
            <w:vAlign w:val="bottom"/>
          </w:tcPr>
          <w:p w14:paraId="4E3458D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Mixed berry, cooked</w:t>
            </w:r>
          </w:p>
        </w:tc>
      </w:tr>
      <w:tr w:rsidR="00285EF0" w:rsidRPr="0039389C" w14:paraId="4B03C7FE" w14:textId="77777777" w:rsidTr="00285EF0">
        <w:trPr>
          <w:trHeight w:val="290"/>
        </w:trPr>
        <w:tc>
          <w:tcPr>
            <w:tcW w:w="9298" w:type="dxa"/>
            <w:shd w:val="clear" w:color="auto" w:fill="auto"/>
            <w:noWrap/>
            <w:vAlign w:val="bottom"/>
          </w:tcPr>
          <w:p w14:paraId="6900492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apple, banana &amp; berries, homemade</w:t>
            </w:r>
          </w:p>
        </w:tc>
      </w:tr>
      <w:tr w:rsidR="00285EF0" w:rsidRPr="0039389C" w14:paraId="35AF99E1" w14:textId="77777777" w:rsidTr="00285EF0">
        <w:trPr>
          <w:trHeight w:val="290"/>
        </w:trPr>
        <w:tc>
          <w:tcPr>
            <w:tcW w:w="9298" w:type="dxa"/>
            <w:shd w:val="clear" w:color="auto" w:fill="auto"/>
            <w:noWrap/>
            <w:vAlign w:val="bottom"/>
          </w:tcPr>
          <w:p w14:paraId="6B1C3F2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apple, banana, berries &amp; other fruit, homemade</w:t>
            </w:r>
          </w:p>
        </w:tc>
      </w:tr>
      <w:tr w:rsidR="00285EF0" w:rsidRPr="0039389C" w14:paraId="5411E856" w14:textId="77777777" w:rsidTr="00285EF0">
        <w:trPr>
          <w:trHeight w:val="290"/>
        </w:trPr>
        <w:tc>
          <w:tcPr>
            <w:tcW w:w="9298" w:type="dxa"/>
            <w:shd w:val="clear" w:color="auto" w:fill="auto"/>
            <w:noWrap/>
            <w:vAlign w:val="bottom"/>
          </w:tcPr>
          <w:p w14:paraId="2CAF16F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apple, berries &amp; orange, homemade</w:t>
            </w:r>
          </w:p>
        </w:tc>
      </w:tr>
      <w:tr w:rsidR="00285EF0" w:rsidRPr="0039389C" w14:paraId="19B77251" w14:textId="77777777" w:rsidTr="00285EF0">
        <w:trPr>
          <w:trHeight w:val="290"/>
        </w:trPr>
        <w:tc>
          <w:tcPr>
            <w:tcW w:w="9298" w:type="dxa"/>
            <w:shd w:val="clear" w:color="auto" w:fill="auto"/>
            <w:noWrap/>
            <w:vAlign w:val="bottom"/>
          </w:tcPr>
          <w:p w14:paraId="4E0B11D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banana, berries, melon &amp; other fruit, homemade</w:t>
            </w:r>
          </w:p>
        </w:tc>
      </w:tr>
      <w:tr w:rsidR="00285EF0" w:rsidRPr="0039389C" w14:paraId="5558FF7B" w14:textId="77777777" w:rsidTr="00285EF0">
        <w:trPr>
          <w:trHeight w:val="290"/>
        </w:trPr>
        <w:tc>
          <w:tcPr>
            <w:tcW w:w="9298" w:type="dxa"/>
            <w:shd w:val="clear" w:color="auto" w:fill="auto"/>
            <w:noWrap/>
            <w:vAlign w:val="bottom"/>
          </w:tcPr>
          <w:p w14:paraId="2DA95CC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banana, berries &amp; stone fruit, homemade</w:t>
            </w:r>
          </w:p>
        </w:tc>
      </w:tr>
      <w:tr w:rsidR="00285EF0" w:rsidRPr="0039389C" w14:paraId="1279838B" w14:textId="77777777" w:rsidTr="00285EF0">
        <w:trPr>
          <w:trHeight w:val="290"/>
        </w:trPr>
        <w:tc>
          <w:tcPr>
            <w:tcW w:w="9298" w:type="dxa"/>
            <w:shd w:val="clear" w:color="auto" w:fill="auto"/>
            <w:noWrap/>
            <w:vAlign w:val="bottom"/>
          </w:tcPr>
          <w:p w14:paraId="524DEC9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banana, berries, mango &amp; other fruit, homemade</w:t>
            </w:r>
          </w:p>
        </w:tc>
      </w:tr>
      <w:tr w:rsidR="00285EF0" w:rsidRPr="0039389C" w14:paraId="6751E80E" w14:textId="77777777" w:rsidTr="00285EF0">
        <w:trPr>
          <w:trHeight w:val="290"/>
        </w:trPr>
        <w:tc>
          <w:tcPr>
            <w:tcW w:w="9298" w:type="dxa"/>
            <w:shd w:val="clear" w:color="auto" w:fill="auto"/>
            <w:noWrap/>
            <w:vAlign w:val="bottom"/>
          </w:tcPr>
          <w:p w14:paraId="5AB8318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berries &amp; pineapple, homemade</w:t>
            </w:r>
          </w:p>
        </w:tc>
      </w:tr>
      <w:tr w:rsidR="00285EF0" w:rsidRPr="0039389C" w14:paraId="592110C0" w14:textId="77777777" w:rsidTr="00285EF0">
        <w:trPr>
          <w:trHeight w:val="290"/>
        </w:trPr>
        <w:tc>
          <w:tcPr>
            <w:tcW w:w="9298" w:type="dxa"/>
            <w:shd w:val="clear" w:color="auto" w:fill="auto"/>
            <w:noWrap/>
            <w:vAlign w:val="bottom"/>
          </w:tcPr>
          <w:p w14:paraId="4C40484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berries, cherries, watermelon or other red fruit, homemade</w:t>
            </w:r>
          </w:p>
        </w:tc>
      </w:tr>
      <w:tr w:rsidR="00285EF0" w:rsidRPr="0039389C" w14:paraId="79DE4E51" w14:textId="77777777" w:rsidTr="00285EF0">
        <w:trPr>
          <w:trHeight w:val="290"/>
        </w:trPr>
        <w:tc>
          <w:tcPr>
            <w:tcW w:w="9298" w:type="dxa"/>
            <w:shd w:val="clear" w:color="auto" w:fill="auto"/>
            <w:noWrap/>
            <w:vAlign w:val="bottom"/>
          </w:tcPr>
          <w:p w14:paraId="648C6A7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berries, mango, stone fruit &amp; other fruit, homemade</w:t>
            </w:r>
          </w:p>
        </w:tc>
      </w:tr>
      <w:tr w:rsidR="00285EF0" w:rsidRPr="0039389C" w14:paraId="314913D6" w14:textId="77777777" w:rsidTr="00285EF0">
        <w:trPr>
          <w:trHeight w:val="290"/>
        </w:trPr>
        <w:tc>
          <w:tcPr>
            <w:tcW w:w="9298" w:type="dxa"/>
            <w:shd w:val="clear" w:color="auto" w:fill="auto"/>
            <w:noWrap/>
            <w:vAlign w:val="bottom"/>
          </w:tcPr>
          <w:p w14:paraId="606F84D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Fruit salad, commercial, fresh</w:t>
            </w:r>
          </w:p>
        </w:tc>
      </w:tr>
      <w:tr w:rsidR="00285EF0" w:rsidRPr="0039389C" w14:paraId="7810CC0C" w14:textId="77777777" w:rsidTr="00285EF0">
        <w:trPr>
          <w:trHeight w:val="290"/>
        </w:trPr>
        <w:tc>
          <w:tcPr>
            <w:tcW w:w="9298" w:type="dxa"/>
            <w:shd w:val="clear" w:color="auto" w:fill="auto"/>
            <w:noWrap/>
            <w:vAlign w:val="bottom"/>
          </w:tcPr>
          <w:p w14:paraId="5B8AD4C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Mixed fruit platter, not further defined</w:t>
            </w:r>
          </w:p>
        </w:tc>
      </w:tr>
      <w:tr w:rsidR="00285EF0" w:rsidRPr="0039389C" w14:paraId="00DBD68B" w14:textId="77777777" w:rsidTr="00285EF0">
        <w:trPr>
          <w:trHeight w:val="290"/>
        </w:trPr>
        <w:tc>
          <w:tcPr>
            <w:tcW w:w="9298" w:type="dxa"/>
            <w:shd w:val="clear" w:color="auto" w:fill="auto"/>
            <w:noWrap/>
            <w:vAlign w:val="bottom"/>
          </w:tcPr>
          <w:p w14:paraId="3770E3B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Mixed berry, dried</w:t>
            </w:r>
          </w:p>
        </w:tc>
      </w:tr>
      <w:tr w:rsidR="00285EF0" w:rsidRPr="0039389C" w14:paraId="15EEBD05" w14:textId="77777777" w:rsidTr="00285EF0">
        <w:trPr>
          <w:trHeight w:val="290"/>
        </w:trPr>
        <w:tc>
          <w:tcPr>
            <w:tcW w:w="9298" w:type="dxa"/>
            <w:shd w:val="clear" w:color="auto" w:fill="auto"/>
            <w:noWrap/>
            <w:vAlign w:val="bottom"/>
          </w:tcPr>
          <w:p w14:paraId="0CC252C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Crumble, apple &amp; berry, baked, homemade</w:t>
            </w:r>
          </w:p>
        </w:tc>
      </w:tr>
      <w:tr w:rsidR="00285EF0" w:rsidRPr="0039389C" w14:paraId="6A90F048" w14:textId="77777777" w:rsidTr="00285EF0">
        <w:trPr>
          <w:trHeight w:val="290"/>
        </w:trPr>
        <w:tc>
          <w:tcPr>
            <w:tcW w:w="9298" w:type="dxa"/>
            <w:shd w:val="clear" w:color="auto" w:fill="auto"/>
            <w:noWrap/>
            <w:vAlign w:val="bottom"/>
          </w:tcPr>
          <w:p w14:paraId="02D6193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Souffle, fruit</w:t>
            </w:r>
          </w:p>
        </w:tc>
      </w:tr>
      <w:tr w:rsidR="00285EF0" w:rsidRPr="0039389C" w14:paraId="3768779E" w14:textId="77777777" w:rsidTr="00285EF0">
        <w:trPr>
          <w:trHeight w:val="290"/>
        </w:trPr>
        <w:tc>
          <w:tcPr>
            <w:tcW w:w="9298" w:type="dxa"/>
            <w:shd w:val="clear" w:color="auto" w:fill="auto"/>
            <w:noWrap/>
            <w:vAlign w:val="bottom"/>
          </w:tcPr>
          <w:p w14:paraId="555EF84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natural or Greek, high fat (approx. 6%), added berry pieces</w:t>
            </w:r>
          </w:p>
        </w:tc>
      </w:tr>
      <w:tr w:rsidR="00285EF0" w:rsidRPr="0039389C" w14:paraId="4B0F294F" w14:textId="77777777" w:rsidTr="00285EF0">
        <w:trPr>
          <w:trHeight w:val="290"/>
        </w:trPr>
        <w:tc>
          <w:tcPr>
            <w:tcW w:w="9298" w:type="dxa"/>
            <w:shd w:val="clear" w:color="auto" w:fill="auto"/>
            <w:noWrap/>
            <w:vAlign w:val="bottom"/>
          </w:tcPr>
          <w:p w14:paraId="3DC1B37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regular fat (approx. 3%)</w:t>
            </w:r>
          </w:p>
        </w:tc>
      </w:tr>
      <w:tr w:rsidR="00285EF0" w:rsidRPr="0039389C" w14:paraId="5542F6D8" w14:textId="77777777" w:rsidTr="00285EF0">
        <w:trPr>
          <w:trHeight w:val="290"/>
        </w:trPr>
        <w:tc>
          <w:tcPr>
            <w:tcW w:w="9298" w:type="dxa"/>
            <w:shd w:val="clear" w:color="auto" w:fill="auto"/>
            <w:noWrap/>
            <w:vAlign w:val="bottom"/>
          </w:tcPr>
          <w:p w14:paraId="1FB09B4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with added fruit juice, reduced fat (approx. 2%)</w:t>
            </w:r>
          </w:p>
        </w:tc>
      </w:tr>
      <w:tr w:rsidR="00285EF0" w:rsidRPr="0039389C" w14:paraId="202616E9" w14:textId="77777777" w:rsidTr="00285EF0">
        <w:trPr>
          <w:trHeight w:val="290"/>
        </w:trPr>
        <w:tc>
          <w:tcPr>
            <w:tcW w:w="9298" w:type="dxa"/>
            <w:shd w:val="clear" w:color="auto" w:fill="auto"/>
            <w:noWrap/>
            <w:vAlign w:val="bottom"/>
          </w:tcPr>
          <w:p w14:paraId="0504B1C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natural or Greek, regular fat (approx. 4%), added berry pieces</w:t>
            </w:r>
          </w:p>
        </w:tc>
      </w:tr>
      <w:tr w:rsidR="00285EF0" w:rsidRPr="0039389C" w14:paraId="5635DD8F" w14:textId="77777777" w:rsidTr="00285EF0">
        <w:trPr>
          <w:trHeight w:val="290"/>
        </w:trPr>
        <w:tc>
          <w:tcPr>
            <w:tcW w:w="9298" w:type="dxa"/>
            <w:shd w:val="clear" w:color="auto" w:fill="auto"/>
            <w:noWrap/>
            <w:vAlign w:val="bottom"/>
          </w:tcPr>
          <w:p w14:paraId="7049B1C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flavoured, regular fat (approx. 3%), added cereals</w:t>
            </w:r>
          </w:p>
        </w:tc>
      </w:tr>
      <w:tr w:rsidR="00285EF0" w:rsidRPr="0039389C" w14:paraId="644BEAAD" w14:textId="77777777" w:rsidTr="00285EF0">
        <w:trPr>
          <w:trHeight w:val="290"/>
        </w:trPr>
        <w:tc>
          <w:tcPr>
            <w:tcW w:w="9298" w:type="dxa"/>
            <w:shd w:val="clear" w:color="auto" w:fill="auto"/>
            <w:noWrap/>
            <w:vAlign w:val="bottom"/>
          </w:tcPr>
          <w:p w14:paraId="6B818EB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reduced fat (1%)</w:t>
            </w:r>
          </w:p>
        </w:tc>
      </w:tr>
      <w:tr w:rsidR="00285EF0" w:rsidRPr="0039389C" w14:paraId="1AFDD99D" w14:textId="77777777" w:rsidTr="00285EF0">
        <w:trPr>
          <w:trHeight w:val="290"/>
        </w:trPr>
        <w:tc>
          <w:tcPr>
            <w:tcW w:w="9298" w:type="dxa"/>
            <w:shd w:val="clear" w:color="auto" w:fill="auto"/>
            <w:noWrap/>
            <w:vAlign w:val="bottom"/>
          </w:tcPr>
          <w:p w14:paraId="4F76C8B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tropical fruit or fruit salad pieces or flavoured, with added fruit juice, reduced fat (approx. 2%)</w:t>
            </w:r>
          </w:p>
        </w:tc>
      </w:tr>
      <w:tr w:rsidR="00285EF0" w:rsidRPr="0039389C" w14:paraId="5958A709" w14:textId="77777777" w:rsidTr="00285EF0">
        <w:trPr>
          <w:trHeight w:val="290"/>
        </w:trPr>
        <w:tc>
          <w:tcPr>
            <w:tcW w:w="9298" w:type="dxa"/>
            <w:shd w:val="clear" w:color="auto" w:fill="auto"/>
            <w:noWrap/>
            <w:vAlign w:val="bottom"/>
          </w:tcPr>
          <w:p w14:paraId="17920F1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vanilla flavoured, reduced fat (2%), added berry pieces</w:t>
            </w:r>
          </w:p>
        </w:tc>
      </w:tr>
      <w:tr w:rsidR="00285EF0" w:rsidRPr="0039389C" w14:paraId="4154FFF1" w14:textId="77777777" w:rsidTr="00285EF0">
        <w:trPr>
          <w:trHeight w:val="290"/>
        </w:trPr>
        <w:tc>
          <w:tcPr>
            <w:tcW w:w="9298" w:type="dxa"/>
            <w:shd w:val="clear" w:color="auto" w:fill="auto"/>
            <w:noWrap/>
            <w:vAlign w:val="bottom"/>
          </w:tcPr>
          <w:p w14:paraId="390CF66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low fat (&lt;0.5%)</w:t>
            </w:r>
          </w:p>
        </w:tc>
      </w:tr>
      <w:tr w:rsidR="00285EF0" w:rsidRPr="0039389C" w14:paraId="0E9CF3D9" w14:textId="77777777" w:rsidTr="00285EF0">
        <w:trPr>
          <w:trHeight w:val="290"/>
        </w:trPr>
        <w:tc>
          <w:tcPr>
            <w:tcW w:w="9298" w:type="dxa"/>
            <w:shd w:val="clear" w:color="auto" w:fill="auto"/>
            <w:noWrap/>
            <w:vAlign w:val="bottom"/>
          </w:tcPr>
          <w:p w14:paraId="74EBA16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low fat (&lt;0.5%), intense sweetened</w:t>
            </w:r>
          </w:p>
        </w:tc>
      </w:tr>
      <w:tr w:rsidR="00285EF0" w:rsidRPr="0039389C" w14:paraId="55D6D29D" w14:textId="77777777" w:rsidTr="00285EF0">
        <w:trPr>
          <w:trHeight w:val="290"/>
        </w:trPr>
        <w:tc>
          <w:tcPr>
            <w:tcW w:w="9298" w:type="dxa"/>
            <w:shd w:val="clear" w:color="auto" w:fill="auto"/>
            <w:noWrap/>
            <w:vAlign w:val="bottom"/>
          </w:tcPr>
          <w:p w14:paraId="36437B1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drinking style, fruit flavoured, reduced fat (1%)</w:t>
            </w:r>
          </w:p>
        </w:tc>
      </w:tr>
      <w:tr w:rsidR="00285EF0" w:rsidRPr="0039389C" w14:paraId="0A5FE4CB" w14:textId="77777777" w:rsidTr="00285EF0">
        <w:trPr>
          <w:trHeight w:val="290"/>
        </w:trPr>
        <w:tc>
          <w:tcPr>
            <w:tcW w:w="9298" w:type="dxa"/>
            <w:shd w:val="clear" w:color="auto" w:fill="auto"/>
            <w:noWrap/>
            <w:vAlign w:val="bottom"/>
          </w:tcPr>
          <w:p w14:paraId="2D5AAB0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regular fat (approx. 3%), added omega-3 polyunsaturates</w:t>
            </w:r>
          </w:p>
        </w:tc>
      </w:tr>
      <w:tr w:rsidR="00285EF0" w:rsidRPr="0039389C" w14:paraId="6BAA3261" w14:textId="77777777" w:rsidTr="00285EF0">
        <w:trPr>
          <w:trHeight w:val="290"/>
        </w:trPr>
        <w:tc>
          <w:tcPr>
            <w:tcW w:w="9298" w:type="dxa"/>
            <w:shd w:val="clear" w:color="auto" w:fill="auto"/>
            <w:noWrap/>
            <w:vAlign w:val="bottom"/>
          </w:tcPr>
          <w:p w14:paraId="1BD8EA88"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reduced fat (1%), added fibre</w:t>
            </w:r>
          </w:p>
        </w:tc>
      </w:tr>
      <w:tr w:rsidR="00285EF0" w:rsidRPr="0039389C" w14:paraId="04D52C45" w14:textId="77777777" w:rsidTr="00285EF0">
        <w:trPr>
          <w:trHeight w:val="290"/>
        </w:trPr>
        <w:tc>
          <w:tcPr>
            <w:tcW w:w="9298" w:type="dxa"/>
            <w:shd w:val="clear" w:color="auto" w:fill="auto"/>
            <w:noWrap/>
            <w:vAlign w:val="bottom"/>
          </w:tcPr>
          <w:p w14:paraId="7B5B9E4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berry pieces or flavoured, low fat (&lt;0.5%), intense sweetened, added fibre</w:t>
            </w:r>
          </w:p>
        </w:tc>
      </w:tr>
      <w:tr w:rsidR="00285EF0" w:rsidRPr="0039389C" w14:paraId="6183F563" w14:textId="77777777" w:rsidTr="00285EF0">
        <w:trPr>
          <w:trHeight w:val="290"/>
        </w:trPr>
        <w:tc>
          <w:tcPr>
            <w:tcW w:w="9298" w:type="dxa"/>
            <w:shd w:val="clear" w:color="auto" w:fill="auto"/>
            <w:noWrap/>
            <w:vAlign w:val="bottom"/>
          </w:tcPr>
          <w:p w14:paraId="0110186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dessert flavoured, low fat (&lt;0.5%), intense sweetened, added fibre</w:t>
            </w:r>
          </w:p>
        </w:tc>
      </w:tr>
      <w:tr w:rsidR="00285EF0" w:rsidRPr="0039389C" w14:paraId="5A1D9009" w14:textId="77777777" w:rsidTr="00285EF0">
        <w:trPr>
          <w:trHeight w:val="290"/>
        </w:trPr>
        <w:tc>
          <w:tcPr>
            <w:tcW w:w="9298" w:type="dxa"/>
            <w:shd w:val="clear" w:color="auto" w:fill="auto"/>
            <w:noWrap/>
            <w:vAlign w:val="bottom"/>
          </w:tcPr>
          <w:p w14:paraId="1E69C0FE"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not further defined</w:t>
            </w:r>
          </w:p>
        </w:tc>
      </w:tr>
      <w:tr w:rsidR="00285EF0" w:rsidRPr="0039389C" w14:paraId="12A194B2" w14:textId="77777777" w:rsidTr="00285EF0">
        <w:trPr>
          <w:trHeight w:val="290"/>
        </w:trPr>
        <w:tc>
          <w:tcPr>
            <w:tcW w:w="9298" w:type="dxa"/>
            <w:shd w:val="clear" w:color="auto" w:fill="auto"/>
            <w:noWrap/>
            <w:vAlign w:val="bottom"/>
          </w:tcPr>
          <w:p w14:paraId="3B2B993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Ice cream, all flavours, homemade from basic ingredients</w:t>
            </w:r>
          </w:p>
        </w:tc>
      </w:tr>
      <w:tr w:rsidR="00285EF0" w:rsidRPr="0039389C" w14:paraId="297916F7" w14:textId="77777777" w:rsidTr="00285EF0">
        <w:trPr>
          <w:trHeight w:val="290"/>
        </w:trPr>
        <w:tc>
          <w:tcPr>
            <w:tcW w:w="9298" w:type="dxa"/>
            <w:shd w:val="clear" w:color="auto" w:fill="auto"/>
            <w:noWrap/>
            <w:vAlign w:val="bottom"/>
          </w:tcPr>
          <w:p w14:paraId="5BD22F9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frozen, berry flavoured, regular fat</w:t>
            </w:r>
          </w:p>
        </w:tc>
      </w:tr>
      <w:tr w:rsidR="00285EF0" w:rsidRPr="0039389C" w14:paraId="3FCBFF54" w14:textId="77777777" w:rsidTr="00285EF0">
        <w:trPr>
          <w:trHeight w:val="290"/>
        </w:trPr>
        <w:tc>
          <w:tcPr>
            <w:tcW w:w="9298" w:type="dxa"/>
            <w:shd w:val="clear" w:color="auto" w:fill="auto"/>
            <w:noWrap/>
            <w:vAlign w:val="bottom"/>
          </w:tcPr>
          <w:p w14:paraId="2572CA6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Sundae, vanilla ice cream, strawberry topping, fast food style</w:t>
            </w:r>
          </w:p>
        </w:tc>
      </w:tr>
      <w:tr w:rsidR="00285EF0" w:rsidRPr="0039389C" w14:paraId="2B07D705" w14:textId="77777777" w:rsidTr="00285EF0">
        <w:trPr>
          <w:trHeight w:val="290"/>
        </w:trPr>
        <w:tc>
          <w:tcPr>
            <w:tcW w:w="9298" w:type="dxa"/>
            <w:shd w:val="clear" w:color="auto" w:fill="auto"/>
            <w:noWrap/>
            <w:vAlign w:val="bottom"/>
          </w:tcPr>
          <w:p w14:paraId="100F038C"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Fromais frais, berry pieces or flavour, regular fat (5% fat)</w:t>
            </w:r>
          </w:p>
        </w:tc>
      </w:tr>
      <w:tr w:rsidR="00285EF0" w:rsidRPr="0039389C" w14:paraId="6DB29997" w14:textId="77777777" w:rsidTr="00285EF0">
        <w:trPr>
          <w:trHeight w:val="290"/>
        </w:trPr>
        <w:tc>
          <w:tcPr>
            <w:tcW w:w="9298" w:type="dxa"/>
            <w:shd w:val="clear" w:color="auto" w:fill="auto"/>
            <w:noWrap/>
            <w:vAlign w:val="bottom"/>
          </w:tcPr>
          <w:p w14:paraId="66D0A76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cheesecake, biscuit base, fruit flavoured cream cheese topping, commercial</w:t>
            </w:r>
          </w:p>
        </w:tc>
      </w:tr>
      <w:tr w:rsidR="00285EF0" w:rsidRPr="0039389C" w14:paraId="64188EFD" w14:textId="77777777" w:rsidTr="00285EF0">
        <w:trPr>
          <w:trHeight w:val="290"/>
        </w:trPr>
        <w:tc>
          <w:tcPr>
            <w:tcW w:w="9298" w:type="dxa"/>
            <w:shd w:val="clear" w:color="auto" w:fill="auto"/>
            <w:noWrap/>
            <w:vAlign w:val="bottom"/>
          </w:tcPr>
          <w:p w14:paraId="77BB362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Cake, cheesecake, biscuit base, fruit flavoured cream cheese topping, homemade from basic ingredients</w:t>
            </w:r>
          </w:p>
        </w:tc>
      </w:tr>
      <w:tr w:rsidR="00285EF0" w:rsidRPr="0039389C" w14:paraId="34BD31F8" w14:textId="77777777" w:rsidTr="00285EF0">
        <w:trPr>
          <w:trHeight w:val="290"/>
        </w:trPr>
        <w:tc>
          <w:tcPr>
            <w:tcW w:w="9298" w:type="dxa"/>
            <w:shd w:val="clear" w:color="auto" w:fill="auto"/>
            <w:noWrap/>
            <w:vAlign w:val="bottom"/>
          </w:tcPr>
          <w:p w14:paraId="1D327B9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Trifle, homemade from basic ingredients</w:t>
            </w:r>
          </w:p>
        </w:tc>
      </w:tr>
      <w:tr w:rsidR="00285EF0" w:rsidRPr="0039389C" w14:paraId="0A449801" w14:textId="77777777" w:rsidTr="00285EF0">
        <w:trPr>
          <w:trHeight w:val="290"/>
        </w:trPr>
        <w:tc>
          <w:tcPr>
            <w:tcW w:w="9298" w:type="dxa"/>
            <w:shd w:val="clear" w:color="auto" w:fill="auto"/>
            <w:noWrap/>
            <w:vAlign w:val="bottom"/>
          </w:tcPr>
          <w:p w14:paraId="5932BB3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Milk, cow, fluid, flavoured, strawberry, regular fat</w:t>
            </w:r>
          </w:p>
        </w:tc>
      </w:tr>
      <w:tr w:rsidR="00285EF0" w:rsidRPr="0039389C" w14:paraId="73F02D77" w14:textId="77777777" w:rsidTr="00285EF0">
        <w:trPr>
          <w:trHeight w:val="290"/>
        </w:trPr>
        <w:tc>
          <w:tcPr>
            <w:tcW w:w="9298" w:type="dxa"/>
            <w:shd w:val="clear" w:color="auto" w:fill="auto"/>
            <w:noWrap/>
            <w:vAlign w:val="bottom"/>
          </w:tcPr>
          <w:p w14:paraId="0488173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Milk, cow, fluid, flavoured, strawberry, reduced fat</w:t>
            </w:r>
          </w:p>
        </w:tc>
      </w:tr>
      <w:tr w:rsidR="00285EF0" w:rsidRPr="0039389C" w14:paraId="70711B79" w14:textId="77777777" w:rsidTr="00285EF0">
        <w:trPr>
          <w:trHeight w:val="290"/>
        </w:trPr>
        <w:tc>
          <w:tcPr>
            <w:tcW w:w="9298" w:type="dxa"/>
            <w:shd w:val="clear" w:color="auto" w:fill="auto"/>
            <w:noWrap/>
            <w:vAlign w:val="bottom"/>
          </w:tcPr>
          <w:p w14:paraId="600D11C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Thickshake, strawberry flavour, fast food style</w:t>
            </w:r>
          </w:p>
        </w:tc>
      </w:tr>
      <w:tr w:rsidR="00285EF0" w:rsidRPr="0039389C" w14:paraId="7E999833" w14:textId="77777777" w:rsidTr="00285EF0">
        <w:trPr>
          <w:trHeight w:val="290"/>
        </w:trPr>
        <w:tc>
          <w:tcPr>
            <w:tcW w:w="9298" w:type="dxa"/>
            <w:shd w:val="clear" w:color="auto" w:fill="auto"/>
            <w:noWrap/>
            <w:vAlign w:val="bottom"/>
          </w:tcPr>
          <w:p w14:paraId="3E37D2A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cows milk, all flavours, added berries</w:t>
            </w:r>
          </w:p>
        </w:tc>
      </w:tr>
      <w:tr w:rsidR="00285EF0" w:rsidRPr="0039389C" w14:paraId="34247707" w14:textId="77777777" w:rsidTr="00285EF0">
        <w:trPr>
          <w:trHeight w:val="290"/>
        </w:trPr>
        <w:tc>
          <w:tcPr>
            <w:tcW w:w="9298" w:type="dxa"/>
            <w:shd w:val="clear" w:color="auto" w:fill="auto"/>
            <w:noWrap/>
            <w:vAlign w:val="bottom"/>
          </w:tcPr>
          <w:p w14:paraId="6570D19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cows milk, all flavours, added mixed fruit</w:t>
            </w:r>
          </w:p>
        </w:tc>
      </w:tr>
      <w:tr w:rsidR="00285EF0" w:rsidRPr="0039389C" w14:paraId="2116C8D3" w14:textId="77777777" w:rsidTr="00285EF0">
        <w:trPr>
          <w:trHeight w:val="290"/>
        </w:trPr>
        <w:tc>
          <w:tcPr>
            <w:tcW w:w="9298" w:type="dxa"/>
            <w:shd w:val="clear" w:color="auto" w:fill="auto"/>
            <w:noWrap/>
            <w:vAlign w:val="bottom"/>
          </w:tcPr>
          <w:p w14:paraId="75F708B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cows milk, all flavours, added mixed fruit &amp; egg</w:t>
            </w:r>
          </w:p>
        </w:tc>
      </w:tr>
      <w:tr w:rsidR="00285EF0" w:rsidRPr="0039389C" w14:paraId="14CB3FAD" w14:textId="77777777" w:rsidTr="00285EF0">
        <w:trPr>
          <w:trHeight w:val="290"/>
        </w:trPr>
        <w:tc>
          <w:tcPr>
            <w:tcW w:w="9298" w:type="dxa"/>
            <w:shd w:val="clear" w:color="auto" w:fill="auto"/>
            <w:noWrap/>
            <w:vAlign w:val="bottom"/>
          </w:tcPr>
          <w:p w14:paraId="022306D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cows milk, all flavours, added mixed fruit, guarana &amp; herbal extracts</w:t>
            </w:r>
          </w:p>
        </w:tc>
      </w:tr>
      <w:tr w:rsidR="00285EF0" w:rsidRPr="0039389C" w14:paraId="1A263FB8" w14:textId="77777777" w:rsidTr="00285EF0">
        <w:trPr>
          <w:trHeight w:val="290"/>
        </w:trPr>
        <w:tc>
          <w:tcPr>
            <w:tcW w:w="9298" w:type="dxa"/>
            <w:shd w:val="clear" w:color="auto" w:fill="auto"/>
            <w:noWrap/>
            <w:vAlign w:val="bottom"/>
          </w:tcPr>
          <w:p w14:paraId="54569F3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cows milk, all flavours, added mixed fruit &amp; nuts or seeds</w:t>
            </w:r>
          </w:p>
        </w:tc>
      </w:tr>
      <w:tr w:rsidR="00285EF0" w:rsidRPr="0039389C" w14:paraId="3D352C16" w14:textId="77777777" w:rsidTr="00285EF0">
        <w:trPr>
          <w:trHeight w:val="290"/>
        </w:trPr>
        <w:tc>
          <w:tcPr>
            <w:tcW w:w="9298" w:type="dxa"/>
            <w:shd w:val="clear" w:color="auto" w:fill="auto"/>
            <w:noWrap/>
            <w:vAlign w:val="bottom"/>
          </w:tcPr>
          <w:p w14:paraId="486747A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Smoothie, non-dairy base, all flavours, added mixed fruit</w:t>
            </w:r>
          </w:p>
        </w:tc>
      </w:tr>
      <w:tr w:rsidR="00285EF0" w:rsidRPr="0039389C" w14:paraId="76C9FC52" w14:textId="77777777" w:rsidTr="00285EF0">
        <w:trPr>
          <w:trHeight w:val="290"/>
        </w:trPr>
        <w:tc>
          <w:tcPr>
            <w:tcW w:w="9298" w:type="dxa"/>
            <w:shd w:val="clear" w:color="auto" w:fill="auto"/>
            <w:noWrap/>
            <w:vAlign w:val="bottom"/>
          </w:tcPr>
          <w:p w14:paraId="3BE90DFA"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Yoghurt, soy based, berry flavoured, regular fat (approx. 3%)</w:t>
            </w:r>
          </w:p>
        </w:tc>
      </w:tr>
      <w:tr w:rsidR="00285EF0" w:rsidRPr="0039389C" w14:paraId="18B94708" w14:textId="77777777" w:rsidTr="00285EF0">
        <w:trPr>
          <w:trHeight w:val="290"/>
        </w:trPr>
        <w:tc>
          <w:tcPr>
            <w:tcW w:w="9298" w:type="dxa"/>
            <w:shd w:val="clear" w:color="auto" w:fill="auto"/>
            <w:noWrap/>
            <w:vAlign w:val="bottom"/>
          </w:tcPr>
          <w:p w14:paraId="3DE1C116"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Jam, mixed berry, regular</w:t>
            </w:r>
          </w:p>
        </w:tc>
      </w:tr>
      <w:tr w:rsidR="00285EF0" w:rsidRPr="0039389C" w14:paraId="2AF370FE" w14:textId="77777777" w:rsidTr="00285EF0">
        <w:trPr>
          <w:trHeight w:val="290"/>
        </w:trPr>
        <w:tc>
          <w:tcPr>
            <w:tcW w:w="9298" w:type="dxa"/>
            <w:shd w:val="clear" w:color="auto" w:fill="auto"/>
            <w:noWrap/>
            <w:vAlign w:val="bottom"/>
          </w:tcPr>
          <w:p w14:paraId="16E6AFD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Jam, strawberry, regular</w:t>
            </w:r>
          </w:p>
        </w:tc>
      </w:tr>
      <w:tr w:rsidR="00285EF0" w:rsidRPr="0039389C" w14:paraId="09C6AE42" w14:textId="77777777" w:rsidTr="00285EF0">
        <w:trPr>
          <w:trHeight w:val="290"/>
        </w:trPr>
        <w:tc>
          <w:tcPr>
            <w:tcW w:w="9298" w:type="dxa"/>
            <w:shd w:val="clear" w:color="auto" w:fill="auto"/>
            <w:noWrap/>
            <w:vAlign w:val="bottom"/>
          </w:tcPr>
          <w:p w14:paraId="58427D1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Jam, not further defined</w:t>
            </w:r>
          </w:p>
        </w:tc>
      </w:tr>
      <w:tr w:rsidR="00285EF0" w:rsidRPr="0039389C" w14:paraId="7D6AA7B1" w14:textId="77777777" w:rsidTr="00285EF0">
        <w:trPr>
          <w:trHeight w:val="290"/>
        </w:trPr>
        <w:tc>
          <w:tcPr>
            <w:tcW w:w="9298" w:type="dxa"/>
            <w:shd w:val="clear" w:color="auto" w:fill="auto"/>
            <w:noWrap/>
            <w:vAlign w:val="bottom"/>
          </w:tcPr>
          <w:p w14:paraId="2617E2F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Jam, all flavours, no added sugar (100% fruit)</w:t>
            </w:r>
          </w:p>
        </w:tc>
      </w:tr>
      <w:tr w:rsidR="00285EF0" w:rsidRPr="0039389C" w14:paraId="2650C910" w14:textId="77777777" w:rsidTr="00285EF0">
        <w:trPr>
          <w:trHeight w:val="290"/>
        </w:trPr>
        <w:tc>
          <w:tcPr>
            <w:tcW w:w="9298" w:type="dxa"/>
            <w:shd w:val="clear" w:color="auto" w:fill="auto"/>
            <w:noWrap/>
            <w:vAlign w:val="bottom"/>
          </w:tcPr>
          <w:p w14:paraId="7FB0379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Sauce, sweet, mixed berry coulis</w:t>
            </w:r>
          </w:p>
        </w:tc>
      </w:tr>
      <w:tr w:rsidR="00285EF0" w:rsidRPr="0039389C" w14:paraId="5FC63B6A" w14:textId="77777777" w:rsidTr="00285EF0">
        <w:trPr>
          <w:trHeight w:val="290"/>
        </w:trPr>
        <w:tc>
          <w:tcPr>
            <w:tcW w:w="9298" w:type="dxa"/>
            <w:shd w:val="clear" w:color="auto" w:fill="auto"/>
            <w:noWrap/>
            <w:vAlign w:val="bottom"/>
          </w:tcPr>
          <w:p w14:paraId="043E296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Jelly, sugar sweetened, all flavours, prepared, added berries</w:t>
            </w:r>
          </w:p>
        </w:tc>
      </w:tr>
      <w:tr w:rsidR="00285EF0" w:rsidRPr="0039389C" w14:paraId="4A2A010E" w14:textId="77777777" w:rsidTr="00285EF0">
        <w:trPr>
          <w:trHeight w:val="290"/>
        </w:trPr>
        <w:tc>
          <w:tcPr>
            <w:tcW w:w="9298" w:type="dxa"/>
            <w:shd w:val="clear" w:color="auto" w:fill="auto"/>
            <w:noWrap/>
            <w:vAlign w:val="bottom"/>
          </w:tcPr>
          <w:p w14:paraId="52E22EC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Pavlova, plain, topped with whipped cream &amp; fresh fruit</w:t>
            </w:r>
          </w:p>
        </w:tc>
      </w:tr>
      <w:tr w:rsidR="00285EF0" w:rsidRPr="0039389C" w14:paraId="248705AB" w14:textId="77777777" w:rsidTr="00285EF0">
        <w:trPr>
          <w:trHeight w:val="290"/>
        </w:trPr>
        <w:tc>
          <w:tcPr>
            <w:tcW w:w="9298" w:type="dxa"/>
            <w:shd w:val="clear" w:color="auto" w:fill="auto"/>
            <w:noWrap/>
            <w:vAlign w:val="bottom"/>
          </w:tcPr>
          <w:p w14:paraId="487751B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w:t>
            </w:r>
          </w:p>
        </w:tc>
      </w:tr>
      <w:tr w:rsidR="00285EF0" w:rsidRPr="0039389C" w14:paraId="42717818" w14:textId="77777777" w:rsidTr="00285EF0">
        <w:trPr>
          <w:trHeight w:val="290"/>
        </w:trPr>
        <w:tc>
          <w:tcPr>
            <w:tcW w:w="9298" w:type="dxa"/>
            <w:shd w:val="clear" w:color="auto" w:fill="auto"/>
            <w:noWrap/>
            <w:vAlign w:val="bottom"/>
          </w:tcPr>
          <w:p w14:paraId="6AF1345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 added vitamins B1, B2, B3, folate &amp; Fe</w:t>
            </w:r>
          </w:p>
        </w:tc>
      </w:tr>
      <w:tr w:rsidR="00285EF0" w:rsidRPr="0039389C" w14:paraId="5C2F452B" w14:textId="77777777" w:rsidTr="00285EF0">
        <w:trPr>
          <w:trHeight w:val="290"/>
        </w:trPr>
        <w:tc>
          <w:tcPr>
            <w:tcW w:w="9298" w:type="dxa"/>
            <w:shd w:val="clear" w:color="auto" w:fill="auto"/>
            <w:noWrap/>
            <w:vAlign w:val="bottom"/>
          </w:tcPr>
          <w:p w14:paraId="16191B0B"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 high fibre, added vitamins B1, B2, B3, B6, E, &amp; folate, Fe &amp; Zn</w:t>
            </w:r>
          </w:p>
        </w:tc>
      </w:tr>
      <w:tr w:rsidR="00285EF0" w:rsidRPr="0039389C" w14:paraId="125C1501" w14:textId="77777777" w:rsidTr="00285EF0">
        <w:trPr>
          <w:trHeight w:val="290"/>
        </w:trPr>
        <w:tc>
          <w:tcPr>
            <w:tcW w:w="9298" w:type="dxa"/>
            <w:shd w:val="clear" w:color="auto" w:fill="auto"/>
            <w:noWrap/>
            <w:vAlign w:val="bottom"/>
          </w:tcPr>
          <w:p w14:paraId="1C7D6A1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10% dried fruit &amp; 5% nuts</w:t>
            </w:r>
          </w:p>
        </w:tc>
      </w:tr>
      <w:tr w:rsidR="00285EF0" w:rsidRPr="0039389C" w14:paraId="6A5F3ECE" w14:textId="77777777" w:rsidTr="00285EF0">
        <w:trPr>
          <w:trHeight w:val="290"/>
        </w:trPr>
        <w:tc>
          <w:tcPr>
            <w:tcW w:w="9298" w:type="dxa"/>
            <w:shd w:val="clear" w:color="auto" w:fill="auto"/>
            <w:noWrap/>
            <w:vAlign w:val="bottom"/>
          </w:tcPr>
          <w:p w14:paraId="719E8B9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10% dried fruit &amp; 10% nuts</w:t>
            </w:r>
          </w:p>
        </w:tc>
      </w:tr>
      <w:tr w:rsidR="00285EF0" w:rsidRPr="0039389C" w14:paraId="143E86F7" w14:textId="77777777" w:rsidTr="00285EF0">
        <w:trPr>
          <w:trHeight w:val="290"/>
        </w:trPr>
        <w:tc>
          <w:tcPr>
            <w:tcW w:w="9298" w:type="dxa"/>
            <w:shd w:val="clear" w:color="auto" w:fill="auto"/>
            <w:noWrap/>
            <w:vAlign w:val="bottom"/>
          </w:tcPr>
          <w:p w14:paraId="62F9625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10% dried fruit &amp; 45% nuts, chocolate-coated</w:t>
            </w:r>
          </w:p>
        </w:tc>
      </w:tr>
      <w:tr w:rsidR="00285EF0" w:rsidRPr="0039389C" w14:paraId="647EBD7E" w14:textId="77777777" w:rsidTr="00285EF0">
        <w:trPr>
          <w:trHeight w:val="290"/>
        </w:trPr>
        <w:tc>
          <w:tcPr>
            <w:tcW w:w="9298" w:type="dxa"/>
            <w:shd w:val="clear" w:color="auto" w:fill="auto"/>
            <w:noWrap/>
            <w:vAlign w:val="bottom"/>
          </w:tcPr>
          <w:p w14:paraId="3DCC5FA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10% dried fruit &amp; 60% nuts</w:t>
            </w:r>
          </w:p>
        </w:tc>
      </w:tr>
      <w:tr w:rsidR="00285EF0" w:rsidRPr="0039389C" w14:paraId="2CDC6EA2" w14:textId="77777777" w:rsidTr="00285EF0">
        <w:trPr>
          <w:trHeight w:val="290"/>
        </w:trPr>
        <w:tc>
          <w:tcPr>
            <w:tcW w:w="9298" w:type="dxa"/>
            <w:shd w:val="clear" w:color="auto" w:fill="auto"/>
            <w:noWrap/>
            <w:vAlign w:val="bottom"/>
          </w:tcPr>
          <w:p w14:paraId="6D38889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10% dried fruit &amp; 60% nuts, yoghurt-coated</w:t>
            </w:r>
          </w:p>
        </w:tc>
      </w:tr>
      <w:tr w:rsidR="00285EF0" w:rsidRPr="0039389C" w14:paraId="7F64FBBB" w14:textId="77777777" w:rsidTr="00285EF0">
        <w:trPr>
          <w:trHeight w:val="290"/>
        </w:trPr>
        <w:tc>
          <w:tcPr>
            <w:tcW w:w="9298" w:type="dxa"/>
            <w:shd w:val="clear" w:color="auto" w:fill="auto"/>
            <w:noWrap/>
            <w:vAlign w:val="bottom"/>
          </w:tcPr>
          <w:p w14:paraId="1F8D00D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15% dried fruit &amp; 25% nuts, added vitamins B1, B2, B3, C &amp; folate, Fe, &amp; Zn</w:t>
            </w:r>
          </w:p>
        </w:tc>
      </w:tr>
      <w:tr w:rsidR="00285EF0" w:rsidRPr="0039389C" w14:paraId="6A8079EC" w14:textId="77777777" w:rsidTr="00285EF0">
        <w:trPr>
          <w:trHeight w:val="290"/>
        </w:trPr>
        <w:tc>
          <w:tcPr>
            <w:tcW w:w="9298" w:type="dxa"/>
            <w:shd w:val="clear" w:color="auto" w:fill="auto"/>
            <w:noWrap/>
            <w:vAlign w:val="bottom"/>
          </w:tcPr>
          <w:p w14:paraId="601A42C5"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20% dried fruit &amp; 5% nuts</w:t>
            </w:r>
          </w:p>
        </w:tc>
      </w:tr>
      <w:tr w:rsidR="00285EF0" w:rsidRPr="0039389C" w14:paraId="66940C13" w14:textId="77777777" w:rsidTr="00285EF0">
        <w:trPr>
          <w:trHeight w:val="290"/>
        </w:trPr>
        <w:tc>
          <w:tcPr>
            <w:tcW w:w="9298" w:type="dxa"/>
            <w:shd w:val="clear" w:color="auto" w:fill="auto"/>
            <w:noWrap/>
            <w:vAlign w:val="bottom"/>
          </w:tcPr>
          <w:p w14:paraId="5DD2445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20% dried fruit &amp; 20% nuts, chocolate base</w:t>
            </w:r>
          </w:p>
        </w:tc>
      </w:tr>
      <w:tr w:rsidR="00285EF0" w:rsidRPr="0039389C" w14:paraId="14C342C0" w14:textId="77777777" w:rsidTr="00285EF0">
        <w:trPr>
          <w:trHeight w:val="290"/>
        </w:trPr>
        <w:tc>
          <w:tcPr>
            <w:tcW w:w="9298" w:type="dxa"/>
            <w:shd w:val="clear" w:color="auto" w:fill="auto"/>
            <w:noWrap/>
            <w:vAlign w:val="bottom"/>
          </w:tcPr>
          <w:p w14:paraId="58A032A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30% dried fruit &amp; 30% nuts</w:t>
            </w:r>
          </w:p>
        </w:tc>
      </w:tr>
      <w:tr w:rsidR="00285EF0" w:rsidRPr="0039389C" w14:paraId="5736066F" w14:textId="77777777" w:rsidTr="00285EF0">
        <w:trPr>
          <w:trHeight w:val="290"/>
        </w:trPr>
        <w:tc>
          <w:tcPr>
            <w:tcW w:w="9298" w:type="dxa"/>
            <w:shd w:val="clear" w:color="auto" w:fill="auto"/>
            <w:noWrap/>
            <w:vAlign w:val="bottom"/>
          </w:tcPr>
          <w:p w14:paraId="21E487AF"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gluten free, with 20% dried fruit &amp; 20% seeds</w:t>
            </w:r>
          </w:p>
        </w:tc>
      </w:tr>
      <w:tr w:rsidR="00285EF0" w:rsidRPr="0039389C" w14:paraId="2ED85317" w14:textId="77777777" w:rsidTr="00285EF0">
        <w:trPr>
          <w:trHeight w:val="290"/>
        </w:trPr>
        <w:tc>
          <w:tcPr>
            <w:tcW w:w="9298" w:type="dxa"/>
            <w:shd w:val="clear" w:color="auto" w:fill="auto"/>
            <w:noWrap/>
            <w:vAlign w:val="bottom"/>
          </w:tcPr>
          <w:p w14:paraId="4EA1C390"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made from breakfast cereal with dried fruit</w:t>
            </w:r>
          </w:p>
        </w:tc>
      </w:tr>
      <w:tr w:rsidR="00285EF0" w:rsidRPr="0039389C" w14:paraId="42F29329" w14:textId="77777777" w:rsidTr="00285EF0">
        <w:trPr>
          <w:trHeight w:val="290"/>
        </w:trPr>
        <w:tc>
          <w:tcPr>
            <w:tcW w:w="9298" w:type="dxa"/>
            <w:shd w:val="clear" w:color="auto" w:fill="auto"/>
            <w:noWrap/>
            <w:vAlign w:val="bottom"/>
          </w:tcPr>
          <w:p w14:paraId="3BF862C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not further defined</w:t>
            </w:r>
          </w:p>
        </w:tc>
      </w:tr>
      <w:tr w:rsidR="00285EF0" w:rsidRPr="0039389C" w14:paraId="13F3EF2D" w14:textId="77777777" w:rsidTr="00285EF0">
        <w:trPr>
          <w:trHeight w:val="290"/>
        </w:trPr>
        <w:tc>
          <w:tcPr>
            <w:tcW w:w="9298" w:type="dxa"/>
            <w:shd w:val="clear" w:color="auto" w:fill="auto"/>
            <w:noWrap/>
            <w:vAlign w:val="bottom"/>
          </w:tcPr>
          <w:p w14:paraId="6F045313"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 chocolate-coated</w:t>
            </w:r>
          </w:p>
        </w:tc>
      </w:tr>
      <w:tr w:rsidR="00285EF0" w:rsidRPr="0039389C" w14:paraId="657AF5A7" w14:textId="77777777" w:rsidTr="00285EF0">
        <w:trPr>
          <w:trHeight w:val="290"/>
        </w:trPr>
        <w:tc>
          <w:tcPr>
            <w:tcW w:w="9298" w:type="dxa"/>
            <w:shd w:val="clear" w:color="auto" w:fill="auto"/>
            <w:noWrap/>
            <w:vAlign w:val="bottom"/>
          </w:tcPr>
          <w:p w14:paraId="102B3AC9"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 yoghurt-coated</w:t>
            </w:r>
          </w:p>
        </w:tc>
      </w:tr>
      <w:tr w:rsidR="00285EF0" w:rsidRPr="0039389C" w14:paraId="58C1708D" w14:textId="77777777" w:rsidTr="00285EF0">
        <w:trPr>
          <w:trHeight w:val="290"/>
        </w:trPr>
        <w:tc>
          <w:tcPr>
            <w:tcW w:w="9298" w:type="dxa"/>
            <w:shd w:val="clear" w:color="auto" w:fill="auto"/>
            <w:noWrap/>
            <w:vAlign w:val="bottom"/>
          </w:tcPr>
          <w:p w14:paraId="392EF032"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plain or with 10% dried fruit, yoghurt-coated, added vitamins B1, B2, B3, folate &amp; Fe</w:t>
            </w:r>
          </w:p>
        </w:tc>
      </w:tr>
      <w:tr w:rsidR="00285EF0" w:rsidRPr="0039389C" w14:paraId="10D89AE2" w14:textId="77777777" w:rsidTr="00285EF0">
        <w:trPr>
          <w:trHeight w:val="290"/>
        </w:trPr>
        <w:tc>
          <w:tcPr>
            <w:tcW w:w="9298" w:type="dxa"/>
            <w:shd w:val="clear" w:color="auto" w:fill="auto"/>
            <w:noWrap/>
            <w:vAlign w:val="bottom"/>
          </w:tcPr>
          <w:p w14:paraId="1007A884"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15% dried fruit &amp; 15% nuts, yoghurt-coated</w:t>
            </w:r>
          </w:p>
        </w:tc>
      </w:tr>
      <w:tr w:rsidR="00285EF0" w:rsidRPr="0039389C" w14:paraId="72056C04" w14:textId="77777777" w:rsidTr="00285EF0">
        <w:trPr>
          <w:trHeight w:val="290"/>
        </w:trPr>
        <w:tc>
          <w:tcPr>
            <w:tcW w:w="9298" w:type="dxa"/>
            <w:shd w:val="clear" w:color="auto" w:fill="auto"/>
            <w:noWrap/>
            <w:vAlign w:val="bottom"/>
          </w:tcPr>
          <w:p w14:paraId="60BA9C2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Bar, muesli or snack, with 30% dried fruit, yoghurt-coated, added vitamins B1, B2, B3, folate &amp; Fe</w:t>
            </w:r>
          </w:p>
        </w:tc>
      </w:tr>
      <w:tr w:rsidR="00285EF0" w:rsidRPr="0039389C" w14:paraId="0D603014" w14:textId="77777777" w:rsidTr="00285EF0">
        <w:trPr>
          <w:trHeight w:val="290"/>
        </w:trPr>
        <w:tc>
          <w:tcPr>
            <w:tcW w:w="9298" w:type="dxa"/>
            <w:shd w:val="clear" w:color="auto" w:fill="auto"/>
            <w:noWrap/>
            <w:vAlign w:val="bottom"/>
          </w:tcPr>
          <w:p w14:paraId="550DCC37"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Lolly, fruit flavoured, chewy</w:t>
            </w:r>
          </w:p>
        </w:tc>
      </w:tr>
      <w:tr w:rsidR="00285EF0" w:rsidRPr="0039389C" w14:paraId="168C983A" w14:textId="77777777" w:rsidTr="00285EF0">
        <w:trPr>
          <w:trHeight w:val="290"/>
        </w:trPr>
        <w:tc>
          <w:tcPr>
            <w:tcW w:w="9298" w:type="dxa"/>
            <w:shd w:val="clear" w:color="auto" w:fill="auto"/>
            <w:noWrap/>
            <w:vAlign w:val="bottom"/>
          </w:tcPr>
          <w:p w14:paraId="3E21176D"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Wine cooler, wine &amp; fruit juice blend, all flavours</w:t>
            </w:r>
          </w:p>
        </w:tc>
      </w:tr>
      <w:tr w:rsidR="00285EF0" w:rsidRPr="0039389C" w14:paraId="088E0AB2" w14:textId="77777777" w:rsidTr="00285EF0">
        <w:trPr>
          <w:trHeight w:val="290"/>
        </w:trPr>
        <w:tc>
          <w:tcPr>
            <w:tcW w:w="9298" w:type="dxa"/>
            <w:shd w:val="clear" w:color="auto" w:fill="auto"/>
            <w:noWrap/>
            <w:vAlign w:val="bottom"/>
          </w:tcPr>
          <w:p w14:paraId="2AB8A491" w14:textId="77777777" w:rsidR="00285EF0" w:rsidRPr="0039389C" w:rsidRDefault="00285EF0" w:rsidP="00285EF0">
            <w:pPr>
              <w:ind w:left="313" w:hanging="284"/>
              <w:rPr>
                <w:rFonts w:cs="Arial"/>
                <w:color w:val="000000"/>
                <w:sz w:val="20"/>
                <w:szCs w:val="20"/>
                <w:lang w:eastAsia="en-GB"/>
              </w:rPr>
            </w:pPr>
            <w:r w:rsidRPr="0039389C">
              <w:rPr>
                <w:rFonts w:cs="Arial"/>
                <w:color w:val="000000"/>
                <w:sz w:val="20"/>
                <w:szCs w:val="20"/>
                <w:lang w:eastAsia="en-GB"/>
              </w:rPr>
              <w:t>Protein drink, whey based, protein &gt;70%, fortified, prepared with juice</w:t>
            </w:r>
          </w:p>
        </w:tc>
      </w:tr>
    </w:tbl>
    <w:p w14:paraId="4C3D1519" w14:textId="77777777" w:rsidR="00285EF0" w:rsidRDefault="00285EF0" w:rsidP="00285EF0">
      <w:pPr>
        <w:widowControl/>
        <w:rPr>
          <w:rFonts w:eastAsiaTheme="majorEastAsia" w:cs="Arial"/>
          <w:b/>
          <w:bCs/>
          <w:sz w:val="28"/>
        </w:rPr>
      </w:pPr>
      <w:r>
        <w:br w:type="page"/>
      </w:r>
    </w:p>
    <w:p w14:paraId="5E5F3007" w14:textId="5FF22047" w:rsidR="00285EF0" w:rsidRPr="006A4234" w:rsidRDefault="00354E14" w:rsidP="00285EF0">
      <w:pPr>
        <w:pStyle w:val="Heading2"/>
      </w:pPr>
      <w:bookmarkStart w:id="1041" w:name="_Toc87860096"/>
      <w:r>
        <w:t>Appendix 6</w:t>
      </w:r>
      <w:r w:rsidRPr="00C839B6">
        <w:t xml:space="preserve"> – </w:t>
      </w:r>
      <w:r w:rsidR="00285EF0" w:rsidRPr="00CC016A">
        <w:t>Hepatitis</w:t>
      </w:r>
      <w:r w:rsidR="00285EF0" w:rsidRPr="003E5B44">
        <w:t xml:space="preserve"> A virus</w:t>
      </w:r>
      <w:r w:rsidR="00285EF0">
        <w:rPr>
          <w:rStyle w:val="FootnoteReference"/>
        </w:rPr>
        <w:footnoteReference w:id="29"/>
      </w:r>
      <w:bookmarkEnd w:id="1041"/>
    </w:p>
    <w:p w14:paraId="04C2757B" w14:textId="77777777" w:rsidR="00285EF0" w:rsidRPr="00502707" w:rsidRDefault="00285EF0" w:rsidP="00787E56">
      <w:pPr>
        <w:pStyle w:val="Heading3"/>
      </w:pPr>
      <w:bookmarkStart w:id="1042" w:name="_Toc66881430"/>
      <w:bookmarkStart w:id="1043" w:name="_Toc66883056"/>
      <w:bookmarkStart w:id="1044" w:name="_Toc87614458"/>
      <w:bookmarkStart w:id="1045" w:name="_Toc87860097"/>
      <w:r w:rsidRPr="00502707">
        <w:t>Hepatitis A virus</w:t>
      </w:r>
      <w:bookmarkEnd w:id="1042"/>
      <w:bookmarkEnd w:id="1043"/>
      <w:bookmarkEnd w:id="1044"/>
      <w:bookmarkEnd w:id="1045"/>
    </w:p>
    <w:p w14:paraId="3321A99B" w14:textId="77777777" w:rsidR="00285EF0" w:rsidRPr="00BD3E29" w:rsidRDefault="00285EF0" w:rsidP="00285EF0">
      <w:pPr>
        <w:rPr>
          <w:rFonts w:cs="Arial"/>
          <w:b/>
        </w:rPr>
      </w:pPr>
      <w:r w:rsidRPr="00BD3E29">
        <w:rPr>
          <w:rFonts w:cs="Arial"/>
        </w:rPr>
        <w:t>Hepatitis A virus (HAV) infects the liver, with disease characterised by liver inflammation and the development of jaundice. HAV infection can be asymptomatic (no clinical symptoms)</w:t>
      </w:r>
      <w:r>
        <w:rPr>
          <w:rFonts w:cs="Arial"/>
        </w:rPr>
        <w:t>,</w:t>
      </w:r>
      <w:r w:rsidRPr="00BD3E29">
        <w:rPr>
          <w:rFonts w:cs="Arial"/>
        </w:rPr>
        <w:t xml:space="preserve"> mild, or lead to severe </w:t>
      </w:r>
      <w:r>
        <w:rPr>
          <w:rFonts w:cs="Arial"/>
        </w:rPr>
        <w:t>illness in those with underlying liver disease</w:t>
      </w:r>
      <w:r w:rsidRPr="00BD3E29">
        <w:rPr>
          <w:rFonts w:cs="Arial"/>
        </w:rPr>
        <w:t xml:space="preserve">. Hepatitis A is endemic in many developing countries, while in developed countries sporadic </w:t>
      </w:r>
      <w:r>
        <w:rPr>
          <w:rFonts w:cs="Arial"/>
        </w:rPr>
        <w:t>cases</w:t>
      </w:r>
      <w:r w:rsidRPr="00BD3E29">
        <w:rPr>
          <w:rFonts w:cs="Arial"/>
        </w:rPr>
        <w:t xml:space="preserve"> occur. </w:t>
      </w:r>
    </w:p>
    <w:p w14:paraId="2D746272" w14:textId="77777777" w:rsidR="00285EF0" w:rsidRPr="00336CD8" w:rsidRDefault="00285EF0" w:rsidP="00787E56">
      <w:pPr>
        <w:pStyle w:val="Heading3"/>
      </w:pPr>
      <w:bookmarkStart w:id="1046" w:name="_Toc66881431"/>
      <w:bookmarkStart w:id="1047" w:name="_Toc66883057"/>
      <w:bookmarkStart w:id="1048" w:name="_Toc87614459"/>
      <w:bookmarkStart w:id="1049" w:name="_Toc87860098"/>
      <w:r w:rsidRPr="003E5B44">
        <w:t xml:space="preserve">Description of the </w:t>
      </w:r>
      <w:r w:rsidRPr="00CC016A">
        <w:t>organism</w:t>
      </w:r>
      <w:bookmarkEnd w:id="1046"/>
      <w:bookmarkEnd w:id="1047"/>
      <w:bookmarkEnd w:id="1048"/>
      <w:bookmarkEnd w:id="1049"/>
    </w:p>
    <w:p w14:paraId="64F17FA9" w14:textId="77777777" w:rsidR="00285EF0" w:rsidRDefault="00285EF0" w:rsidP="00285EF0">
      <w:pPr>
        <w:rPr>
          <w:rFonts w:cs="Arial"/>
        </w:rPr>
      </w:pPr>
      <w:r w:rsidRPr="00BD3E29">
        <w:rPr>
          <w:rFonts w:cs="Arial"/>
        </w:rPr>
        <w:t xml:space="preserve">HAV </w:t>
      </w:r>
      <w:r>
        <w:rPr>
          <w:rFonts w:cs="Arial"/>
        </w:rPr>
        <w:t>belongs to</w:t>
      </w:r>
      <w:r w:rsidRPr="00BD3E29">
        <w:rPr>
          <w:rFonts w:cs="Arial"/>
        </w:rPr>
        <w:t xml:space="preserve"> the </w:t>
      </w:r>
      <w:r w:rsidRPr="00792D6F">
        <w:rPr>
          <w:rFonts w:cs="Arial"/>
        </w:rPr>
        <w:t>Picornaviridae</w:t>
      </w:r>
      <w:r w:rsidRPr="00BD3E29">
        <w:rPr>
          <w:rFonts w:cs="Arial"/>
        </w:rPr>
        <w:t xml:space="preserve"> family of viruses </w:t>
      </w:r>
      <w:r>
        <w:rPr>
          <w:rFonts w:cs="Arial"/>
        </w:rPr>
        <w:t xml:space="preserve">and </w:t>
      </w:r>
      <w:r w:rsidRPr="00BD3E29">
        <w:rPr>
          <w:rFonts w:cs="Arial"/>
        </w:rPr>
        <w:t xml:space="preserve">the genus </w:t>
      </w:r>
      <w:r w:rsidRPr="00D839E7">
        <w:rPr>
          <w:rFonts w:cs="Arial"/>
          <w:i/>
        </w:rPr>
        <w:t>Hepatovirus</w:t>
      </w:r>
      <w:r w:rsidRPr="00BD3E29">
        <w:rPr>
          <w:rFonts w:cs="Arial"/>
        </w:rPr>
        <w:t xml:space="preserve">. The </w:t>
      </w:r>
      <w:r w:rsidRPr="00C952F5">
        <w:rPr>
          <w:rFonts w:cs="Arial"/>
          <w:i/>
        </w:rPr>
        <w:t>Picornaviridae</w:t>
      </w:r>
      <w:r w:rsidRPr="00BD3E29">
        <w:rPr>
          <w:rFonts w:cs="Arial"/>
        </w:rPr>
        <w:t xml:space="preserve"> family consists of small (25–28 nm) non-enveloped viruses which are generally more robust and survive better in the environment compared to enveloped viruses, such </w:t>
      </w:r>
      <w:r>
        <w:rPr>
          <w:rFonts w:cs="Arial"/>
        </w:rPr>
        <w:t xml:space="preserve">as </w:t>
      </w:r>
      <w:r w:rsidRPr="00BD3E29">
        <w:rPr>
          <w:rFonts w:cs="Arial"/>
        </w:rPr>
        <w:t>herpes</w:t>
      </w:r>
      <w:r>
        <w:rPr>
          <w:rFonts w:cs="Arial"/>
        </w:rPr>
        <w:t xml:space="preserve"> simplex </w:t>
      </w:r>
      <w:r w:rsidRPr="00BD3E29">
        <w:rPr>
          <w:rFonts w:cs="Arial"/>
        </w:rPr>
        <w:t>virus. HAV particles consist of a single strand of RNA contained within an icosahedral shaped protein shell</w:t>
      </w:r>
      <w:r>
        <w:rPr>
          <w:rFonts w:cs="Arial"/>
        </w:rPr>
        <w:t xml:space="preserve"> </w:t>
      </w:r>
      <w:r>
        <w:rPr>
          <w:rFonts w:cs="Arial"/>
          <w:noProof/>
        </w:rPr>
        <w:t>(Schoub 2003; Cook and Rzezutka 2006; Rozenberg et al. 2011).</w:t>
      </w:r>
    </w:p>
    <w:p w14:paraId="1FBB64D7" w14:textId="77777777" w:rsidR="00285EF0" w:rsidRPr="00BD3E29" w:rsidRDefault="00285EF0" w:rsidP="00285EF0">
      <w:pPr>
        <w:rPr>
          <w:rFonts w:cs="Arial"/>
        </w:rPr>
      </w:pPr>
    </w:p>
    <w:p w14:paraId="73185BE7" w14:textId="77777777" w:rsidR="00285EF0" w:rsidRPr="002F3191" w:rsidRDefault="00285EF0" w:rsidP="00285EF0">
      <w:pPr>
        <w:rPr>
          <w:rFonts w:cs="Arial"/>
        </w:rPr>
      </w:pPr>
      <w:r w:rsidRPr="00BD3E29">
        <w:rPr>
          <w:rFonts w:cs="Arial"/>
        </w:rPr>
        <w:t>HAV has one known serotype</w:t>
      </w:r>
      <w:r>
        <w:rPr>
          <w:rFonts w:cs="Arial"/>
        </w:rPr>
        <w:t xml:space="preserve"> and six genotypes (I–VI). Genotypes I–III have been associated with human illness, while genotypes IV–VI are found in Old World monkeys. </w:t>
      </w:r>
      <w:r w:rsidRPr="003B72B1">
        <w:rPr>
          <w:rFonts w:cs="Arial"/>
        </w:rPr>
        <w:t>Genotypes I–III are fu</w:t>
      </w:r>
      <w:r>
        <w:rPr>
          <w:rFonts w:cs="Arial"/>
        </w:rPr>
        <w:t>r</w:t>
      </w:r>
      <w:r w:rsidRPr="003B72B1">
        <w:rPr>
          <w:rFonts w:cs="Arial"/>
        </w:rPr>
        <w:t>ther divided into A and B</w:t>
      </w:r>
      <w:r>
        <w:rPr>
          <w:rFonts w:cs="Arial"/>
        </w:rPr>
        <w:t>.</w:t>
      </w:r>
      <w:r w:rsidRPr="003B72B1">
        <w:rPr>
          <w:rFonts w:cs="Arial"/>
        </w:rPr>
        <w:t xml:space="preserve"> </w:t>
      </w:r>
      <w:r>
        <w:rPr>
          <w:rFonts w:cs="Arial"/>
        </w:rPr>
        <w:t>The majority of human strains of HAV belong to genotype I or III</w:t>
      </w:r>
      <w:r w:rsidRPr="003B72B1">
        <w:rPr>
          <w:rFonts w:cs="Arial"/>
        </w:rPr>
        <w:t xml:space="preserve"> </w:t>
      </w:r>
      <w:r>
        <w:rPr>
          <w:rFonts w:cs="Arial"/>
          <w:noProof/>
        </w:rPr>
        <w:t>(Hollinger and Emerson 2007; FDA 2012)</w:t>
      </w:r>
      <w:r w:rsidRPr="003B72B1">
        <w:rPr>
          <w:rFonts w:cs="Arial"/>
        </w:rPr>
        <w:t xml:space="preserve">. Isolates from a particular HAV outbreak are usually of the same genotype </w:t>
      </w:r>
      <w:r w:rsidRPr="003B72B1">
        <w:rPr>
          <w:rFonts w:cs="Arial"/>
          <w:noProof/>
        </w:rPr>
        <w:t>(Normann et al. 2008)</w:t>
      </w:r>
      <w:r>
        <w:rPr>
          <w:rFonts w:cs="Arial"/>
        </w:rPr>
        <w:t>.</w:t>
      </w:r>
    </w:p>
    <w:p w14:paraId="088A97EB" w14:textId="77777777" w:rsidR="00285EF0" w:rsidRPr="00BD3E29" w:rsidRDefault="00285EF0" w:rsidP="00787E56">
      <w:pPr>
        <w:pStyle w:val="Heading3"/>
      </w:pPr>
      <w:bookmarkStart w:id="1050" w:name="_Toc66881432"/>
      <w:bookmarkStart w:id="1051" w:name="_Toc66883058"/>
      <w:bookmarkStart w:id="1052" w:name="_Toc87614460"/>
      <w:bookmarkStart w:id="1053" w:name="_Toc87860099"/>
      <w:r w:rsidRPr="003E5B44">
        <w:t>Growth and survival characteristics</w:t>
      </w:r>
      <w:bookmarkEnd w:id="1050"/>
      <w:bookmarkEnd w:id="1051"/>
      <w:bookmarkEnd w:id="1052"/>
      <w:bookmarkEnd w:id="1053"/>
    </w:p>
    <w:p w14:paraId="47F2D488" w14:textId="77777777" w:rsidR="00285EF0" w:rsidRPr="00BD3E29" w:rsidRDefault="00285EF0" w:rsidP="00285EF0">
      <w:pPr>
        <w:jc w:val="both"/>
        <w:rPr>
          <w:rFonts w:cs="Arial"/>
        </w:rPr>
      </w:pPr>
      <w:r w:rsidRPr="00BD3E29">
        <w:rPr>
          <w:rFonts w:cs="Arial"/>
        </w:rPr>
        <w:t xml:space="preserve">HAV requires specific living cells (host cells) in order to replicate. This means that the level of HAV in contaminated food will not increase during processing, transport or storage </w:t>
      </w:r>
      <w:r w:rsidRPr="00BD3E29">
        <w:rPr>
          <w:rFonts w:cs="Arial"/>
          <w:noProof/>
        </w:rPr>
        <w:t>(Koopmans and Duizer 2004)</w:t>
      </w:r>
      <w:r w:rsidRPr="00BD3E29">
        <w:rPr>
          <w:rFonts w:cs="Arial"/>
        </w:rPr>
        <w:t xml:space="preserve">. While not able to replicate outside the host, HAV has been shown to survive in the environment for extended periods of time </w:t>
      </w:r>
      <w:r>
        <w:rPr>
          <w:rFonts w:cs="Arial"/>
          <w:noProof/>
        </w:rPr>
        <w:t>(Schoub 2003; Cook and Rzezutka 2006)</w:t>
      </w:r>
      <w:r w:rsidRPr="00BD3E29">
        <w:rPr>
          <w:rFonts w:cs="Arial"/>
        </w:rPr>
        <w:t>. The survival of HAV is influenced by environmental factors such as temperature, pH, chemicals and food composition.</w:t>
      </w:r>
    </w:p>
    <w:p w14:paraId="49D04E28" w14:textId="77777777" w:rsidR="00285EF0" w:rsidRPr="00BD3E29" w:rsidRDefault="00285EF0" w:rsidP="00285EF0">
      <w:pPr>
        <w:rPr>
          <w:rFonts w:cs="Arial"/>
        </w:rPr>
      </w:pPr>
    </w:p>
    <w:p w14:paraId="57532BD2" w14:textId="77777777" w:rsidR="00285EF0" w:rsidRPr="00BD3E29" w:rsidRDefault="00285EF0" w:rsidP="00285EF0">
      <w:pPr>
        <w:rPr>
          <w:rFonts w:cs="Arial"/>
        </w:rPr>
      </w:pPr>
      <w:r w:rsidRPr="00BD3E29">
        <w:rPr>
          <w:rFonts w:cs="Arial"/>
        </w:rPr>
        <w:t>It has been demonstrated that under conditions simulating typical environmental exposure, HAV remains infectious after bein</w:t>
      </w:r>
      <w:r>
        <w:rPr>
          <w:rFonts w:cs="Arial"/>
        </w:rPr>
        <w:t>g dried and stored for 30 days</w:t>
      </w:r>
      <w:r w:rsidRPr="00BD3E29">
        <w:rPr>
          <w:rFonts w:cs="Arial"/>
        </w:rPr>
        <w:t xml:space="preserve"> </w:t>
      </w:r>
      <w:r w:rsidRPr="00BD3E29">
        <w:rPr>
          <w:rFonts w:cs="Arial"/>
          <w:noProof/>
        </w:rPr>
        <w:t>(McCaustland et al. 1982)</w:t>
      </w:r>
      <w:r w:rsidRPr="00BD3E29">
        <w:rPr>
          <w:rFonts w:cs="Arial"/>
        </w:rPr>
        <w:t xml:space="preserve">. HAV has also been shown to survive on various non-porous surfaces such as aluminium, china and latex for 60 days, however, it does not survive as well on porous materials </w:t>
      </w:r>
      <w:r w:rsidRPr="00BD3E29">
        <w:rPr>
          <w:rFonts w:cs="Arial"/>
          <w:noProof/>
        </w:rPr>
        <w:t>(Abad et al. 1994).</w:t>
      </w:r>
      <w:r w:rsidRPr="00BD3E29">
        <w:rPr>
          <w:rFonts w:cs="Arial"/>
        </w:rPr>
        <w:t xml:space="preserve"> A study by Mbithi et al</w:t>
      </w:r>
      <w:r w:rsidRPr="00BD3E29">
        <w:rPr>
          <w:rFonts w:cs="Arial"/>
          <w:i/>
        </w:rPr>
        <w:t>.</w:t>
      </w:r>
      <w:r w:rsidRPr="00BD3E29">
        <w:rPr>
          <w:rFonts w:cs="Arial"/>
        </w:rPr>
        <w:t xml:space="preserve"> </w:t>
      </w:r>
      <w:r w:rsidRPr="00BD3E29">
        <w:rPr>
          <w:rFonts w:cs="Arial"/>
          <w:noProof/>
        </w:rPr>
        <w:t>(1992)</w:t>
      </w:r>
      <w:r w:rsidRPr="00BD3E29">
        <w:rPr>
          <w:rFonts w:cs="Arial"/>
        </w:rPr>
        <w:t xml:space="preserve"> demonstrated that HAV survives and remains infectious on human hands after 4 hours and can be transferred between hands and inanimate surfaces. </w:t>
      </w:r>
    </w:p>
    <w:p w14:paraId="2CC50895" w14:textId="77777777" w:rsidR="00285EF0" w:rsidRPr="00BD3E29" w:rsidRDefault="00285EF0" w:rsidP="00285EF0">
      <w:pPr>
        <w:rPr>
          <w:rFonts w:cs="Arial"/>
        </w:rPr>
      </w:pPr>
    </w:p>
    <w:p w14:paraId="1DE7082F" w14:textId="77777777" w:rsidR="00285EF0" w:rsidRPr="00BD3E29" w:rsidRDefault="00285EF0" w:rsidP="00285EF0">
      <w:pPr>
        <w:rPr>
          <w:rFonts w:cs="Arial"/>
        </w:rPr>
      </w:pPr>
      <w:r w:rsidRPr="00BD3E29">
        <w:rPr>
          <w:rFonts w:cs="Arial"/>
        </w:rPr>
        <w:t xml:space="preserve">HAV has been shown to survive in fresh river water, seawater, groundwater and untreated tap water </w:t>
      </w:r>
      <w:r>
        <w:rPr>
          <w:rFonts w:cs="Arial"/>
          <w:noProof/>
        </w:rPr>
        <w:t>(Enriquez et al. 1995; Rzezutka and Cook 2004; Cook and Rzezutka 2006)</w:t>
      </w:r>
      <w:r>
        <w:rPr>
          <w:rFonts w:cs="Arial"/>
        </w:rPr>
        <w:t>. However, w</w:t>
      </w:r>
      <w:r w:rsidRPr="00BD3E29">
        <w:rPr>
          <w:rFonts w:cs="Arial"/>
        </w:rPr>
        <w:t>ithout a standard</w:t>
      </w:r>
      <w:r w:rsidRPr="00BD3E29">
        <w:rPr>
          <w:rFonts w:cs="Arial"/>
          <w:lang w:val="en-AU"/>
        </w:rPr>
        <w:t xml:space="preserve"> protocol </w:t>
      </w:r>
      <w:r>
        <w:rPr>
          <w:rFonts w:cs="Arial"/>
          <w:lang w:val="en-AU"/>
        </w:rPr>
        <w:t>to determine</w:t>
      </w:r>
      <w:r w:rsidRPr="00BD3E29">
        <w:rPr>
          <w:rFonts w:cs="Arial"/>
          <w:lang w:val="en-AU"/>
        </w:rPr>
        <w:t xml:space="preserve"> virus survival </w:t>
      </w:r>
      <w:r w:rsidRPr="00BD3E29">
        <w:rPr>
          <w:rFonts w:cs="Arial"/>
        </w:rPr>
        <w:t xml:space="preserve">it is difficult to compare </w:t>
      </w:r>
      <w:r>
        <w:rPr>
          <w:rFonts w:cs="Arial"/>
        </w:rPr>
        <w:t>the survival time of the virus in different environments</w:t>
      </w:r>
      <w:r w:rsidRPr="00BD3E29">
        <w:rPr>
          <w:rFonts w:cs="Arial"/>
        </w:rPr>
        <w:t xml:space="preserve">. </w:t>
      </w:r>
      <w:r>
        <w:rPr>
          <w:rFonts w:cs="Arial"/>
        </w:rPr>
        <w:t xml:space="preserve">An investigation </w:t>
      </w:r>
      <w:r w:rsidRPr="00BD3E29">
        <w:rPr>
          <w:rFonts w:cs="Arial"/>
        </w:rPr>
        <w:t>by Arnal et al</w:t>
      </w:r>
      <w:r w:rsidRPr="00BD3E29">
        <w:rPr>
          <w:rFonts w:cs="Arial"/>
          <w:i/>
        </w:rPr>
        <w:t>.</w:t>
      </w:r>
      <w:r w:rsidRPr="00BD3E29">
        <w:rPr>
          <w:rFonts w:cs="Arial"/>
        </w:rPr>
        <w:t xml:space="preserve"> </w:t>
      </w:r>
      <w:r w:rsidRPr="00BD3E29">
        <w:rPr>
          <w:rFonts w:cs="Arial"/>
          <w:noProof/>
        </w:rPr>
        <w:t>(1998)</w:t>
      </w:r>
      <w:r w:rsidRPr="00BD3E29">
        <w:rPr>
          <w:rFonts w:cs="Arial"/>
        </w:rPr>
        <w:t xml:space="preserve"> using artificial sterile seawater contaminated with HAV demonstrated that the genetic material of HAV was stable and remained in the water for 232 days, </w:t>
      </w:r>
      <w:r>
        <w:rPr>
          <w:rFonts w:cs="Arial"/>
        </w:rPr>
        <w:t xml:space="preserve">although </w:t>
      </w:r>
      <w:r w:rsidRPr="00BD3E29">
        <w:rPr>
          <w:rFonts w:cs="Arial"/>
        </w:rPr>
        <w:t>no infectious HAV particles were detected</w:t>
      </w:r>
      <w:r w:rsidRPr="001B1C19">
        <w:rPr>
          <w:rFonts w:cs="Arial"/>
        </w:rPr>
        <w:t xml:space="preserve"> </w:t>
      </w:r>
      <w:r w:rsidRPr="00BD3E29">
        <w:rPr>
          <w:rFonts w:cs="Arial"/>
        </w:rPr>
        <w:t>by 35 days. In general, survival of HAV in water is enhanced at lo</w:t>
      </w:r>
      <w:r>
        <w:rPr>
          <w:rFonts w:cs="Arial"/>
        </w:rPr>
        <w:t>w temperatures (&lt;4</w:t>
      </w:r>
      <w:r w:rsidRPr="00417956">
        <w:rPr>
          <w:rFonts w:cs="Arial"/>
        </w:rPr>
        <w:t>°</w:t>
      </w:r>
      <w:r w:rsidRPr="00BD3E29">
        <w:rPr>
          <w:rFonts w:cs="Arial"/>
        </w:rPr>
        <w:t xml:space="preserve">C) </w:t>
      </w:r>
      <w:r>
        <w:rPr>
          <w:rFonts w:cs="Arial"/>
          <w:noProof/>
        </w:rPr>
        <w:t>(Rzezutka and Cook 2004)</w:t>
      </w:r>
      <w:r w:rsidRPr="00BD3E29">
        <w:rPr>
          <w:rFonts w:cs="Arial"/>
        </w:rPr>
        <w:t xml:space="preserve">. </w:t>
      </w:r>
    </w:p>
    <w:p w14:paraId="4331B490" w14:textId="77777777" w:rsidR="00285EF0" w:rsidRPr="00BD3E29" w:rsidRDefault="00285EF0" w:rsidP="00285EF0">
      <w:pPr>
        <w:rPr>
          <w:rFonts w:cs="Arial"/>
        </w:rPr>
      </w:pPr>
    </w:p>
    <w:p w14:paraId="65F781B5" w14:textId="77777777" w:rsidR="00B36DA8" w:rsidRDefault="00B36DA8">
      <w:pPr>
        <w:widowControl/>
        <w:rPr>
          <w:rFonts w:cs="Arial"/>
        </w:rPr>
      </w:pPr>
      <w:r>
        <w:rPr>
          <w:rFonts w:cs="Arial"/>
        </w:rPr>
        <w:br w:type="page"/>
      </w:r>
    </w:p>
    <w:p w14:paraId="64E8C8B5" w14:textId="0FC0793B" w:rsidR="00285EF0" w:rsidRPr="00BD3E29" w:rsidRDefault="00285EF0" w:rsidP="00285EF0">
      <w:pPr>
        <w:rPr>
          <w:rFonts w:cs="Arial"/>
        </w:rPr>
      </w:pPr>
      <w:r w:rsidRPr="00BD3E29">
        <w:rPr>
          <w:rFonts w:cs="Arial"/>
        </w:rPr>
        <w:t xml:space="preserve">Croci et al. </w:t>
      </w:r>
      <w:r w:rsidRPr="00BD3E29">
        <w:rPr>
          <w:rFonts w:cs="Arial"/>
          <w:noProof/>
        </w:rPr>
        <w:t>(2002)</w:t>
      </w:r>
      <w:r w:rsidRPr="00BD3E29">
        <w:rPr>
          <w:rFonts w:cs="Arial"/>
        </w:rPr>
        <w:t xml:space="preserve"> demonstrated that when fresh produce was</w:t>
      </w:r>
      <w:r>
        <w:rPr>
          <w:rFonts w:cs="Arial"/>
        </w:rPr>
        <w:t xml:space="preserve"> stored at 4</w:t>
      </w:r>
      <w:r w:rsidRPr="00417956">
        <w:rPr>
          <w:rFonts w:cs="Arial"/>
        </w:rPr>
        <w:t>°</w:t>
      </w:r>
      <w:r w:rsidRPr="00BD3E29">
        <w:rPr>
          <w:rFonts w:cs="Arial"/>
        </w:rPr>
        <w:t>C</w:t>
      </w:r>
      <w:r>
        <w:rPr>
          <w:rFonts w:cs="Arial"/>
        </w:rPr>
        <w:t>,</w:t>
      </w:r>
      <w:r w:rsidRPr="00BD3E29">
        <w:rPr>
          <w:rFonts w:cs="Arial"/>
        </w:rPr>
        <w:t xml:space="preserve"> HAV survived and remained infective on</w:t>
      </w:r>
      <w:r>
        <w:rPr>
          <w:rFonts w:cs="Arial"/>
        </w:rPr>
        <w:t>:</w:t>
      </w:r>
      <w:r w:rsidRPr="00BD3E29">
        <w:rPr>
          <w:rFonts w:cs="Arial"/>
        </w:rPr>
        <w:t xml:space="preserve"> carrots for 4 days, fennel for 7 days and on lettuce for the study duration of 9 days. The differing survival rates observed on fresh produce may be due to the difference in surface texture of the produce and the presence of anti-</w:t>
      </w:r>
      <w:r>
        <w:rPr>
          <w:rFonts w:cs="Arial"/>
        </w:rPr>
        <w:t>viral</w:t>
      </w:r>
      <w:r w:rsidR="00DB681B">
        <w:rPr>
          <w:rFonts w:cs="Arial"/>
        </w:rPr>
        <w:t xml:space="preserve"> substances. Shieh </w:t>
      </w:r>
      <w:r w:rsidRPr="00BD3E29">
        <w:rPr>
          <w:rFonts w:cs="Arial"/>
        </w:rPr>
        <w:t xml:space="preserve">et al. </w:t>
      </w:r>
      <w:r w:rsidRPr="00BD3E29">
        <w:rPr>
          <w:rFonts w:cs="Arial"/>
          <w:noProof/>
        </w:rPr>
        <w:t>(2009)</w:t>
      </w:r>
      <w:r w:rsidRPr="00BD3E29">
        <w:rPr>
          <w:rFonts w:cs="Arial"/>
        </w:rPr>
        <w:t xml:space="preserve"> showed that</w:t>
      </w:r>
      <w:r>
        <w:rPr>
          <w:rFonts w:cs="Arial"/>
        </w:rPr>
        <w:t xml:space="preserve"> when spinach was stored at 5.4</w:t>
      </w:r>
      <w:r w:rsidRPr="00417956">
        <w:rPr>
          <w:rFonts w:cs="Arial"/>
        </w:rPr>
        <w:t>°</w:t>
      </w:r>
      <w:r>
        <w:rPr>
          <w:rFonts w:cs="Arial"/>
        </w:rPr>
        <w:t xml:space="preserve">C a 1 </w:t>
      </w:r>
      <w:r w:rsidRPr="00BD3E29">
        <w:rPr>
          <w:rFonts w:cs="Arial"/>
        </w:rPr>
        <w:t>log</w:t>
      </w:r>
      <w:r w:rsidRPr="00666318">
        <w:rPr>
          <w:rFonts w:cs="Arial"/>
          <w:vertAlign w:val="subscript"/>
        </w:rPr>
        <w:t>10</w:t>
      </w:r>
      <w:r w:rsidRPr="00BD3E29">
        <w:rPr>
          <w:rFonts w:cs="Arial"/>
        </w:rPr>
        <w:t xml:space="preserve"> reduction in the level of HAV o</w:t>
      </w:r>
      <w:r>
        <w:rPr>
          <w:rFonts w:cs="Arial"/>
        </w:rPr>
        <w:t xml:space="preserve">ccurred over a 28.6 day period. </w:t>
      </w:r>
      <w:r w:rsidRPr="00BD3E29">
        <w:rPr>
          <w:rFonts w:cs="Arial"/>
        </w:rPr>
        <w:t>These studies imply that HAV can persist under normal domestic storage conditions</w:t>
      </w:r>
      <w:r>
        <w:rPr>
          <w:rFonts w:cs="Arial"/>
        </w:rPr>
        <w:t xml:space="preserve"> for extended periods of time</w:t>
      </w:r>
      <w:r w:rsidRPr="00BD3E29">
        <w:rPr>
          <w:rFonts w:cs="Arial"/>
        </w:rPr>
        <w:t xml:space="preserve">. </w:t>
      </w:r>
    </w:p>
    <w:p w14:paraId="5168C422" w14:textId="77777777" w:rsidR="00285EF0" w:rsidRPr="00BD3E29" w:rsidRDefault="00285EF0" w:rsidP="00285EF0">
      <w:pPr>
        <w:rPr>
          <w:rFonts w:cs="Arial"/>
        </w:rPr>
      </w:pPr>
    </w:p>
    <w:p w14:paraId="3B393A46" w14:textId="77777777" w:rsidR="00285EF0" w:rsidRPr="00BD3E29" w:rsidRDefault="00285EF0" w:rsidP="00285EF0">
      <w:pPr>
        <w:rPr>
          <w:rFonts w:cs="Arial"/>
        </w:rPr>
      </w:pPr>
      <w:r w:rsidRPr="007A08E9">
        <w:rPr>
          <w:rFonts w:cs="Arial"/>
        </w:rPr>
        <w:t xml:space="preserve">Chemical and physical factors can affect the heat resistance of HAV. Deboose et al. </w:t>
      </w:r>
      <w:r w:rsidRPr="007A08E9">
        <w:rPr>
          <w:rFonts w:cs="Arial"/>
          <w:noProof/>
        </w:rPr>
        <w:t>(2004)</w:t>
      </w:r>
      <w:r w:rsidRPr="007A08E9">
        <w:rPr>
          <w:rFonts w:cs="Arial"/>
        </w:rPr>
        <w:t xml:space="preserve"> investigated the inactivation of HAV in strawberry puree and found that increasing the sucrose concentration resulted in increased heat resistance of HAV. Conversely, lowering the pH was found to decrease the heat resistance of HAV. Changing the calcium concentrati</w:t>
      </w:r>
      <w:r>
        <w:rPr>
          <w:rFonts w:cs="Arial"/>
        </w:rPr>
        <w:t xml:space="preserve">on had no effect. </w:t>
      </w:r>
      <w:r w:rsidRPr="007A08E9">
        <w:rPr>
          <w:rFonts w:cs="Arial"/>
        </w:rPr>
        <w:t xml:space="preserve">Bidawid et al. </w:t>
      </w:r>
      <w:r w:rsidRPr="007A08E9">
        <w:rPr>
          <w:rFonts w:cs="Arial"/>
          <w:noProof/>
        </w:rPr>
        <w:t>(2000b)</w:t>
      </w:r>
      <w:r w:rsidRPr="007A08E9">
        <w:rPr>
          <w:rFonts w:cs="Arial"/>
        </w:rPr>
        <w:t xml:space="preserve"> demonstrated that increases in fat content also increased the heat resistance of HAV. Dairy products with higher fat content required longer times of exposure to heat than lower fat products to achieve the same level of HAV reduction.</w:t>
      </w:r>
      <w:r w:rsidRPr="00BD3E29">
        <w:rPr>
          <w:rFonts w:cs="Arial"/>
        </w:rPr>
        <w:t xml:space="preserve"> </w:t>
      </w:r>
    </w:p>
    <w:p w14:paraId="1D7D54D1" w14:textId="77777777" w:rsidR="00285EF0" w:rsidRPr="00BD3E29" w:rsidRDefault="00285EF0" w:rsidP="00285EF0">
      <w:pPr>
        <w:rPr>
          <w:rFonts w:cs="Arial"/>
        </w:rPr>
      </w:pPr>
    </w:p>
    <w:p w14:paraId="6C2B910B" w14:textId="77777777" w:rsidR="00285EF0" w:rsidRPr="00BD3E29" w:rsidRDefault="00285EF0" w:rsidP="00285EF0">
      <w:pPr>
        <w:rPr>
          <w:rFonts w:cs="Arial"/>
        </w:rPr>
      </w:pPr>
      <w:r w:rsidRPr="00BD3E29">
        <w:rPr>
          <w:rFonts w:cs="Arial"/>
        </w:rPr>
        <w:t>HAV has been found to be res</w:t>
      </w:r>
      <w:r>
        <w:rPr>
          <w:rFonts w:cs="Arial"/>
        </w:rPr>
        <w:t>istant to temperatures up to 60</w:t>
      </w:r>
      <w:r w:rsidRPr="00417956">
        <w:rPr>
          <w:rFonts w:cs="Arial"/>
        </w:rPr>
        <w:t>°</w:t>
      </w:r>
      <w:r w:rsidRPr="00BD3E29">
        <w:rPr>
          <w:rFonts w:cs="Arial"/>
        </w:rPr>
        <w:t>C.</w:t>
      </w:r>
      <w:r>
        <w:rPr>
          <w:rFonts w:cs="Arial"/>
        </w:rPr>
        <w:t xml:space="preserve"> </w:t>
      </w:r>
      <w:r w:rsidRPr="00BD3E29">
        <w:rPr>
          <w:rFonts w:cs="Arial"/>
        </w:rPr>
        <w:t>The temperature at which 50% of HAV particles disintegrate an</w:t>
      </w:r>
      <w:r>
        <w:rPr>
          <w:rFonts w:cs="Arial"/>
        </w:rPr>
        <w:t>d release their viral RNA is 61</w:t>
      </w:r>
      <w:r w:rsidRPr="00417956">
        <w:rPr>
          <w:rFonts w:cs="Arial"/>
        </w:rPr>
        <w:t>°</w:t>
      </w:r>
      <w:r>
        <w:rPr>
          <w:rFonts w:cs="Arial"/>
        </w:rPr>
        <w:t>C (10 minutes</w:t>
      </w:r>
      <w:r w:rsidRPr="00BD3E29">
        <w:rPr>
          <w:rFonts w:cs="Arial"/>
        </w:rPr>
        <w:t>). When stabilised by 1 mol/L MgCl</w:t>
      </w:r>
      <w:r w:rsidRPr="00BD3E29">
        <w:rPr>
          <w:rFonts w:cs="Arial"/>
          <w:vertAlign w:val="subscript"/>
        </w:rPr>
        <w:t>2</w:t>
      </w:r>
      <w:r w:rsidRPr="00BD3E29">
        <w:rPr>
          <w:rFonts w:cs="Arial"/>
        </w:rPr>
        <w:t>, 50% dis</w:t>
      </w:r>
      <w:r>
        <w:rPr>
          <w:rFonts w:cs="Arial"/>
        </w:rPr>
        <w:t>integration of HAV occurs at 81</w:t>
      </w:r>
      <w:r w:rsidRPr="00417956">
        <w:rPr>
          <w:rFonts w:cs="Arial"/>
        </w:rPr>
        <w:t>°</w:t>
      </w:r>
      <w:r w:rsidRPr="00BD3E29">
        <w:rPr>
          <w:rFonts w:cs="Arial"/>
        </w:rPr>
        <w:t>C</w:t>
      </w:r>
      <w:r>
        <w:rPr>
          <w:rFonts w:cs="Arial"/>
        </w:rPr>
        <w:t xml:space="preserve"> </w:t>
      </w:r>
      <w:r>
        <w:rPr>
          <w:rFonts w:cs="Arial"/>
          <w:noProof/>
        </w:rPr>
        <w:t>(Hollinger and Emerson 2007)</w:t>
      </w:r>
      <w:r w:rsidRPr="00BD3E29">
        <w:rPr>
          <w:rFonts w:cs="Arial"/>
        </w:rPr>
        <w:t>. In food, complete inactivation of HAV has been observed</w:t>
      </w:r>
      <w:r>
        <w:rPr>
          <w:rFonts w:cs="Arial"/>
        </w:rPr>
        <w:t xml:space="preserve"> in shellfish when heated to 85</w:t>
      </w:r>
      <w:r w:rsidRPr="00417956">
        <w:rPr>
          <w:rFonts w:cs="Arial"/>
        </w:rPr>
        <w:t>°</w:t>
      </w:r>
      <w:r>
        <w:rPr>
          <w:rFonts w:cs="Arial"/>
        </w:rPr>
        <w:t>C for 3 minutes or 95</w:t>
      </w:r>
      <w:r w:rsidRPr="00417956">
        <w:rPr>
          <w:rFonts w:cs="Arial"/>
        </w:rPr>
        <w:t>°</w:t>
      </w:r>
      <w:r w:rsidRPr="00BD3E29">
        <w:rPr>
          <w:rFonts w:cs="Arial"/>
        </w:rPr>
        <w:t xml:space="preserve">C for 2 minutes </w:t>
      </w:r>
      <w:r w:rsidRPr="00BD3E29">
        <w:rPr>
          <w:rFonts w:cs="Arial"/>
          <w:noProof/>
        </w:rPr>
        <w:t>(Millard et al. 1987).</w:t>
      </w:r>
      <w:r w:rsidRPr="00BD3E29">
        <w:rPr>
          <w:rFonts w:cs="Arial"/>
        </w:rPr>
        <w:t xml:space="preserve"> These conditions are known to inactivate HAV in shellfish while maintaining a commercially acceptable product </w:t>
      </w:r>
      <w:r w:rsidRPr="00BD3E29">
        <w:rPr>
          <w:rFonts w:cs="Arial"/>
          <w:noProof/>
        </w:rPr>
        <w:t xml:space="preserve">(Appleton 2000). </w:t>
      </w:r>
      <w:r w:rsidRPr="00BD3E29">
        <w:rPr>
          <w:rFonts w:cs="Arial"/>
        </w:rPr>
        <w:t>Fo</w:t>
      </w:r>
      <w:r>
        <w:rPr>
          <w:rFonts w:cs="Arial"/>
        </w:rPr>
        <w:t>r milk and cream, heating to 85</w:t>
      </w:r>
      <w:r w:rsidRPr="00417956">
        <w:rPr>
          <w:rFonts w:cs="Arial"/>
        </w:rPr>
        <w:t>°</w:t>
      </w:r>
      <w:r w:rsidRPr="00BD3E29">
        <w:rPr>
          <w:rFonts w:cs="Arial"/>
        </w:rPr>
        <w:t>C for 30 sec</w:t>
      </w:r>
      <w:r>
        <w:rPr>
          <w:rFonts w:cs="Arial"/>
        </w:rPr>
        <w:t xml:space="preserve">onds is sufficient to cause a 5 </w:t>
      </w:r>
      <w:r w:rsidRPr="00BD3E29">
        <w:rPr>
          <w:rFonts w:cs="Arial"/>
        </w:rPr>
        <w:t>log</w:t>
      </w:r>
      <w:r w:rsidRPr="003D097D">
        <w:rPr>
          <w:rFonts w:cs="Arial"/>
          <w:vertAlign w:val="subscript"/>
        </w:rPr>
        <w:t>10</w:t>
      </w:r>
      <w:r w:rsidRPr="00BD3E29">
        <w:rPr>
          <w:rFonts w:cs="Arial"/>
        </w:rPr>
        <w:t xml:space="preserve"> reduction in HAV titre </w:t>
      </w:r>
      <w:r>
        <w:rPr>
          <w:rFonts w:cs="Arial"/>
          <w:noProof/>
        </w:rPr>
        <w:t>(Bidawid et al. 2000b)</w:t>
      </w:r>
      <w:r w:rsidRPr="00BD3E29">
        <w:rPr>
          <w:rFonts w:cs="Arial"/>
        </w:rPr>
        <w:t>.</w:t>
      </w:r>
    </w:p>
    <w:p w14:paraId="5E6838E6" w14:textId="77777777" w:rsidR="00285EF0" w:rsidRPr="00BD3E29" w:rsidRDefault="00285EF0" w:rsidP="00285EF0">
      <w:pPr>
        <w:rPr>
          <w:rFonts w:cs="Arial"/>
        </w:rPr>
      </w:pPr>
    </w:p>
    <w:p w14:paraId="5F5BAA97" w14:textId="77777777" w:rsidR="00285EF0" w:rsidRPr="00BD3E29" w:rsidRDefault="00285EF0" w:rsidP="00285EF0">
      <w:pPr>
        <w:rPr>
          <w:rFonts w:cs="Arial"/>
        </w:rPr>
      </w:pPr>
      <w:r w:rsidRPr="00BD3E29">
        <w:rPr>
          <w:rFonts w:cs="Arial"/>
        </w:rPr>
        <w:t xml:space="preserve">Low temperature has little effect on HAV survival. Butot et al. </w:t>
      </w:r>
      <w:r w:rsidRPr="00BD3E29">
        <w:rPr>
          <w:rFonts w:cs="Arial"/>
          <w:noProof/>
        </w:rPr>
        <w:t>(2008)</w:t>
      </w:r>
      <w:r w:rsidRPr="00BD3E29">
        <w:rPr>
          <w:rFonts w:cs="Arial"/>
        </w:rPr>
        <w:t xml:space="preserve"> showed that frozen storage of HAV contaminated berries and herbs had little effect on HAV survival over the study period of 3 months.</w:t>
      </w:r>
    </w:p>
    <w:p w14:paraId="5AAC574B" w14:textId="77777777" w:rsidR="00285EF0" w:rsidRPr="00BD3E29" w:rsidRDefault="00285EF0" w:rsidP="00285EF0">
      <w:pPr>
        <w:rPr>
          <w:rFonts w:cs="Arial"/>
        </w:rPr>
      </w:pPr>
    </w:p>
    <w:p w14:paraId="209DBC6D" w14:textId="77777777" w:rsidR="00285EF0" w:rsidRPr="002F3191" w:rsidRDefault="00285EF0" w:rsidP="00285EF0">
      <w:pPr>
        <w:rPr>
          <w:rFonts w:cs="Arial"/>
        </w:rPr>
      </w:pPr>
      <w:r w:rsidRPr="00BD3E29">
        <w:rPr>
          <w:rFonts w:cs="Arial"/>
        </w:rPr>
        <w:t xml:space="preserve">HAV is highly resistant to acidic conditions and solvents. Scholz et al. </w:t>
      </w:r>
      <w:r w:rsidRPr="00BD3E29">
        <w:rPr>
          <w:rFonts w:cs="Arial"/>
          <w:noProof/>
        </w:rPr>
        <w:t>(1989)</w:t>
      </w:r>
      <w:r w:rsidRPr="00BD3E29">
        <w:rPr>
          <w:rFonts w:cs="Arial"/>
        </w:rPr>
        <w:t xml:space="preserve"> </w:t>
      </w:r>
      <w:r>
        <w:rPr>
          <w:rFonts w:cs="Arial"/>
        </w:rPr>
        <w:t>demonstrated that at pH 1 (24</w:t>
      </w:r>
      <w:r w:rsidRPr="00417956">
        <w:rPr>
          <w:rFonts w:cs="Arial"/>
        </w:rPr>
        <w:t>°</w:t>
      </w:r>
      <w:r w:rsidRPr="00BD3E29">
        <w:rPr>
          <w:rFonts w:cs="Arial"/>
        </w:rPr>
        <w:t>C) HAV retained high infectivity after 2 hours and was s</w:t>
      </w:r>
      <w:r>
        <w:rPr>
          <w:rFonts w:cs="Arial"/>
        </w:rPr>
        <w:t xml:space="preserve">till infectious after </w:t>
      </w:r>
      <w:r>
        <w:rPr>
          <w:rFonts w:cs="Arial"/>
        </w:rPr>
        <w:br/>
        <w:t xml:space="preserve">5 hours. </w:t>
      </w:r>
      <w:r w:rsidRPr="00BD3E29">
        <w:rPr>
          <w:rFonts w:cs="Arial"/>
        </w:rPr>
        <w:t>Under conditions that simulate the a</w:t>
      </w:r>
      <w:r>
        <w:rPr>
          <w:rFonts w:cs="Arial"/>
        </w:rPr>
        <w:t>cidity of the human stomach (38</w:t>
      </w:r>
      <w:r w:rsidRPr="00417956">
        <w:rPr>
          <w:rFonts w:cs="Arial"/>
        </w:rPr>
        <w:t>°</w:t>
      </w:r>
      <w:r w:rsidRPr="00BD3E29">
        <w:rPr>
          <w:rFonts w:cs="Arial"/>
        </w:rPr>
        <w:t>C, pH 1) HAV remained infectious for 90 min</w:t>
      </w:r>
      <w:r>
        <w:rPr>
          <w:rFonts w:cs="Arial"/>
        </w:rPr>
        <w:t>utes</w:t>
      </w:r>
      <w:r w:rsidRPr="00BD3E29">
        <w:rPr>
          <w:rFonts w:cs="Arial"/>
        </w:rPr>
        <w:t>. Also, being a non-enveloped virus, HAV is resistant to solvents such as 20% ether and chloroform (</w:t>
      </w:r>
      <w:r>
        <w:rPr>
          <w:rFonts w:cs="Arial"/>
        </w:rPr>
        <w:t>ether destroys the envelop of some viruses</w:t>
      </w:r>
      <w:r w:rsidRPr="00BD3E29">
        <w:rPr>
          <w:rFonts w:cs="Arial"/>
        </w:rPr>
        <w:t>)</w:t>
      </w:r>
      <w:r>
        <w:rPr>
          <w:rFonts w:cs="Arial"/>
        </w:rPr>
        <w:t xml:space="preserve"> </w:t>
      </w:r>
      <w:r>
        <w:rPr>
          <w:rFonts w:cs="Arial"/>
          <w:noProof/>
        </w:rPr>
        <w:t>(Hollinger and Emerson 2007)</w:t>
      </w:r>
      <w:r w:rsidRPr="00BD3E29">
        <w:rPr>
          <w:rFonts w:cs="Arial"/>
          <w:noProof/>
        </w:rPr>
        <w:t>.</w:t>
      </w:r>
    </w:p>
    <w:p w14:paraId="5E5275D1" w14:textId="77777777" w:rsidR="00285EF0" w:rsidRPr="00336CD8" w:rsidRDefault="00285EF0" w:rsidP="00787E56">
      <w:pPr>
        <w:pStyle w:val="Heading3"/>
      </w:pPr>
      <w:bookmarkStart w:id="1054" w:name="_Toc66881433"/>
      <w:bookmarkStart w:id="1055" w:name="_Toc66883059"/>
      <w:bookmarkStart w:id="1056" w:name="_Toc87614461"/>
      <w:bookmarkStart w:id="1057" w:name="_Toc87860100"/>
      <w:r w:rsidRPr="003E5B44">
        <w:t>Symptoms of disease</w:t>
      </w:r>
      <w:bookmarkEnd w:id="1054"/>
      <w:bookmarkEnd w:id="1055"/>
      <w:bookmarkEnd w:id="1056"/>
      <w:bookmarkEnd w:id="1057"/>
    </w:p>
    <w:p w14:paraId="1C7EB310" w14:textId="77777777" w:rsidR="00285EF0" w:rsidRPr="00EB3FAC" w:rsidRDefault="00285EF0" w:rsidP="00285EF0">
      <w:pPr>
        <w:rPr>
          <w:rFonts w:cs="Arial"/>
        </w:rPr>
      </w:pPr>
      <w:r w:rsidRPr="00BD3E29">
        <w:rPr>
          <w:rFonts w:cs="Arial"/>
        </w:rPr>
        <w:t xml:space="preserve">HAV infection often causes mild illness in humans, or results in no clinical disease at all. In children this is particularly common, with </w:t>
      </w:r>
      <w:r>
        <w:rPr>
          <w:rFonts w:cs="Arial"/>
        </w:rPr>
        <w:t xml:space="preserve">most </w:t>
      </w:r>
      <w:r w:rsidRPr="00094350">
        <w:rPr>
          <w:rFonts w:cs="Arial"/>
        </w:rPr>
        <w:t xml:space="preserve">children under 6 years of age showing no symptoms (asymptomatic infection) </w:t>
      </w:r>
      <w:r w:rsidRPr="00094350">
        <w:rPr>
          <w:rFonts w:cs="Arial"/>
          <w:noProof/>
        </w:rPr>
        <w:t>(FDA 2012).</w:t>
      </w:r>
      <w:r w:rsidRPr="00094350">
        <w:rPr>
          <w:rFonts w:cs="Arial"/>
        </w:rPr>
        <w:t xml:space="preserve"> For those individuals in which clinical disease occurs, initial symptoms include sudden onset of fever, nausea, anorexia, malaise, </w:t>
      </w:r>
      <w:r w:rsidRPr="00EB3FAC">
        <w:rPr>
          <w:rFonts w:cs="Arial"/>
        </w:rPr>
        <w:t>vomiting, diarrhoea, abdominal pain, myalgia (muscular pain) and headache. The initial symptoms tend to abate with the onset of jaundice (yellowing of the skin and eyes and a browning of urine due to stimulation of bile pigment production) and pale clay coloured stools</w:t>
      </w:r>
      <w:r>
        <w:rPr>
          <w:rFonts w:cs="Arial"/>
        </w:rPr>
        <w:t>. Children with symptomatic infection usually develop flu-like symptoms without jaundice</w:t>
      </w:r>
      <w:r w:rsidRPr="00EB3FAC">
        <w:rPr>
          <w:rFonts w:cs="Arial"/>
        </w:rPr>
        <w:t xml:space="preserve"> </w:t>
      </w:r>
      <w:r>
        <w:rPr>
          <w:rFonts w:cs="Arial"/>
          <w:noProof/>
        </w:rPr>
        <w:t>(Brundage and Fitzpatrick 2006; Hollinger and Emerson 2007; FDA 2012)</w:t>
      </w:r>
      <w:r w:rsidRPr="00EB3FAC">
        <w:rPr>
          <w:rFonts w:cs="Arial"/>
        </w:rPr>
        <w:t>.</w:t>
      </w:r>
    </w:p>
    <w:p w14:paraId="43A82203" w14:textId="77777777" w:rsidR="00285EF0" w:rsidRPr="00EB3FAC" w:rsidRDefault="00285EF0" w:rsidP="00285EF0">
      <w:pPr>
        <w:rPr>
          <w:rFonts w:cs="Arial"/>
        </w:rPr>
      </w:pPr>
    </w:p>
    <w:p w14:paraId="242DA595" w14:textId="77777777" w:rsidR="00285EF0" w:rsidRPr="00BD3E29" w:rsidRDefault="00285EF0" w:rsidP="00285EF0">
      <w:pPr>
        <w:rPr>
          <w:rFonts w:cs="Arial"/>
        </w:rPr>
      </w:pPr>
      <w:r w:rsidRPr="006132CB">
        <w:rPr>
          <w:rFonts w:cs="Arial"/>
        </w:rPr>
        <w:t xml:space="preserve">Most patients show complete recovery from symptoms within 3–6 months of the onset of illness. The fatality rate for HAV is approximately 2.4%, with </w:t>
      </w:r>
      <w:r>
        <w:rPr>
          <w:rFonts w:cs="Arial"/>
        </w:rPr>
        <w:t>death</w:t>
      </w:r>
      <w:r w:rsidRPr="006132CB">
        <w:rPr>
          <w:rFonts w:cs="Arial"/>
        </w:rPr>
        <w:t xml:space="preserve"> more likely to occur in the elderly. Acute liver failure due to severe HAV infection has been reported in children; however, it is more frequent in middle-aged and older people and those with underlying chronic liver disease. Acute liver failure is also a rare complication of HAV infection during pregnancy</w:t>
      </w:r>
      <w:r w:rsidRPr="00BD3E29">
        <w:rPr>
          <w:rFonts w:cs="Arial"/>
        </w:rPr>
        <w:t xml:space="preserve"> </w:t>
      </w:r>
      <w:r>
        <w:rPr>
          <w:rFonts w:cs="Arial"/>
          <w:noProof/>
        </w:rPr>
        <w:t>(Koff 1998; FDA 2012)</w:t>
      </w:r>
      <w:r>
        <w:rPr>
          <w:rFonts w:cs="Arial"/>
        </w:rPr>
        <w:t>.</w:t>
      </w:r>
    </w:p>
    <w:p w14:paraId="6288E1B5" w14:textId="1ED42EB9" w:rsidR="00285EF0" w:rsidRPr="00BD3E29" w:rsidRDefault="00285EF0" w:rsidP="00285EF0">
      <w:pPr>
        <w:rPr>
          <w:rFonts w:cs="Arial"/>
        </w:rPr>
      </w:pPr>
      <w:r w:rsidRPr="00BD3E29">
        <w:rPr>
          <w:rFonts w:cs="Arial"/>
        </w:rPr>
        <w:t>The incubation peri</w:t>
      </w:r>
      <w:r>
        <w:rPr>
          <w:rFonts w:cs="Arial"/>
        </w:rPr>
        <w:t>od before onset of disease is 15</w:t>
      </w:r>
      <w:r w:rsidRPr="00BD3E29">
        <w:rPr>
          <w:rFonts w:cs="Arial"/>
        </w:rPr>
        <w:t>–50 days (mean time of 30 days)</w:t>
      </w:r>
      <w:r>
        <w:rPr>
          <w:rFonts w:cs="Arial"/>
        </w:rPr>
        <w:t xml:space="preserve"> </w:t>
      </w:r>
      <w:r w:rsidR="00DB681B">
        <w:rPr>
          <w:rFonts w:cs="Arial"/>
          <w:noProof/>
        </w:rPr>
        <w:t>(FDA </w:t>
      </w:r>
      <w:r>
        <w:rPr>
          <w:rFonts w:cs="Arial"/>
          <w:noProof/>
        </w:rPr>
        <w:t>2012)</w:t>
      </w:r>
      <w:r w:rsidRPr="00BD3E29">
        <w:rPr>
          <w:rFonts w:cs="Arial"/>
        </w:rPr>
        <w:t xml:space="preserve">. HAV is shed in the faeces of infected individuals for up to 2 weeks before the onset of illness. HAV is present in the blood at the same time as viral shedding starts occurring. The virus disappears from the blood </w:t>
      </w:r>
      <w:r>
        <w:rPr>
          <w:rFonts w:cs="Arial"/>
        </w:rPr>
        <w:t xml:space="preserve">shortly after </w:t>
      </w:r>
      <w:r w:rsidRPr="00BD3E29">
        <w:rPr>
          <w:rFonts w:cs="Arial"/>
        </w:rPr>
        <w:t>symptoms of disease start, while faecal shedding of th</w:t>
      </w:r>
      <w:r>
        <w:rPr>
          <w:rFonts w:cs="Arial"/>
        </w:rPr>
        <w:t xml:space="preserve">e virus continues for another </w:t>
      </w:r>
      <w:r w:rsidRPr="00BD3E29">
        <w:rPr>
          <w:rFonts w:cs="Arial"/>
        </w:rPr>
        <w:t xml:space="preserve">2 weeks </w:t>
      </w:r>
      <w:r>
        <w:rPr>
          <w:rFonts w:cs="Arial"/>
          <w:noProof/>
        </w:rPr>
        <w:t>(Cook and Rzezutka 2006; Hollinger and Emerson 2007)</w:t>
      </w:r>
      <w:r>
        <w:rPr>
          <w:rFonts w:cs="Arial"/>
        </w:rPr>
        <w:t>.</w:t>
      </w:r>
    </w:p>
    <w:p w14:paraId="3847CA99" w14:textId="77777777" w:rsidR="00285EF0" w:rsidRPr="00BD3E29" w:rsidRDefault="00285EF0" w:rsidP="00285EF0">
      <w:pPr>
        <w:rPr>
          <w:rFonts w:cs="Arial"/>
        </w:rPr>
      </w:pPr>
    </w:p>
    <w:p w14:paraId="3534345D" w14:textId="77777777" w:rsidR="00285EF0" w:rsidRPr="00533114" w:rsidRDefault="00285EF0" w:rsidP="00285EF0">
      <w:pPr>
        <w:rPr>
          <w:rFonts w:cs="Arial"/>
        </w:rPr>
      </w:pPr>
      <w:r>
        <w:rPr>
          <w:rFonts w:cs="Arial"/>
        </w:rPr>
        <w:t xml:space="preserve">In 3–20% of cases relapses occur, generally with milder symptoms and HAV </w:t>
      </w:r>
      <w:r w:rsidRPr="00BD3E29">
        <w:rPr>
          <w:rFonts w:cs="Arial"/>
        </w:rPr>
        <w:t>be</w:t>
      </w:r>
      <w:r>
        <w:rPr>
          <w:rFonts w:cs="Arial"/>
        </w:rPr>
        <w:t>ing</w:t>
      </w:r>
      <w:r w:rsidRPr="00BD3E29">
        <w:rPr>
          <w:rFonts w:cs="Arial"/>
        </w:rPr>
        <w:t xml:space="preserve"> shed in the faeces. Multiple relapses</w:t>
      </w:r>
      <w:r>
        <w:rPr>
          <w:rFonts w:cs="Arial"/>
        </w:rPr>
        <w:t xml:space="preserve"> can occur </w:t>
      </w:r>
      <w:r>
        <w:rPr>
          <w:rFonts w:cs="Arial"/>
          <w:noProof/>
        </w:rPr>
        <w:t>(Hollinger and Emerson 2007)</w:t>
      </w:r>
      <w:r w:rsidRPr="00BD3E29">
        <w:rPr>
          <w:rFonts w:cs="Arial"/>
          <w:noProof/>
        </w:rPr>
        <w:t>.</w:t>
      </w:r>
      <w:r>
        <w:rPr>
          <w:rFonts w:cs="Arial"/>
        </w:rPr>
        <w:t xml:space="preserve"> </w:t>
      </w:r>
    </w:p>
    <w:p w14:paraId="2EC99307" w14:textId="77777777" w:rsidR="00285EF0" w:rsidRPr="00336CD8" w:rsidRDefault="00285EF0" w:rsidP="00787E56">
      <w:pPr>
        <w:pStyle w:val="Heading3"/>
      </w:pPr>
      <w:bookmarkStart w:id="1058" w:name="_Toc66881434"/>
      <w:bookmarkStart w:id="1059" w:name="_Toc66883060"/>
      <w:bookmarkStart w:id="1060" w:name="_Toc87614462"/>
      <w:bookmarkStart w:id="1061" w:name="_Toc87860101"/>
      <w:r w:rsidRPr="003E5B44">
        <w:t>Virulence and infectivity</w:t>
      </w:r>
      <w:bookmarkEnd w:id="1058"/>
      <w:bookmarkEnd w:id="1059"/>
      <w:bookmarkEnd w:id="1060"/>
      <w:bookmarkEnd w:id="1061"/>
    </w:p>
    <w:p w14:paraId="061A32B6" w14:textId="77777777" w:rsidR="00285EF0" w:rsidRPr="00533114" w:rsidRDefault="00285EF0" w:rsidP="00285EF0">
      <w:pPr>
        <w:rPr>
          <w:rFonts w:cs="Arial"/>
        </w:rPr>
      </w:pPr>
      <w:r w:rsidRPr="00BD3E29">
        <w:rPr>
          <w:rFonts w:cs="Arial"/>
        </w:rPr>
        <w:t xml:space="preserve">The target organ of HAV is the liver. HAV is initially ingested, infects the intestinal tract and is then transported to the liver via the bloodstream. In the liver, HAV attaches to receptors on the surface of the hepatocytes, enters these cells and replicates. Replication of HAV within the hepatocytes is not believed to result in immediate cell damage; this is thought to occur subsequent to replication and release of the virus. The host’s immune response is responsible for destroying the HAV infected cells. As a consequence of this pathological damage the liver becomes inflamed </w:t>
      </w:r>
      <w:r>
        <w:rPr>
          <w:rFonts w:cs="Arial"/>
          <w:noProof/>
        </w:rPr>
        <w:t>(WHO 2000; Schoub 2003; Cook and Rzezutka 2006)</w:t>
      </w:r>
      <w:r w:rsidRPr="00BD3E29">
        <w:rPr>
          <w:rFonts w:cs="Arial"/>
          <w:noProof/>
        </w:rPr>
        <w:t xml:space="preserve">. </w:t>
      </w:r>
      <w:r w:rsidRPr="00BD3E29">
        <w:rPr>
          <w:rFonts w:cs="Arial"/>
        </w:rPr>
        <w:t xml:space="preserve">Released viral particles enter the bile duct and pass into the gastrointestinal tract to be shed in the faeces </w:t>
      </w:r>
      <w:r>
        <w:rPr>
          <w:rFonts w:cs="Arial"/>
          <w:noProof/>
        </w:rPr>
        <w:t>(Cook and Rzezutka 2006)</w:t>
      </w:r>
      <w:r w:rsidRPr="00BD3E29">
        <w:rPr>
          <w:rFonts w:cs="Arial"/>
          <w:noProof/>
        </w:rPr>
        <w:t>.</w:t>
      </w:r>
      <w:r w:rsidRPr="00BD3E29">
        <w:rPr>
          <w:rFonts w:cs="Arial"/>
        </w:rPr>
        <w:t xml:space="preserve"> The resistance of HAV to inactivation by bile and intestinal proteolytic enzymes allows the virus to be shed in the faeces and facilitates faecal-oral transmission </w:t>
      </w:r>
      <w:r>
        <w:rPr>
          <w:rFonts w:cs="Arial"/>
          <w:noProof/>
        </w:rPr>
        <w:t>(Koff 1998)</w:t>
      </w:r>
      <w:r w:rsidRPr="00BD3E29">
        <w:rPr>
          <w:rFonts w:cs="Arial"/>
          <w:noProof/>
        </w:rPr>
        <w:t>.</w:t>
      </w:r>
    </w:p>
    <w:p w14:paraId="36182850" w14:textId="77777777" w:rsidR="00285EF0" w:rsidRPr="00336CD8" w:rsidRDefault="00285EF0" w:rsidP="00787E56">
      <w:pPr>
        <w:pStyle w:val="Heading3"/>
      </w:pPr>
      <w:bookmarkStart w:id="1062" w:name="_Toc66881435"/>
      <w:bookmarkStart w:id="1063" w:name="_Toc66883061"/>
      <w:bookmarkStart w:id="1064" w:name="_Toc87614463"/>
      <w:bookmarkStart w:id="1065" w:name="_Toc87860102"/>
      <w:r w:rsidRPr="003E5B44">
        <w:t>Mode of transmission</w:t>
      </w:r>
      <w:bookmarkEnd w:id="1062"/>
      <w:bookmarkEnd w:id="1063"/>
      <w:bookmarkEnd w:id="1064"/>
      <w:bookmarkEnd w:id="1065"/>
    </w:p>
    <w:p w14:paraId="57CF67BE" w14:textId="77777777" w:rsidR="00285EF0" w:rsidRPr="00BD3E29" w:rsidRDefault="00285EF0" w:rsidP="00285EF0">
      <w:pPr>
        <w:rPr>
          <w:rFonts w:cs="Arial"/>
        </w:rPr>
      </w:pPr>
      <w:r w:rsidRPr="00BD3E29">
        <w:rPr>
          <w:rFonts w:cs="Arial"/>
        </w:rPr>
        <w:t xml:space="preserve">HAV is transmitted via the faecal-oral route by either person-to-person contact or consumption of contaminated food or water </w:t>
      </w:r>
      <w:r w:rsidRPr="00BD3E29">
        <w:rPr>
          <w:rFonts w:cs="Arial"/>
          <w:noProof/>
        </w:rPr>
        <w:t xml:space="preserve">(Guillois-Becel et al. 2009). </w:t>
      </w:r>
      <w:r w:rsidRPr="00BD3E29">
        <w:rPr>
          <w:rFonts w:cs="Arial"/>
        </w:rPr>
        <w:t xml:space="preserve">Person-to-person transmission </w:t>
      </w:r>
      <w:r>
        <w:rPr>
          <w:rFonts w:cs="Arial"/>
        </w:rPr>
        <w:t>can involve</w:t>
      </w:r>
      <w:r w:rsidRPr="00BD3E29">
        <w:rPr>
          <w:rFonts w:cs="Arial"/>
        </w:rPr>
        <w:t xml:space="preserve"> young children with unrecognised HAV infection (asymptomatic infection)</w:t>
      </w:r>
      <w:r>
        <w:rPr>
          <w:rFonts w:cs="Arial"/>
        </w:rPr>
        <w:t xml:space="preserve"> </w:t>
      </w:r>
      <w:r>
        <w:rPr>
          <w:rFonts w:cs="Arial"/>
          <w:noProof/>
        </w:rPr>
        <w:t>(Brundage and Fitzpatrick 2006)</w:t>
      </w:r>
      <w:r>
        <w:rPr>
          <w:rFonts w:cs="Arial"/>
        </w:rPr>
        <w:t>.</w:t>
      </w:r>
    </w:p>
    <w:p w14:paraId="4ACBC654" w14:textId="77777777" w:rsidR="00285EF0" w:rsidRPr="00BD3E29" w:rsidRDefault="00285EF0" w:rsidP="00285EF0">
      <w:pPr>
        <w:rPr>
          <w:rFonts w:cs="Arial"/>
        </w:rPr>
      </w:pPr>
    </w:p>
    <w:p w14:paraId="06846A59" w14:textId="77777777" w:rsidR="00285EF0" w:rsidRPr="00BD3E29" w:rsidRDefault="00285EF0" w:rsidP="00285EF0">
      <w:pPr>
        <w:rPr>
          <w:rFonts w:cs="Arial"/>
        </w:rPr>
      </w:pPr>
      <w:r w:rsidRPr="00BD3E29">
        <w:rPr>
          <w:rFonts w:cs="Arial"/>
        </w:rPr>
        <w:t xml:space="preserve">In contrast to person-to-person transmission, outbreaks of HAV infections usually result from faecal contamination of a single source of food or water. Foods may become contaminated in their growing areas </w:t>
      </w:r>
      <w:r>
        <w:rPr>
          <w:rFonts w:cs="Arial"/>
        </w:rPr>
        <w:t xml:space="preserve">(e.g. shellfish), or during irrigation (e.g. crops), </w:t>
      </w:r>
      <w:r w:rsidRPr="00BD3E29">
        <w:rPr>
          <w:rFonts w:cs="Arial"/>
        </w:rPr>
        <w:t>usually by coming into con</w:t>
      </w:r>
      <w:r>
        <w:rPr>
          <w:rFonts w:cs="Arial"/>
        </w:rPr>
        <w:t>tact with sewage polluted water. Food</w:t>
      </w:r>
      <w:r w:rsidRPr="00BD3E29">
        <w:rPr>
          <w:rFonts w:cs="Arial"/>
        </w:rPr>
        <w:t xml:space="preserve"> can</w:t>
      </w:r>
      <w:r>
        <w:rPr>
          <w:rFonts w:cs="Arial"/>
        </w:rPr>
        <w:t xml:space="preserve"> also</w:t>
      </w:r>
      <w:r w:rsidRPr="00BD3E29">
        <w:rPr>
          <w:rFonts w:cs="Arial"/>
        </w:rPr>
        <w:t xml:space="preserve"> be contami</w:t>
      </w:r>
      <w:r>
        <w:rPr>
          <w:rFonts w:cs="Arial"/>
        </w:rPr>
        <w:t>nated by infected food handlers</w:t>
      </w:r>
      <w:r w:rsidRPr="00BD3E29">
        <w:rPr>
          <w:rFonts w:cs="Arial"/>
          <w:noProof/>
        </w:rPr>
        <w:t>.</w:t>
      </w:r>
      <w:r w:rsidRPr="00BD3E29">
        <w:rPr>
          <w:rFonts w:cs="Arial"/>
        </w:rPr>
        <w:t xml:space="preserve"> Infected food handlers may contaminate foods directly or contaminate surfaces on which foods are prepared. A major issue with infected food handlers is that they are often unaware they constitute a hazard, as most of the faecal shedding of HAV occurs prior to the onset of clinical symptoms </w:t>
      </w:r>
      <w:r>
        <w:rPr>
          <w:rFonts w:cs="Arial"/>
          <w:noProof/>
        </w:rPr>
        <w:t>(Cook and Rzezutka 2006; Hollinger and Emerson 2007)</w:t>
      </w:r>
      <w:r w:rsidRPr="00BD3E29">
        <w:rPr>
          <w:rFonts w:cs="Arial"/>
          <w:noProof/>
        </w:rPr>
        <w:t xml:space="preserve">. </w:t>
      </w:r>
      <w:r w:rsidRPr="00BD3E29">
        <w:rPr>
          <w:rFonts w:cs="Arial"/>
        </w:rPr>
        <w:t xml:space="preserve">Food establishments with poor sanitary conditions and inadequate treatment and/or disposal of human waste (sewage), along with unsatisfactory manufacturing practices may also contribute to food contamination </w:t>
      </w:r>
      <w:r w:rsidRPr="00BD3E29">
        <w:rPr>
          <w:rFonts w:cs="Arial"/>
          <w:noProof/>
        </w:rPr>
        <w:t>(Sattar et al. 2000).</w:t>
      </w:r>
    </w:p>
    <w:p w14:paraId="20F0860A" w14:textId="77777777" w:rsidR="00285EF0" w:rsidRPr="00BD3E29" w:rsidRDefault="00285EF0" w:rsidP="00285EF0">
      <w:pPr>
        <w:rPr>
          <w:rFonts w:cs="Arial"/>
        </w:rPr>
      </w:pPr>
    </w:p>
    <w:p w14:paraId="4652FFD4" w14:textId="77777777" w:rsidR="00285EF0" w:rsidRPr="00747D19" w:rsidRDefault="00285EF0" w:rsidP="00285EF0">
      <w:pPr>
        <w:rPr>
          <w:rFonts w:cs="Arial"/>
        </w:rPr>
      </w:pPr>
      <w:r w:rsidRPr="00BD3E29">
        <w:rPr>
          <w:rFonts w:cs="Arial"/>
        </w:rPr>
        <w:t xml:space="preserve">Travel to areas in which HAV is endemic from low prevalence areas is known to be a risk </w:t>
      </w:r>
      <w:r w:rsidRPr="00747D19">
        <w:rPr>
          <w:rFonts w:cs="Arial"/>
        </w:rPr>
        <w:t xml:space="preserve">factor for HAV infection. The likelihood of becoming infected with HAV depends on local hygienic and sanitary conditions, which vary from country to country </w:t>
      </w:r>
      <w:r w:rsidRPr="00747D19">
        <w:rPr>
          <w:rFonts w:cs="Arial"/>
          <w:noProof/>
        </w:rPr>
        <w:t>(Koff 1998).</w:t>
      </w:r>
      <w:r w:rsidRPr="00747D19">
        <w:rPr>
          <w:rFonts w:cs="Arial"/>
        </w:rPr>
        <w:t xml:space="preserve"> </w:t>
      </w:r>
      <w:r>
        <w:rPr>
          <w:rFonts w:cs="Arial"/>
        </w:rPr>
        <w:t>In 2010, 55.1</w:t>
      </w:r>
      <w:r w:rsidRPr="00747D19">
        <w:rPr>
          <w:rFonts w:cs="Arial"/>
        </w:rPr>
        <w:t>% of HAV cases reported in A</w:t>
      </w:r>
      <w:r>
        <w:rPr>
          <w:rFonts w:cs="Arial"/>
        </w:rPr>
        <w:t xml:space="preserve">ustralia were acquired overseas </w:t>
      </w:r>
      <w:r>
        <w:rPr>
          <w:rFonts w:cs="Arial"/>
          <w:noProof/>
        </w:rPr>
        <w:t>(OzFoodNet 2012)</w:t>
      </w:r>
      <w:r>
        <w:rPr>
          <w:rFonts w:cs="Arial"/>
        </w:rPr>
        <w:t>.</w:t>
      </w:r>
    </w:p>
    <w:p w14:paraId="792D4BD1" w14:textId="77777777" w:rsidR="00285EF0" w:rsidRPr="00747D19" w:rsidRDefault="00285EF0" w:rsidP="00285EF0">
      <w:pPr>
        <w:rPr>
          <w:rFonts w:cs="Arial"/>
        </w:rPr>
      </w:pPr>
    </w:p>
    <w:p w14:paraId="59C28F07" w14:textId="77777777" w:rsidR="00285EF0" w:rsidRDefault="00285EF0" w:rsidP="00285EF0">
      <w:pPr>
        <w:rPr>
          <w:rFonts w:cs="Arial"/>
        </w:rPr>
      </w:pPr>
      <w:r w:rsidRPr="00747D19">
        <w:rPr>
          <w:rFonts w:cs="Arial"/>
        </w:rPr>
        <w:t>HAV transmission through blood and blood products is rare.</w:t>
      </w:r>
      <w:r>
        <w:rPr>
          <w:rFonts w:cs="Arial"/>
        </w:rPr>
        <w:t xml:space="preserve"> While</w:t>
      </w:r>
      <w:r w:rsidRPr="00747D19">
        <w:rPr>
          <w:rFonts w:cs="Arial"/>
        </w:rPr>
        <w:t xml:space="preserve"> HAV is present in th</w:t>
      </w:r>
      <w:r>
        <w:rPr>
          <w:rFonts w:cs="Arial"/>
        </w:rPr>
        <w:t xml:space="preserve">e blood of infected individuals, </w:t>
      </w:r>
      <w:r w:rsidRPr="00747D19">
        <w:rPr>
          <w:rFonts w:cs="Arial"/>
        </w:rPr>
        <w:t>this is only for approximately a 2 week period. However, post-transfusion HAV infection has occurred, as have outbreaks of HAV in haemophiliacs who received contaminated blood plasma-derived factor VIII concentrate</w:t>
      </w:r>
      <w:r>
        <w:rPr>
          <w:rFonts w:cs="Arial"/>
        </w:rPr>
        <w:t xml:space="preserve"> </w:t>
      </w:r>
      <w:r>
        <w:rPr>
          <w:rFonts w:cs="Arial"/>
          <w:noProof/>
        </w:rPr>
        <w:t>(Mannucci et al. 1994; Hollinger and Emerson 2007)</w:t>
      </w:r>
      <w:r>
        <w:rPr>
          <w:rFonts w:cs="Arial"/>
        </w:rPr>
        <w:t>.</w:t>
      </w:r>
    </w:p>
    <w:p w14:paraId="17F5F45C" w14:textId="77777777" w:rsidR="00285EF0" w:rsidRPr="00533114" w:rsidRDefault="00285EF0" w:rsidP="00285EF0">
      <w:pPr>
        <w:rPr>
          <w:rFonts w:cs="Arial"/>
        </w:rPr>
      </w:pPr>
    </w:p>
    <w:p w14:paraId="51AC27B7" w14:textId="77777777" w:rsidR="00285EF0" w:rsidRPr="00336CD8" w:rsidRDefault="00285EF0" w:rsidP="00787E56">
      <w:pPr>
        <w:pStyle w:val="Heading3"/>
      </w:pPr>
      <w:bookmarkStart w:id="1066" w:name="_Toc66881436"/>
      <w:bookmarkStart w:id="1067" w:name="_Toc66883062"/>
      <w:bookmarkStart w:id="1068" w:name="_Toc87614464"/>
      <w:bookmarkStart w:id="1069" w:name="_Toc87860103"/>
      <w:r w:rsidRPr="003E5B44">
        <w:t xml:space="preserve">Incidence of illness and </w:t>
      </w:r>
      <w:r w:rsidRPr="002F3191">
        <w:t>outbreak</w:t>
      </w:r>
      <w:r w:rsidRPr="003E5B44">
        <w:t xml:space="preserve"> data</w:t>
      </w:r>
      <w:bookmarkEnd w:id="1066"/>
      <w:bookmarkEnd w:id="1067"/>
      <w:bookmarkEnd w:id="1068"/>
      <w:bookmarkEnd w:id="1069"/>
    </w:p>
    <w:p w14:paraId="547C7D75" w14:textId="77777777" w:rsidR="00285EF0" w:rsidRPr="00747D19" w:rsidRDefault="00285EF0" w:rsidP="00285EF0">
      <w:pPr>
        <w:rPr>
          <w:rFonts w:cs="Arial"/>
        </w:rPr>
      </w:pPr>
      <w:r w:rsidRPr="00747D19">
        <w:rPr>
          <w:rFonts w:cs="Arial"/>
        </w:rPr>
        <w:t xml:space="preserve">HAV has a worldwide distribution; however, the prevalence of infection is related to the quality of the water supply, level of sanitation and the age of the individual when infected. In most developing countries, where HAV infection is endemic, the majority of people are infected in early childhood and virtually all adults are immune. In developed countries, HAV infections are less common due to improved sanitation. As a result very few people are infected in early childhood and the majority of adults remain susceptible to infection. Hence in </w:t>
      </w:r>
      <w:r>
        <w:rPr>
          <w:rFonts w:cs="Arial"/>
        </w:rPr>
        <w:t>developed</w:t>
      </w:r>
      <w:r w:rsidRPr="00747D19">
        <w:rPr>
          <w:rFonts w:cs="Arial"/>
        </w:rPr>
        <w:t xml:space="preserve"> countries the risk of epidemics and the occurrence of severe disease may increase as the majority of people infected during an outbreak would be adults (children are often asymptomatic) </w:t>
      </w:r>
      <w:r w:rsidRPr="00747D19">
        <w:rPr>
          <w:rFonts w:cs="Arial"/>
          <w:noProof/>
        </w:rPr>
        <w:t>(Conaty et al. 2000; Issa and Mourad 2001; Koopmans and Duizer 2004).</w:t>
      </w:r>
    </w:p>
    <w:p w14:paraId="46E5D383" w14:textId="77777777" w:rsidR="00285EF0" w:rsidRPr="00747D19" w:rsidRDefault="00285EF0" w:rsidP="00285EF0">
      <w:pPr>
        <w:rPr>
          <w:rFonts w:cs="Arial"/>
        </w:rPr>
      </w:pPr>
    </w:p>
    <w:p w14:paraId="79F0128A" w14:textId="77777777" w:rsidR="00285EF0" w:rsidRPr="00311D28" w:rsidRDefault="00285EF0" w:rsidP="00285EF0">
      <w:pPr>
        <w:rPr>
          <w:rFonts w:cs="Arial"/>
        </w:rPr>
      </w:pPr>
      <w:r w:rsidRPr="00747D19">
        <w:rPr>
          <w:rFonts w:cs="Arial"/>
        </w:rPr>
        <w:t>Hepatitis A is a notifiable disease in all Australian states and territories. The incidence of HAV infection notified in Australia in 201</w:t>
      </w:r>
      <w:r>
        <w:rPr>
          <w:rFonts w:cs="Arial"/>
        </w:rPr>
        <w:t>2</w:t>
      </w:r>
      <w:r w:rsidRPr="00747D19">
        <w:rPr>
          <w:rFonts w:cs="Arial"/>
        </w:rPr>
        <w:t xml:space="preserve"> was </w:t>
      </w:r>
      <w:r>
        <w:rPr>
          <w:rFonts w:cs="Arial"/>
        </w:rPr>
        <w:t>0.7</w:t>
      </w:r>
      <w:r w:rsidRPr="00747D19">
        <w:rPr>
          <w:rFonts w:cs="Arial"/>
        </w:rPr>
        <w:t xml:space="preserve"> cases per 100,000 population </w:t>
      </w:r>
      <w:r>
        <w:rPr>
          <w:rFonts w:cs="Arial"/>
        </w:rPr>
        <w:br/>
      </w:r>
      <w:r w:rsidRPr="00747D19">
        <w:rPr>
          <w:rFonts w:cs="Arial"/>
        </w:rPr>
        <w:t>(</w:t>
      </w:r>
      <w:r>
        <w:rPr>
          <w:rFonts w:cs="Arial"/>
        </w:rPr>
        <w:t>164</w:t>
      </w:r>
      <w:r w:rsidRPr="00747D19">
        <w:rPr>
          <w:rFonts w:cs="Arial"/>
        </w:rPr>
        <w:t xml:space="preserve"> cases). This </w:t>
      </w:r>
      <w:r>
        <w:rPr>
          <w:rFonts w:cs="Arial"/>
        </w:rPr>
        <w:t>was</w:t>
      </w:r>
      <w:r w:rsidRPr="00747D19">
        <w:rPr>
          <w:rFonts w:cs="Arial"/>
        </w:rPr>
        <w:t xml:space="preserve"> a </w:t>
      </w:r>
      <w:r>
        <w:rPr>
          <w:rFonts w:cs="Arial"/>
        </w:rPr>
        <w:t>decrease</w:t>
      </w:r>
      <w:r w:rsidRPr="00747D19">
        <w:rPr>
          <w:rFonts w:cs="Arial"/>
        </w:rPr>
        <w:t xml:space="preserve"> from the previous 5 year mean of 1.</w:t>
      </w:r>
      <w:r>
        <w:rPr>
          <w:rFonts w:cs="Arial"/>
        </w:rPr>
        <w:t>3</w:t>
      </w:r>
      <w:r w:rsidRPr="00747D19">
        <w:rPr>
          <w:rFonts w:cs="Arial"/>
        </w:rPr>
        <w:t xml:space="preserve"> cases per </w:t>
      </w:r>
      <w:r>
        <w:rPr>
          <w:rFonts w:cs="Arial"/>
        </w:rPr>
        <w:br/>
      </w:r>
      <w:r w:rsidRPr="00747D19">
        <w:rPr>
          <w:rFonts w:cs="Arial"/>
        </w:rPr>
        <w:t>100,000 population per year (ranging from 0.</w:t>
      </w:r>
      <w:r>
        <w:rPr>
          <w:rFonts w:cs="Arial"/>
        </w:rPr>
        <w:t>6</w:t>
      </w:r>
      <w:r w:rsidRPr="00747D19">
        <w:rPr>
          <w:rFonts w:cs="Arial"/>
        </w:rPr>
        <w:softHyphen/>
        <w:t xml:space="preserve">–2.6 cases per 100,000 population per year) </w:t>
      </w:r>
      <w:r>
        <w:rPr>
          <w:rFonts w:cs="Arial"/>
          <w:noProof/>
        </w:rPr>
        <w:t>(NNDSS 2013)</w:t>
      </w:r>
      <w:r w:rsidRPr="00747D19">
        <w:rPr>
          <w:rFonts w:cs="Arial"/>
        </w:rPr>
        <w:t>.</w:t>
      </w:r>
    </w:p>
    <w:p w14:paraId="0A04430E" w14:textId="77777777" w:rsidR="00285EF0" w:rsidRPr="00BD3E29" w:rsidRDefault="00285EF0" w:rsidP="00285EF0">
      <w:pPr>
        <w:rPr>
          <w:rFonts w:cs="Arial"/>
        </w:rPr>
      </w:pPr>
    </w:p>
    <w:p w14:paraId="608D1A92" w14:textId="33667D2D" w:rsidR="00285EF0" w:rsidRPr="00747D19" w:rsidRDefault="00285EF0" w:rsidP="00285EF0">
      <w:pPr>
        <w:rPr>
          <w:rFonts w:cs="Arial"/>
        </w:rPr>
      </w:pPr>
      <w:r w:rsidRPr="00BD3E29">
        <w:rPr>
          <w:rFonts w:cs="Arial"/>
        </w:rPr>
        <w:t xml:space="preserve">In north Queensland in 1996–1999 the average annual HAV notification rates in Indigenous and non-Indigenous people were 110 and 25 cases per 100,000 population, respectively. In 1999 a HAV vaccination program for Indigenous children in north Queensland was introduced. Consequently, in 2000–2003 the average annual HAV notification rates for Indigenous and non-Indigenous people were 4 and 2.5 cases per 100,000 population, respectively </w:t>
      </w:r>
      <w:r w:rsidRPr="00BD3E29">
        <w:rPr>
          <w:rFonts w:cs="Arial"/>
          <w:noProof/>
        </w:rPr>
        <w:t>(Hanna et al. 2004).</w:t>
      </w:r>
      <w:r w:rsidRPr="00BD3E29">
        <w:rPr>
          <w:rFonts w:cs="Arial"/>
        </w:rPr>
        <w:t xml:space="preserve"> HAV is now included as part of the National Immunisation Program Schedule for Aboriginal and Torres Strait Islander children </w:t>
      </w:r>
      <w:r w:rsidR="00DB681B">
        <w:rPr>
          <w:rFonts w:cs="Arial"/>
        </w:rPr>
        <w:t>younger than five</w:t>
      </w:r>
      <w:r>
        <w:rPr>
          <w:rFonts w:cs="Arial"/>
        </w:rPr>
        <w:t xml:space="preserve"> years of age living </w:t>
      </w:r>
      <w:r w:rsidRPr="00BD3E29">
        <w:rPr>
          <w:rFonts w:cs="Arial"/>
        </w:rPr>
        <w:t xml:space="preserve">in </w:t>
      </w:r>
      <w:r>
        <w:rPr>
          <w:rFonts w:cs="Arial"/>
        </w:rPr>
        <w:t>Queensland, the Northern Territory, Western Australia and South Australia</w:t>
      </w:r>
      <w:r w:rsidRPr="00BD3E29">
        <w:rPr>
          <w:rFonts w:cs="Arial"/>
        </w:rPr>
        <w:t xml:space="preserve"> </w:t>
      </w:r>
      <w:r>
        <w:rPr>
          <w:rFonts w:cs="Arial"/>
          <w:noProof/>
        </w:rPr>
        <w:t>(DOHA 2011)</w:t>
      </w:r>
      <w:r w:rsidRPr="00747D19">
        <w:rPr>
          <w:rFonts w:cs="Arial"/>
          <w:noProof/>
        </w:rPr>
        <w:t>.</w:t>
      </w:r>
      <w:r w:rsidRPr="00747D19">
        <w:rPr>
          <w:rFonts w:cs="Arial"/>
        </w:rPr>
        <w:t xml:space="preserve"> HAV vaccination is also recommended for travellers to endemic areas and those at increased risk because of lifestyle or occupation </w:t>
      </w:r>
      <w:r w:rsidRPr="00747D19">
        <w:rPr>
          <w:rFonts w:cs="Arial"/>
          <w:noProof/>
        </w:rPr>
        <w:t>(DOHA 2008).</w:t>
      </w:r>
    </w:p>
    <w:p w14:paraId="20412C81" w14:textId="77777777" w:rsidR="00285EF0" w:rsidRPr="00C3051B" w:rsidRDefault="00285EF0" w:rsidP="00285EF0">
      <w:pPr>
        <w:rPr>
          <w:rFonts w:cs="Arial"/>
        </w:rPr>
      </w:pPr>
    </w:p>
    <w:p w14:paraId="7F55260E" w14:textId="77777777" w:rsidR="00285EF0" w:rsidRPr="00747D19" w:rsidRDefault="00285EF0" w:rsidP="00285EF0">
      <w:pPr>
        <w:rPr>
          <w:rFonts w:cs="Arial"/>
        </w:rPr>
      </w:pPr>
      <w:r w:rsidRPr="006C05BA">
        <w:rPr>
          <w:rFonts w:cs="Arial"/>
        </w:rPr>
        <w:t xml:space="preserve">The notification rate for HAV in New Zealand in 2011 was 0.6 cases per 100,000 population (26 cases), which was a decrease from the 2010 rate of 1.1 cases per 100,000 population </w:t>
      </w:r>
      <w:r>
        <w:rPr>
          <w:rFonts w:cs="Arial"/>
          <w:noProof/>
        </w:rPr>
        <w:t>(Lim et al. 2012)</w:t>
      </w:r>
      <w:r w:rsidRPr="006C05BA">
        <w:rPr>
          <w:rFonts w:cs="Arial"/>
          <w:noProof/>
        </w:rPr>
        <w:t>.</w:t>
      </w:r>
      <w:r w:rsidRPr="006C05BA">
        <w:rPr>
          <w:rFonts w:cs="Arial"/>
        </w:rPr>
        <w:t xml:space="preserve"> </w:t>
      </w:r>
      <w:r w:rsidRPr="00747D19">
        <w:rPr>
          <w:rFonts w:cs="Arial"/>
        </w:rPr>
        <w:t xml:space="preserve">The incidence of HAV in the </w:t>
      </w:r>
      <w:r>
        <w:rPr>
          <w:rFonts w:cs="Arial"/>
        </w:rPr>
        <w:t>United States (</w:t>
      </w:r>
      <w:r w:rsidRPr="00747D19">
        <w:rPr>
          <w:rFonts w:cs="Arial"/>
        </w:rPr>
        <w:t>US</w:t>
      </w:r>
      <w:r>
        <w:rPr>
          <w:rFonts w:cs="Arial"/>
        </w:rPr>
        <w:t>)</w:t>
      </w:r>
      <w:r w:rsidRPr="00747D19">
        <w:rPr>
          <w:rFonts w:cs="Arial"/>
        </w:rPr>
        <w:t xml:space="preserve"> has declined from </w:t>
      </w:r>
      <w:r>
        <w:rPr>
          <w:rFonts w:cs="Arial"/>
        </w:rPr>
        <w:br/>
      </w:r>
      <w:r w:rsidRPr="00747D19">
        <w:rPr>
          <w:rFonts w:cs="Arial"/>
        </w:rPr>
        <w:t>12 cases per 10</w:t>
      </w:r>
      <w:r>
        <w:rPr>
          <w:rFonts w:cs="Arial"/>
        </w:rPr>
        <w:t>0,000 population in 1995 to 0.54</w:t>
      </w:r>
      <w:r w:rsidRPr="00747D19">
        <w:rPr>
          <w:rFonts w:cs="Arial"/>
        </w:rPr>
        <w:t xml:space="preserve"> case</w:t>
      </w:r>
      <w:r>
        <w:rPr>
          <w:rFonts w:cs="Arial"/>
        </w:rPr>
        <w:t>s per 100,000 population in 2010</w:t>
      </w:r>
      <w:r w:rsidRPr="00747D19">
        <w:rPr>
          <w:rFonts w:cs="Arial"/>
        </w:rPr>
        <w:t>. This reduction has followed the 1999 recommendation for routine vaccination of children in areas of the US with consistently elevated rates of HAV</w:t>
      </w:r>
      <w:r>
        <w:rPr>
          <w:rFonts w:cs="Arial"/>
        </w:rPr>
        <w:t xml:space="preserve"> </w:t>
      </w:r>
      <w:r>
        <w:rPr>
          <w:rFonts w:cs="Arial"/>
          <w:noProof/>
        </w:rPr>
        <w:t>(CDC 2009; CDC 2012)</w:t>
      </w:r>
      <w:r>
        <w:rPr>
          <w:rFonts w:cs="Arial"/>
        </w:rPr>
        <w:t xml:space="preserve">. In the European Union there was one strong evidence foodborne HAV outbreak in 2011 and also one in 2010 </w:t>
      </w:r>
      <w:r>
        <w:rPr>
          <w:rFonts w:cs="Arial"/>
          <w:noProof/>
        </w:rPr>
        <w:t>(EFSA 2012; EFSA 2013).</w:t>
      </w:r>
    </w:p>
    <w:p w14:paraId="00A1D516" w14:textId="77777777" w:rsidR="00285EF0" w:rsidRPr="00747D19" w:rsidRDefault="00285EF0" w:rsidP="00285EF0">
      <w:pPr>
        <w:rPr>
          <w:rFonts w:cs="Arial"/>
          <w:i/>
        </w:rPr>
      </w:pPr>
    </w:p>
    <w:p w14:paraId="5B7852FB" w14:textId="77777777" w:rsidR="00285EF0" w:rsidRPr="00747D19" w:rsidRDefault="00285EF0" w:rsidP="00285EF0">
      <w:pPr>
        <w:rPr>
          <w:rFonts w:cs="Arial"/>
        </w:rPr>
      </w:pPr>
      <w:r w:rsidRPr="00747D19">
        <w:rPr>
          <w:rFonts w:cs="Arial"/>
        </w:rPr>
        <w:t xml:space="preserve">Foodborne outbreaks of HAV have been recognised for over 40 years, but are infrequently reported. This is because the 2–6 week incubation period for HAV makes it more difficult to associate the source of infection with a particular food </w:t>
      </w:r>
      <w:r w:rsidRPr="00747D19">
        <w:rPr>
          <w:rFonts w:cs="Arial"/>
          <w:noProof/>
        </w:rPr>
        <w:t>(Appleton 2000)</w:t>
      </w:r>
      <w:r w:rsidRPr="00747D19">
        <w:rPr>
          <w:rFonts w:cs="Arial"/>
        </w:rPr>
        <w:t>.</w:t>
      </w:r>
    </w:p>
    <w:p w14:paraId="3214448C" w14:textId="77777777" w:rsidR="00285EF0" w:rsidRPr="00747D19" w:rsidRDefault="00285EF0" w:rsidP="00285EF0">
      <w:pPr>
        <w:rPr>
          <w:rFonts w:cs="Arial"/>
        </w:rPr>
      </w:pPr>
    </w:p>
    <w:p w14:paraId="4E967A3D" w14:textId="77777777" w:rsidR="00285EF0" w:rsidRPr="00BD3E29" w:rsidRDefault="00285EF0" w:rsidP="00285EF0">
      <w:pPr>
        <w:rPr>
          <w:rFonts w:cs="Arial"/>
        </w:rPr>
      </w:pPr>
      <w:r>
        <w:rPr>
          <w:rFonts w:cs="Arial"/>
        </w:rPr>
        <w:t>Cold cuts and sandwiches, fruits and fruit juices, milk and milk products, vegetables, salads, shellfish and iced drinks</w:t>
      </w:r>
      <w:r w:rsidRPr="00747D19">
        <w:rPr>
          <w:rFonts w:cs="Arial"/>
        </w:rPr>
        <w:t xml:space="preserve"> have been implicated in HAV outbreaks</w:t>
      </w:r>
      <w:r>
        <w:rPr>
          <w:rFonts w:cs="Arial"/>
        </w:rPr>
        <w:t xml:space="preserve"> </w:t>
      </w:r>
      <w:r>
        <w:rPr>
          <w:rFonts w:cs="Arial"/>
          <w:noProof/>
        </w:rPr>
        <w:t>(FDA 2012)</w:t>
      </w:r>
      <w:r w:rsidRPr="00BD3E29">
        <w:rPr>
          <w:rFonts w:cs="Arial"/>
        </w:rPr>
        <w:t>.</w:t>
      </w:r>
    </w:p>
    <w:p w14:paraId="7DDC45A8" w14:textId="77777777" w:rsidR="00285EF0" w:rsidRPr="003E5B44" w:rsidRDefault="00285EF0" w:rsidP="00787E56">
      <w:pPr>
        <w:pStyle w:val="Heading3"/>
      </w:pPr>
      <w:bookmarkStart w:id="1070" w:name="_Toc66881437"/>
      <w:bookmarkStart w:id="1071" w:name="_Toc66883063"/>
      <w:bookmarkStart w:id="1072" w:name="_Toc87614465"/>
      <w:bookmarkStart w:id="1073" w:name="_Toc87860104"/>
      <w:r w:rsidRPr="003E5B44">
        <w:t>Occurrence in food</w:t>
      </w:r>
      <w:bookmarkEnd w:id="1070"/>
      <w:bookmarkEnd w:id="1071"/>
      <w:bookmarkEnd w:id="1072"/>
      <w:bookmarkEnd w:id="1073"/>
    </w:p>
    <w:p w14:paraId="06693386" w14:textId="46FDF9C9" w:rsidR="00285EF0" w:rsidRPr="00BD3E29" w:rsidRDefault="00285EF0" w:rsidP="00285EF0">
      <w:pPr>
        <w:rPr>
          <w:rFonts w:cs="Arial"/>
        </w:rPr>
      </w:pPr>
      <w:r w:rsidRPr="00BD3E29">
        <w:rPr>
          <w:rFonts w:cs="Arial"/>
        </w:rPr>
        <w:t>The types of food most often implicated in HAV outbreaks are those that are either eaten raw or only slightly cooked (</w:t>
      </w:r>
      <w:r w:rsidRPr="00221231">
        <w:rPr>
          <w:rFonts w:cs="Arial"/>
        </w:rPr>
        <w:t>e.g.</w:t>
      </w:r>
      <w:r w:rsidRPr="00BD3E29">
        <w:rPr>
          <w:rFonts w:cs="Arial"/>
        </w:rPr>
        <w:t xml:space="preserve"> shellfish), or handled extensively prior to consumption (</w:t>
      </w:r>
      <w:r w:rsidRPr="00221231">
        <w:rPr>
          <w:rFonts w:cs="Arial"/>
        </w:rPr>
        <w:t>e.g.</w:t>
      </w:r>
      <w:r w:rsidR="00DB681B">
        <w:rPr>
          <w:rFonts w:cs="Arial"/>
          <w:i/>
        </w:rPr>
        <w:t> </w:t>
      </w:r>
      <w:r w:rsidRPr="00BD3E29">
        <w:rPr>
          <w:rFonts w:cs="Arial"/>
        </w:rPr>
        <w:t xml:space="preserve">the picking and packing of raw produce in the field and the preparation of sandwiches and salads) </w:t>
      </w:r>
      <w:r>
        <w:rPr>
          <w:rFonts w:cs="Arial"/>
          <w:noProof/>
        </w:rPr>
        <w:t>(Koopmans and Duizer 2004; Cook and Rzezutka 2006)</w:t>
      </w:r>
      <w:r w:rsidRPr="00BD3E29">
        <w:rPr>
          <w:rFonts w:cs="Arial"/>
          <w:noProof/>
        </w:rPr>
        <w:t>.</w:t>
      </w:r>
    </w:p>
    <w:p w14:paraId="0CEA47F7" w14:textId="77777777" w:rsidR="00285EF0" w:rsidRPr="00BD3E29" w:rsidRDefault="00285EF0" w:rsidP="00285EF0">
      <w:pPr>
        <w:rPr>
          <w:rFonts w:cs="Arial"/>
        </w:rPr>
      </w:pPr>
    </w:p>
    <w:p w14:paraId="087009CD" w14:textId="77777777" w:rsidR="00B36DA8" w:rsidRDefault="00B36DA8">
      <w:pPr>
        <w:widowControl/>
        <w:rPr>
          <w:rFonts w:cs="Arial"/>
        </w:rPr>
      </w:pPr>
      <w:r>
        <w:rPr>
          <w:rFonts w:cs="Arial"/>
        </w:rPr>
        <w:br w:type="page"/>
      </w:r>
    </w:p>
    <w:p w14:paraId="12D78F9F" w14:textId="5B87EBDB" w:rsidR="00285EF0" w:rsidRPr="00BD3E29" w:rsidRDefault="00285EF0" w:rsidP="00285EF0">
      <w:pPr>
        <w:rPr>
          <w:rFonts w:cs="Arial"/>
        </w:rPr>
      </w:pPr>
      <w:r w:rsidRPr="00BD3E29">
        <w:rPr>
          <w:rFonts w:cs="Arial"/>
        </w:rPr>
        <w:t>Bivalve molluscs (</w:t>
      </w:r>
      <w:r>
        <w:rPr>
          <w:rFonts w:cs="Arial"/>
        </w:rPr>
        <w:t>e.</w:t>
      </w:r>
      <w:r w:rsidRPr="00BD3E29">
        <w:rPr>
          <w:rFonts w:cs="Arial"/>
        </w:rPr>
        <w:t>g</w:t>
      </w:r>
      <w:r>
        <w:rPr>
          <w:rFonts w:cs="Arial"/>
        </w:rPr>
        <w:t>.</w:t>
      </w:r>
      <w:r w:rsidRPr="00BD3E29">
        <w:rPr>
          <w:rFonts w:cs="Arial"/>
        </w:rPr>
        <w:t xml:space="preserve"> oysters, mussels, clams and cockles) live in shallow, coastal and estuarine waters which can be polluted with human sewage. </w:t>
      </w:r>
      <w:r>
        <w:rPr>
          <w:rFonts w:cs="Arial"/>
        </w:rPr>
        <w:t>As filter feeders they</w:t>
      </w:r>
      <w:r w:rsidRPr="00BD3E29">
        <w:rPr>
          <w:rFonts w:cs="Arial"/>
        </w:rPr>
        <w:t xml:space="preserve"> collect nutrients by filtering particulate matter from the water. If molluscs are grown in water contaminated with human faeces, the molluscs can collect and concentrate HAV from the water </w:t>
      </w:r>
      <w:r>
        <w:rPr>
          <w:rFonts w:cs="Arial"/>
          <w:noProof/>
        </w:rPr>
        <w:t>(Appleton 2000; Moore 2001; Cook and Rzezutka 2006)</w:t>
      </w:r>
      <w:r w:rsidRPr="00BD3E29">
        <w:rPr>
          <w:rFonts w:cs="Arial"/>
          <w:noProof/>
        </w:rPr>
        <w:t xml:space="preserve">. </w:t>
      </w:r>
      <w:r w:rsidRPr="00BD3E29">
        <w:rPr>
          <w:rFonts w:cs="Arial"/>
        </w:rPr>
        <w:t xml:space="preserve">HAV has been shown to be concentrated within mussels to 100-fold higher concentrations than the surrounding water and can persist for about 7 days in the mussels </w:t>
      </w:r>
      <w:r w:rsidRPr="00BD3E29">
        <w:rPr>
          <w:rFonts w:cs="Arial"/>
          <w:noProof/>
        </w:rPr>
        <w:t>(Enriquez et al. 1992).</w:t>
      </w:r>
      <w:r w:rsidRPr="00BD3E29">
        <w:rPr>
          <w:rFonts w:cs="Arial"/>
        </w:rPr>
        <w:t xml:space="preserve"> HAV has been detected in oyster samples more than 2 months after t</w:t>
      </w:r>
      <w:r>
        <w:rPr>
          <w:rFonts w:cs="Arial"/>
        </w:rPr>
        <w:t>he presumed contamination event;</w:t>
      </w:r>
      <w:r w:rsidRPr="00BD3E29">
        <w:rPr>
          <w:rFonts w:cs="Arial"/>
        </w:rPr>
        <w:t xml:space="preserve"> this is thought to be due to recontamination of the oysters from sediment in the water </w:t>
      </w:r>
      <w:r>
        <w:rPr>
          <w:rFonts w:cs="Arial"/>
          <w:noProof/>
        </w:rPr>
        <w:t>(Conaty et al. 2000)</w:t>
      </w:r>
      <w:r w:rsidRPr="00BD3E29">
        <w:rPr>
          <w:rFonts w:cs="Arial"/>
          <w:noProof/>
        </w:rPr>
        <w:t>.</w:t>
      </w:r>
    </w:p>
    <w:p w14:paraId="72AD85C6" w14:textId="77777777" w:rsidR="00285EF0" w:rsidRPr="00BD3E29" w:rsidRDefault="00285EF0" w:rsidP="00285EF0">
      <w:pPr>
        <w:rPr>
          <w:rFonts w:cs="Arial"/>
          <w:noProof/>
        </w:rPr>
      </w:pPr>
    </w:p>
    <w:p w14:paraId="05F1F3EB" w14:textId="77777777" w:rsidR="00285EF0" w:rsidRPr="00BD3E29" w:rsidRDefault="00285EF0" w:rsidP="00285EF0">
      <w:pPr>
        <w:keepLines/>
        <w:rPr>
          <w:rFonts w:cs="Arial"/>
        </w:rPr>
      </w:pPr>
      <w:r w:rsidRPr="00BD3E29">
        <w:rPr>
          <w:rFonts w:cs="Arial"/>
        </w:rPr>
        <w:t>The prevalence of HAV reported in shellfish ranges between 6–27%, depending on the locati</w:t>
      </w:r>
      <w:r>
        <w:rPr>
          <w:rFonts w:cs="Arial"/>
        </w:rPr>
        <w:t>on and analytical technique u</w:t>
      </w:r>
      <w:r w:rsidRPr="00BD3E29">
        <w:rPr>
          <w:rFonts w:cs="Arial"/>
        </w:rPr>
        <w:t xml:space="preserve">sed. For mussels sampled from markets of major cities in south Italy, 15.6% were found to be contaminated with infectious HAV </w:t>
      </w:r>
      <w:r>
        <w:rPr>
          <w:rFonts w:cs="Arial"/>
        </w:rPr>
        <w:t xml:space="preserve">(n=180) </w:t>
      </w:r>
      <w:r>
        <w:rPr>
          <w:rFonts w:cs="Arial"/>
          <w:noProof/>
        </w:rPr>
        <w:t>(Croci et al. 2003)</w:t>
      </w:r>
      <w:r w:rsidRPr="00BD3E29">
        <w:rPr>
          <w:rFonts w:cs="Arial"/>
          <w:noProof/>
        </w:rPr>
        <w:t>.</w:t>
      </w:r>
      <w:r w:rsidRPr="00BD3E29">
        <w:rPr>
          <w:rFonts w:cs="Arial"/>
        </w:rPr>
        <w:t xml:space="preserve"> For shellfish (clams, mussels, scallops a</w:t>
      </w:r>
      <w:r>
        <w:rPr>
          <w:rFonts w:cs="Arial"/>
        </w:rPr>
        <w:t>nd oysters) collected from the n</w:t>
      </w:r>
      <w:r w:rsidRPr="00BD3E29">
        <w:rPr>
          <w:rFonts w:cs="Arial"/>
        </w:rPr>
        <w:t xml:space="preserve">orth Adriatic sea located between the Italian and Balkan peninsulas, HAV was detected in 6% of samples </w:t>
      </w:r>
      <w:r>
        <w:rPr>
          <w:rFonts w:cs="Arial"/>
        </w:rPr>
        <w:t xml:space="preserve">(n=235) </w:t>
      </w:r>
      <w:r w:rsidRPr="00BD3E29">
        <w:rPr>
          <w:rFonts w:cs="Arial"/>
          <w:noProof/>
        </w:rPr>
        <w:t>(Croci et al. 2007)</w:t>
      </w:r>
      <w:r w:rsidRPr="00BD3E29">
        <w:rPr>
          <w:rFonts w:cs="Arial"/>
        </w:rPr>
        <w:t xml:space="preserve">. For shellfish collected off the coast of Spain (cultured and wild mussels, wild clams and cockles), HAV was detected in 27.4% of samples </w:t>
      </w:r>
      <w:r>
        <w:rPr>
          <w:rFonts w:cs="Arial"/>
        </w:rPr>
        <w:t xml:space="preserve">(n=164) </w:t>
      </w:r>
      <w:r w:rsidRPr="00BD3E29">
        <w:rPr>
          <w:rFonts w:cs="Arial"/>
          <w:noProof/>
        </w:rPr>
        <w:t>(Romalde et al. 2002)</w:t>
      </w:r>
      <w:r w:rsidRPr="00BD3E29">
        <w:rPr>
          <w:rFonts w:cs="Arial"/>
        </w:rPr>
        <w:t>. The methods utilised in these studies detect the genetic material of HAV</w:t>
      </w:r>
      <w:r w:rsidRPr="00BD3E29" w:rsidDel="00F0300E">
        <w:rPr>
          <w:rFonts w:cs="Arial"/>
        </w:rPr>
        <w:t xml:space="preserve"> </w:t>
      </w:r>
      <w:r>
        <w:rPr>
          <w:rFonts w:cs="Arial"/>
        </w:rPr>
        <w:t>and</w:t>
      </w:r>
      <w:r w:rsidRPr="00BD3E29">
        <w:rPr>
          <w:rFonts w:cs="Arial"/>
        </w:rPr>
        <w:t xml:space="preserve"> some methods are more sensitive than others under different conditions. This suggests that the level of HAV contamination could be higher than reported</w:t>
      </w:r>
      <w:r w:rsidRPr="00BD3E29">
        <w:rPr>
          <w:rFonts w:cs="Arial"/>
          <w:noProof/>
        </w:rPr>
        <w:t>.</w:t>
      </w:r>
      <w:r w:rsidRPr="004D67CE">
        <w:rPr>
          <w:rFonts w:cs="Arial"/>
        </w:rPr>
        <w:t xml:space="preserve"> </w:t>
      </w:r>
    </w:p>
    <w:p w14:paraId="2E2742EF" w14:textId="77777777" w:rsidR="00285EF0" w:rsidRPr="00BD3E29" w:rsidRDefault="00285EF0" w:rsidP="00285EF0">
      <w:pPr>
        <w:rPr>
          <w:rFonts w:cs="Arial"/>
        </w:rPr>
      </w:pPr>
    </w:p>
    <w:p w14:paraId="333F8605" w14:textId="77777777" w:rsidR="00285EF0" w:rsidRPr="00BD3E29" w:rsidRDefault="00285EF0" w:rsidP="00285EF0">
      <w:pPr>
        <w:rPr>
          <w:rFonts w:cs="Arial"/>
        </w:rPr>
      </w:pPr>
      <w:r w:rsidRPr="003635A0">
        <w:rPr>
          <w:rFonts w:cs="Arial"/>
        </w:rPr>
        <w:t xml:space="preserve">Hernandez et al. </w:t>
      </w:r>
      <w:r w:rsidRPr="003635A0">
        <w:rPr>
          <w:rFonts w:cs="Arial"/>
          <w:noProof/>
        </w:rPr>
        <w:t>(1997)</w:t>
      </w:r>
      <w:r w:rsidRPr="003635A0">
        <w:rPr>
          <w:rFonts w:cs="Arial"/>
        </w:rPr>
        <w:t xml:space="preserve"> demonstrated that 20% of pooled samples of lettuce wash water collected in Costa Rica were contaminated with HAV (n=10 pools, 5 lettuces per pool), suggesting that lettuces from this region could be a vehicle for HAV transmission.</w:t>
      </w:r>
    </w:p>
    <w:p w14:paraId="27053453" w14:textId="77777777" w:rsidR="00285EF0" w:rsidRPr="003E5B44" w:rsidRDefault="00285EF0" w:rsidP="00787E56">
      <w:pPr>
        <w:pStyle w:val="Heading3"/>
      </w:pPr>
      <w:bookmarkStart w:id="1074" w:name="_Toc66881438"/>
      <w:bookmarkStart w:id="1075" w:name="_Toc66883064"/>
      <w:bookmarkStart w:id="1076" w:name="_Toc87614466"/>
      <w:bookmarkStart w:id="1077" w:name="_Toc87860105"/>
      <w:r w:rsidRPr="003E5B44">
        <w:t>Host factors that influence disease</w:t>
      </w:r>
      <w:bookmarkEnd w:id="1074"/>
      <w:bookmarkEnd w:id="1075"/>
      <w:bookmarkEnd w:id="1076"/>
      <w:bookmarkEnd w:id="1077"/>
    </w:p>
    <w:p w14:paraId="0DB52B13" w14:textId="77777777" w:rsidR="00285EF0" w:rsidRDefault="00285EF0" w:rsidP="00285EF0">
      <w:pPr>
        <w:rPr>
          <w:rFonts w:cs="Arial"/>
        </w:rPr>
      </w:pPr>
      <w:r w:rsidRPr="00BD3E29">
        <w:rPr>
          <w:rFonts w:cs="Arial"/>
        </w:rPr>
        <w:t>People of all ages are susceptible to HAV infection (unless they have had a previous infection or vaccination). The disease is milder in young children under 6 years, with the risk of fatality increasing with age. Thus the risks are higher for unexposed older people</w:t>
      </w:r>
      <w:r>
        <w:rPr>
          <w:rFonts w:cs="Arial"/>
        </w:rPr>
        <w:t xml:space="preserve"> </w:t>
      </w:r>
      <w:r>
        <w:rPr>
          <w:rFonts w:cs="Arial"/>
          <w:noProof/>
        </w:rPr>
        <w:t>(ESR 2001; FDA 2012)</w:t>
      </w:r>
      <w:r>
        <w:rPr>
          <w:rFonts w:cs="Arial"/>
        </w:rPr>
        <w:t>.</w:t>
      </w:r>
    </w:p>
    <w:p w14:paraId="7A421FFC" w14:textId="77777777" w:rsidR="00285EF0" w:rsidRPr="00BD3E29" w:rsidRDefault="00285EF0" w:rsidP="00285EF0">
      <w:pPr>
        <w:rPr>
          <w:rFonts w:cs="Arial"/>
        </w:rPr>
      </w:pPr>
    </w:p>
    <w:p w14:paraId="55D20D91" w14:textId="77777777" w:rsidR="00285EF0" w:rsidRPr="00533114" w:rsidRDefault="00285EF0" w:rsidP="00285EF0">
      <w:pPr>
        <w:rPr>
          <w:rFonts w:cs="Arial"/>
        </w:rPr>
      </w:pPr>
      <w:r w:rsidRPr="00BD3E29">
        <w:rPr>
          <w:rFonts w:cs="Arial"/>
        </w:rPr>
        <w:t xml:space="preserve">A single HAV infection or administration of the HAV vaccine provides lifelong immunity for the individual against the virus </w:t>
      </w:r>
      <w:r w:rsidRPr="00BD3E29">
        <w:rPr>
          <w:rFonts w:cs="Arial"/>
          <w:noProof/>
        </w:rPr>
        <w:t>(Leon and Moe 2006)</w:t>
      </w:r>
      <w:r w:rsidRPr="00BD3E29">
        <w:rPr>
          <w:rFonts w:cs="Arial"/>
        </w:rPr>
        <w:t xml:space="preserve">. When an outbreak of HAV occurs, if exposure can be recognised before cases begin to occur, treatment with intramuscular immunoglobulin (passive immunisation) within 2 weeks of exposure is &gt;85% effective at preventing HAV infection. However, passive immunisation is only effective for a short time (3–6 months) and people will be susceptible to infection </w:t>
      </w:r>
      <w:r>
        <w:rPr>
          <w:rFonts w:cs="Arial"/>
        </w:rPr>
        <w:t>from</w:t>
      </w:r>
      <w:r w:rsidRPr="00BD3E29">
        <w:rPr>
          <w:rFonts w:cs="Arial"/>
        </w:rPr>
        <w:t xml:space="preserve"> another exposure </w:t>
      </w:r>
      <w:r>
        <w:rPr>
          <w:rFonts w:cs="Arial"/>
          <w:noProof/>
        </w:rPr>
        <w:t>(Issa and Mourad 2001; Hollinger and Emerson 2007)</w:t>
      </w:r>
      <w:r>
        <w:rPr>
          <w:rFonts w:cs="Arial"/>
        </w:rPr>
        <w:t>.</w:t>
      </w:r>
    </w:p>
    <w:p w14:paraId="765F59CD" w14:textId="77777777" w:rsidR="00285EF0" w:rsidRPr="003E5B44" w:rsidRDefault="00285EF0" w:rsidP="00787E56">
      <w:pPr>
        <w:pStyle w:val="Heading3"/>
      </w:pPr>
      <w:bookmarkStart w:id="1078" w:name="_Toc66881439"/>
      <w:bookmarkStart w:id="1079" w:name="_Toc66883065"/>
      <w:bookmarkStart w:id="1080" w:name="_Toc87614467"/>
      <w:bookmarkStart w:id="1081" w:name="_Toc87860106"/>
      <w:r w:rsidRPr="003E5B44">
        <w:t>Dose response</w:t>
      </w:r>
      <w:bookmarkEnd w:id="1078"/>
      <w:bookmarkEnd w:id="1079"/>
      <w:bookmarkEnd w:id="1080"/>
      <w:bookmarkEnd w:id="1081"/>
    </w:p>
    <w:p w14:paraId="4304FD6A" w14:textId="77777777" w:rsidR="00285EF0" w:rsidRPr="00BD3E29" w:rsidRDefault="00285EF0" w:rsidP="00285EF0">
      <w:pPr>
        <w:rPr>
          <w:rFonts w:cs="Arial"/>
        </w:rPr>
      </w:pPr>
      <w:r w:rsidRPr="00BD3E29">
        <w:rPr>
          <w:rFonts w:cs="Arial"/>
        </w:rPr>
        <w:t>The number of HAV particles required to cause infection is not known, however, it is presum</w:t>
      </w:r>
      <w:r>
        <w:rPr>
          <w:rFonts w:cs="Arial"/>
        </w:rPr>
        <w:t xml:space="preserve">ed to be 10–100 viral particles </w:t>
      </w:r>
      <w:r>
        <w:rPr>
          <w:rFonts w:cs="Arial"/>
          <w:noProof/>
        </w:rPr>
        <w:t>(FDA 2012)</w:t>
      </w:r>
      <w:r>
        <w:rPr>
          <w:rFonts w:cs="Arial"/>
        </w:rPr>
        <w:t>.</w:t>
      </w:r>
      <w:r w:rsidRPr="00BD3E29">
        <w:rPr>
          <w:rFonts w:cs="Arial"/>
          <w:noProof/>
        </w:rPr>
        <w:t xml:space="preserve"> </w:t>
      </w:r>
      <w:r w:rsidRPr="00BD3E29">
        <w:rPr>
          <w:rFonts w:cs="Arial"/>
        </w:rPr>
        <w:t xml:space="preserve">In fact it has been suggested that a single ingested viral particle may cause infection, however, the probability of this occurring is very low </w:t>
      </w:r>
      <w:r w:rsidRPr="00BD3E29">
        <w:rPr>
          <w:rFonts w:cs="Arial"/>
          <w:noProof/>
        </w:rPr>
        <w:t>(Cliver 1985).</w:t>
      </w:r>
      <w:r w:rsidRPr="00BD3E29">
        <w:rPr>
          <w:rFonts w:cs="Arial"/>
        </w:rPr>
        <w:t xml:space="preserve"> It has been estimated that up to 13,000 infectious HAV particles may be present in 1 mg of </w:t>
      </w:r>
      <w:r w:rsidRPr="00B91221">
        <w:rPr>
          <w:rFonts w:cs="Arial"/>
        </w:rPr>
        <w:t xml:space="preserve">faeces </w:t>
      </w:r>
      <w:r w:rsidRPr="00B91221">
        <w:rPr>
          <w:rFonts w:cs="Arial"/>
          <w:noProof/>
        </w:rPr>
        <w:t>(Bidawid et al. 2000a)</w:t>
      </w:r>
      <w:r w:rsidRPr="00B91221">
        <w:rPr>
          <w:rFonts w:cs="Arial"/>
        </w:rPr>
        <w:t>.</w:t>
      </w:r>
    </w:p>
    <w:p w14:paraId="03DD13C0" w14:textId="77777777" w:rsidR="00B36DA8" w:rsidRDefault="00B36DA8">
      <w:pPr>
        <w:widowControl/>
        <w:rPr>
          <w:b/>
          <w:bCs/>
          <w:color w:val="000000" w:themeColor="text1"/>
          <w:lang w:eastAsia="en-AU" w:bidi="ar-SA"/>
        </w:rPr>
      </w:pPr>
      <w:bookmarkStart w:id="1082" w:name="_Toc66881440"/>
      <w:bookmarkStart w:id="1083" w:name="_Toc66883066"/>
      <w:r>
        <w:br w:type="page"/>
      </w:r>
    </w:p>
    <w:p w14:paraId="2D2F78FB" w14:textId="03DE57DB" w:rsidR="001B4D3A" w:rsidRPr="00145A61" w:rsidRDefault="00285EF0" w:rsidP="00787E56">
      <w:pPr>
        <w:pStyle w:val="Heading3"/>
      </w:pPr>
      <w:bookmarkStart w:id="1084" w:name="_Toc87614468"/>
      <w:bookmarkStart w:id="1085" w:name="_Toc87860107"/>
      <w:r w:rsidRPr="003E5B44">
        <w:t>References</w:t>
      </w:r>
      <w:bookmarkEnd w:id="1082"/>
      <w:bookmarkEnd w:id="1083"/>
      <w:bookmarkEnd w:id="1084"/>
      <w:bookmarkEnd w:id="1085"/>
    </w:p>
    <w:p w14:paraId="4B4E002C" w14:textId="030335B1" w:rsidR="00285EF0" w:rsidRPr="001B4D3A" w:rsidRDefault="00285EF0" w:rsidP="001B4D3A">
      <w:pPr>
        <w:spacing w:after="120"/>
        <w:rPr>
          <w:noProof/>
          <w:sz w:val="20"/>
          <w:szCs w:val="20"/>
        </w:rPr>
      </w:pPr>
      <w:r w:rsidRPr="001B4D3A">
        <w:rPr>
          <w:noProof/>
          <w:sz w:val="20"/>
          <w:szCs w:val="20"/>
        </w:rPr>
        <w:t>Abad FX, Pinto RM, Bosch A (1994) Survival of enteric viruses on environmental fomites. Applied and Environmental Microbiology 60(10):3704–3710</w:t>
      </w:r>
    </w:p>
    <w:p w14:paraId="0A697FC3"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Appleton H (2000) Control of food-borne viruses. British Medical Bulletin 56(1):172–183</w:t>
      </w:r>
    </w:p>
    <w:p w14:paraId="0C572546"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Arnal C, Crance JM, Gantzer C, Schwartzbrod L, Deloince R, Billaudel S (1998) Persistence of infectious hepatitis A virus and its genome in artificial seawater. Zentralblatt fur Hygiene Umweltmedizin 201:279–284</w:t>
      </w:r>
    </w:p>
    <w:p w14:paraId="063DA236"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Bidawid S, Farber JM, Sattar SA (2000a) Contamination of foods by food handlers: Experiments on hepatitis A virus transfer to food and its interruption. Applied and Environmental Microbiology 66(7):2759–2763</w:t>
      </w:r>
    </w:p>
    <w:p w14:paraId="05849271"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Bidawid S, Farber JM, Sattar SA, Hayward S (2000b) Heat inactivation of hepatitis A virus in dairy foods. Journal of Food Protection 63(4):522–528</w:t>
      </w:r>
    </w:p>
    <w:p w14:paraId="49F29B98"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Brundage SC, Fitzpatrick AN (2006) Hepatitis A. American Family Physician 73(12):2162–2168</w:t>
      </w:r>
    </w:p>
    <w:p w14:paraId="7B47E5F0"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Butot S, Putallaz T, Sanchez G (2008) Effects of sanitation, freezing and frozen storage on enteric viruses in berries and herbs. International Journal of Food Microbiology 126(1-2):30–35</w:t>
      </w:r>
    </w:p>
    <w:p w14:paraId="104D3295"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CDC (2009) Surveillance for acute viral hepatitis - United States, 2007. Morbidity and Mortality Weekly Report Surveillance Summaries 58(3):1–27</w:t>
      </w:r>
    </w:p>
    <w:p w14:paraId="7C9A447C"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CDC (2012) Summary of notifiable diseases - United States, 2010. Morbidity and Mortality Weekly Report 59(53):1–111</w:t>
      </w:r>
    </w:p>
    <w:p w14:paraId="45423864"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Cliver DO (1985) Vehicular transmission of hepatitis A. Public Health Reviews 13:235–292</w:t>
      </w:r>
    </w:p>
    <w:p w14:paraId="187A2B2C"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 xml:space="preserve">Conaty S, Bird P, Bell G, Kraa E, Grohmann G, McAnulty JM (2000) Hepatitis A in </w:t>
      </w:r>
      <w:r w:rsidRPr="00336CD8">
        <w:rPr>
          <w:rFonts w:cs="Arial"/>
          <w:noProof/>
          <w:sz w:val="20"/>
          <w:szCs w:val="20"/>
        </w:rPr>
        <w:br/>
        <w:t>New South Wales, Australia, from consumption of oysters: The first reported outbreak. Epidemiology and Infection 124:121–130</w:t>
      </w:r>
    </w:p>
    <w:p w14:paraId="21D6FE78"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Cook N, Rzezutka A (2006) Hepatitis viruses. Ch 11 In: Motarjemi Y, Adams M (eds) Emerging Foodborne Pathogens. Woodhead Publishing, Cambridge, p. 282–308</w:t>
      </w:r>
    </w:p>
    <w:p w14:paraId="4FED0002"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Croci L, De Medicic D, Scalfaro C, Fiore A, Toti L (2002) The survival of hepatitis A virus in fresh produce. International Journal of Food Microbiology 73(1):29–34</w:t>
      </w:r>
    </w:p>
    <w:p w14:paraId="52263254"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Croci L, De Medicic D, Ciccozzi M, Di Pasquale S, Suffredini E, Toti L (2003) Contamination of mussels by hepatitis A virus: A public-health problem in southern Italy. Food Control 14(8):559–563</w:t>
      </w:r>
    </w:p>
    <w:p w14:paraId="1E65A60C"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Croci L, Losio MN, Suffredini E, Pavoni E, Di Pasquale S, Fallacara F, Arcangeli G (2007) Assessment of human enteric viruses in shellfish from the northern Adriatic sea. International Journal of Food Microbiology 114:252–257</w:t>
      </w:r>
    </w:p>
    <w:p w14:paraId="3C9FD28E"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Deboose N, Legeay O, Caudrelier Y, Lange M (2004) Modelling effect of physical and chemical parameters on heat inactivation kinetics of hepatitis A virus in a fruit model system. International Journal of Food Microbiology 93:73–85</w:t>
      </w:r>
    </w:p>
    <w:p w14:paraId="5A5D7444"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DOHA (2008) The Australian Immunisation Handbook. 9th ed, Department of Health and Ageing, Canberra</w:t>
      </w:r>
    </w:p>
    <w:p w14:paraId="4E423702" w14:textId="5D386A83" w:rsidR="00285EF0" w:rsidRPr="006A4234" w:rsidRDefault="00285EF0" w:rsidP="00285EF0">
      <w:pPr>
        <w:tabs>
          <w:tab w:val="left" w:pos="0"/>
        </w:tabs>
        <w:spacing w:after="120"/>
        <w:rPr>
          <w:rFonts w:cs="Arial"/>
          <w:noProof/>
          <w:sz w:val="20"/>
          <w:szCs w:val="20"/>
        </w:rPr>
      </w:pPr>
      <w:r w:rsidRPr="00336CD8">
        <w:rPr>
          <w:rFonts w:cs="Arial"/>
          <w:noProof/>
          <w:sz w:val="20"/>
          <w:szCs w:val="20"/>
        </w:rPr>
        <w:t xml:space="preserve">DOHA (2011) Immunise Australia Program: Hepatitis A. Department </w:t>
      </w:r>
      <w:r>
        <w:rPr>
          <w:rFonts w:cs="Arial"/>
          <w:noProof/>
          <w:sz w:val="20"/>
          <w:szCs w:val="20"/>
        </w:rPr>
        <w:t xml:space="preserve">of Health and Ageing, Canberra. </w:t>
      </w:r>
      <w:hyperlink r:id="rId554" w:history="1">
        <w:r w:rsidRPr="00336CD8">
          <w:rPr>
            <w:rStyle w:val="Hyperlink"/>
            <w:rFonts w:cs="Arial"/>
            <w:noProof/>
            <w:sz w:val="20"/>
            <w:szCs w:val="20"/>
          </w:rPr>
          <w:t>http://immunise.health.gov.au/internet/immunise/publishing.nsf/Content/immunise-hepa</w:t>
        </w:r>
      </w:hyperlink>
      <w:r w:rsidR="00DB681B">
        <w:rPr>
          <w:rFonts w:cs="Arial"/>
          <w:noProof/>
          <w:sz w:val="20"/>
          <w:szCs w:val="20"/>
        </w:rPr>
        <w:t>. Accessed 3 </w:t>
      </w:r>
      <w:r w:rsidRPr="00336CD8">
        <w:rPr>
          <w:rFonts w:cs="Arial"/>
          <w:noProof/>
          <w:sz w:val="20"/>
          <w:szCs w:val="20"/>
        </w:rPr>
        <w:t>May 2013</w:t>
      </w:r>
    </w:p>
    <w:p w14:paraId="5D452D8D"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EFSA (2012) The European Union summary report on trends and sources of zoonoses, zoonotic agents and foodborne outbreaks in 2010. EFSA Journal 10(3):2597</w:t>
      </w:r>
    </w:p>
    <w:p w14:paraId="41F174A8"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EFSA (2013) The European Union summary report on trends and sources of zoonoses, zoonotic agents and foodborne outbreaks in 2011. EFSA Journal 11(4):3129</w:t>
      </w:r>
    </w:p>
    <w:p w14:paraId="6715233A"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Enriquez CE, Hurst CJ, Gerba CP (1995) Survival of the enteric adenoviruses 40 and 41 in tap, sea and waste water. Water Research 29(11):2548–2553</w:t>
      </w:r>
    </w:p>
    <w:p w14:paraId="30F54BE0"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Enriquez R, Frosner GG, Hochstein-Mintzel V, Riedemann S, Reinhardt G (1992) Accumulation and persistance of hepatitis A virus in mussels. Journal of Medical Virology 37(3):174–179</w:t>
      </w:r>
    </w:p>
    <w:p w14:paraId="4D6CA81E" w14:textId="0A4DD8FF" w:rsidR="00285EF0" w:rsidRDefault="00285EF0" w:rsidP="00285EF0">
      <w:pPr>
        <w:tabs>
          <w:tab w:val="left" w:pos="0"/>
        </w:tabs>
        <w:spacing w:after="120"/>
        <w:rPr>
          <w:rFonts w:cs="Arial"/>
          <w:noProof/>
          <w:sz w:val="20"/>
          <w:szCs w:val="20"/>
        </w:rPr>
      </w:pPr>
      <w:r w:rsidRPr="00336CD8">
        <w:rPr>
          <w:rFonts w:cs="Arial"/>
          <w:noProof/>
          <w:sz w:val="20"/>
          <w:szCs w:val="20"/>
        </w:rPr>
        <w:t>ESR (2001) Hepatitis A virus. Ministry for Prim</w:t>
      </w:r>
      <w:r>
        <w:rPr>
          <w:rFonts w:cs="Arial"/>
          <w:noProof/>
          <w:sz w:val="20"/>
          <w:szCs w:val="20"/>
        </w:rPr>
        <w:t xml:space="preserve">ary Industries, New Zealand. </w:t>
      </w:r>
      <w:hyperlink r:id="rId555" w:history="1">
        <w:r w:rsidRPr="00336CD8">
          <w:rPr>
            <w:rStyle w:val="Hyperlink"/>
            <w:rFonts w:cs="Arial"/>
            <w:noProof/>
            <w:sz w:val="20"/>
            <w:szCs w:val="20"/>
          </w:rPr>
          <w:t>http://www.foodsafety.govt.nz/science-risk/hazard-data-sheets/pathogen-data-sheets.htm</w:t>
        </w:r>
      </w:hyperlink>
      <w:r w:rsidR="00DB681B">
        <w:rPr>
          <w:rFonts w:cs="Arial"/>
          <w:noProof/>
          <w:sz w:val="20"/>
          <w:szCs w:val="20"/>
        </w:rPr>
        <w:t>. Accessed </w:t>
      </w:r>
      <w:r w:rsidRPr="00336CD8">
        <w:rPr>
          <w:rFonts w:cs="Arial"/>
          <w:noProof/>
          <w:sz w:val="20"/>
          <w:szCs w:val="20"/>
        </w:rPr>
        <w:t>16 August 2012</w:t>
      </w:r>
    </w:p>
    <w:p w14:paraId="5C26381E" w14:textId="772C3B4A" w:rsidR="00285EF0" w:rsidRPr="006A4234" w:rsidRDefault="00285EF0" w:rsidP="00285EF0">
      <w:pPr>
        <w:tabs>
          <w:tab w:val="left" w:pos="0"/>
        </w:tabs>
        <w:spacing w:after="120"/>
        <w:rPr>
          <w:rFonts w:cs="Arial"/>
          <w:noProof/>
          <w:sz w:val="20"/>
          <w:szCs w:val="20"/>
        </w:rPr>
      </w:pPr>
      <w:r w:rsidRPr="00336CD8">
        <w:rPr>
          <w:rFonts w:cs="Arial"/>
          <w:noProof/>
          <w:sz w:val="20"/>
          <w:szCs w:val="20"/>
        </w:rPr>
        <w:t>FDA (2012) Bad bug book: Foodborne pathogenic microorganisms a</w:t>
      </w:r>
      <w:r w:rsidR="00DB681B">
        <w:rPr>
          <w:rFonts w:cs="Arial"/>
          <w:noProof/>
          <w:sz w:val="20"/>
          <w:szCs w:val="20"/>
        </w:rPr>
        <w:t>nd natural toxins handbook, 2</w:t>
      </w:r>
      <w:r w:rsidR="00DB681B" w:rsidRPr="00DB681B">
        <w:rPr>
          <w:rFonts w:cs="Arial"/>
          <w:noProof/>
          <w:sz w:val="20"/>
          <w:szCs w:val="20"/>
          <w:vertAlign w:val="superscript"/>
        </w:rPr>
        <w:t>nd</w:t>
      </w:r>
      <w:r w:rsidR="00DB681B">
        <w:rPr>
          <w:rFonts w:cs="Arial"/>
          <w:noProof/>
          <w:sz w:val="20"/>
          <w:szCs w:val="20"/>
        </w:rPr>
        <w:t> </w:t>
      </w:r>
      <w:r w:rsidRPr="00336CD8">
        <w:rPr>
          <w:rFonts w:cs="Arial"/>
          <w:noProof/>
          <w:sz w:val="20"/>
          <w:szCs w:val="20"/>
        </w:rPr>
        <w:t>ed. US Food and Drug Administration, Silver Spring, p. 154–158.</w:t>
      </w:r>
      <w:r>
        <w:rPr>
          <w:rFonts w:cs="Arial"/>
          <w:noProof/>
          <w:sz w:val="20"/>
          <w:szCs w:val="20"/>
        </w:rPr>
        <w:t xml:space="preserve"> </w:t>
      </w:r>
      <w:hyperlink r:id="rId556" w:history="1">
        <w:r w:rsidRPr="00336CD8">
          <w:rPr>
            <w:rStyle w:val="Hyperlink"/>
            <w:rFonts w:cs="Arial"/>
            <w:noProof/>
            <w:sz w:val="20"/>
            <w:szCs w:val="20"/>
          </w:rPr>
          <w:t>http://www.fda.gov/Food/FoodborneIllnessContaminants/CausesOfIllnessBadBugBook/ucm2006773.htm</w:t>
        </w:r>
      </w:hyperlink>
      <w:r w:rsidRPr="00336CD8">
        <w:rPr>
          <w:rFonts w:cs="Arial"/>
          <w:noProof/>
          <w:sz w:val="20"/>
          <w:szCs w:val="20"/>
        </w:rPr>
        <w:t>. Accessed 27 March 2013</w:t>
      </w:r>
    </w:p>
    <w:p w14:paraId="4143C0FF" w14:textId="3622A6D9" w:rsidR="00285EF0" w:rsidRPr="00336CD8" w:rsidRDefault="00285EF0" w:rsidP="00285EF0">
      <w:pPr>
        <w:tabs>
          <w:tab w:val="left" w:pos="0"/>
        </w:tabs>
        <w:spacing w:after="120"/>
        <w:rPr>
          <w:rFonts w:cs="Arial"/>
          <w:noProof/>
          <w:sz w:val="20"/>
          <w:szCs w:val="20"/>
        </w:rPr>
      </w:pPr>
      <w:r w:rsidRPr="00336CD8">
        <w:rPr>
          <w:rFonts w:cs="Arial"/>
          <w:noProof/>
          <w:sz w:val="20"/>
          <w:szCs w:val="20"/>
        </w:rPr>
        <w:t>Guillois-Becel Y, Couturier E, le Saux JC, Roque-Afonso AM, le Guya</w:t>
      </w:r>
      <w:r w:rsidR="00DB681B">
        <w:rPr>
          <w:rFonts w:cs="Arial"/>
          <w:noProof/>
          <w:sz w:val="20"/>
          <w:szCs w:val="20"/>
        </w:rPr>
        <w:t>der FS, le Goas A, Pernes J, le </w:t>
      </w:r>
      <w:r w:rsidRPr="00336CD8">
        <w:rPr>
          <w:rFonts w:cs="Arial"/>
          <w:noProof/>
          <w:sz w:val="20"/>
          <w:szCs w:val="20"/>
        </w:rPr>
        <w:t>Bechec S, Briand A, Robert C, Dussaix E, Pommepuy M, Vaillant V (2009) An oyster-associated hepatitis A outbreak in France in 2007. Eurosurveillance 14(10):19144</w:t>
      </w:r>
    </w:p>
    <w:p w14:paraId="5F4FD844"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Hanna JN, Hills SL, Humphreys JL (2004) Impact of hepatitis A vaccination of Indigenous children on notifications of hepatitis A in north Queensland. Medical Journal of Australia 181(9):482–485</w:t>
      </w:r>
    </w:p>
    <w:p w14:paraId="15289C8C"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Hernandez F, Monge R, Jimenez C, Taylor L (1997) Rotavirus and hepatitis A virus in market lettuce (</w:t>
      </w:r>
      <w:r w:rsidRPr="00336CD8">
        <w:rPr>
          <w:rFonts w:cs="Arial"/>
          <w:i/>
          <w:noProof/>
          <w:sz w:val="20"/>
          <w:szCs w:val="20"/>
        </w:rPr>
        <w:t>Latuca sativa</w:t>
      </w:r>
      <w:r w:rsidRPr="00336CD8">
        <w:rPr>
          <w:rFonts w:cs="Arial"/>
          <w:noProof/>
          <w:sz w:val="20"/>
          <w:szCs w:val="20"/>
        </w:rPr>
        <w:t>) in Costa Rica. International Journal of Food Microbiology 37(2-3):221–223</w:t>
      </w:r>
    </w:p>
    <w:p w14:paraId="520A534B"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Hollinger FB, Emerson SU (2007) Hepatitis A Virus. Ch 27 In: Knipe DM, Howley PM (eds) Fields Virology. 5th ed, Lippincott Williams and Wilkins, Philadelphia, p. 911–947</w:t>
      </w:r>
    </w:p>
    <w:p w14:paraId="712A3311"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Issa IA, Mourad FH (2001) Hepatitis A: An updated overview. Lebanese Medical Journal 49(2):61–65</w:t>
      </w:r>
    </w:p>
    <w:p w14:paraId="7AF616AC"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Koff RS (1998) Hepatitis A. Lancet 341:1643–1649</w:t>
      </w:r>
    </w:p>
    <w:p w14:paraId="4DD0BC4B"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Koopmans M, Duizer E (2004) Foodborne viruses: An emerging problem. International Journal of Food Microbiology 90:23–41</w:t>
      </w:r>
    </w:p>
    <w:p w14:paraId="5BD4742B"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Leon J, Moe CL (2006) Role of viruses in foodborne disease. Ch 14 In: Potter M (ed) Food consumption and disease risk: Consumer-pathogen interactions. Woodhead Publishing, Cambridge, p. 309–342</w:t>
      </w:r>
    </w:p>
    <w:p w14:paraId="0079772F" w14:textId="77777777" w:rsidR="00285EF0" w:rsidRPr="006A4234" w:rsidRDefault="00285EF0" w:rsidP="00285EF0">
      <w:pPr>
        <w:tabs>
          <w:tab w:val="left" w:pos="0"/>
        </w:tabs>
        <w:spacing w:after="120"/>
        <w:rPr>
          <w:rFonts w:cs="Arial"/>
          <w:noProof/>
          <w:sz w:val="20"/>
          <w:szCs w:val="20"/>
        </w:rPr>
      </w:pPr>
      <w:r w:rsidRPr="00336CD8">
        <w:rPr>
          <w:rFonts w:cs="Arial"/>
          <w:noProof/>
          <w:sz w:val="20"/>
          <w:szCs w:val="20"/>
        </w:rPr>
        <w:t>Lim E, Lopez L, Borman A, Cressey P, Pirie R (2012) Annual report concerning foodborne disease in New Zealand 2011. Ministry for Primary Industry, New Zeal</w:t>
      </w:r>
      <w:r>
        <w:rPr>
          <w:rFonts w:cs="Arial"/>
          <w:noProof/>
          <w:sz w:val="20"/>
          <w:szCs w:val="20"/>
        </w:rPr>
        <w:t xml:space="preserve">and. </w:t>
      </w:r>
      <w:hyperlink r:id="rId557" w:history="1">
        <w:r w:rsidRPr="00336CD8">
          <w:rPr>
            <w:rStyle w:val="Hyperlink"/>
            <w:rFonts w:cs="Arial"/>
            <w:noProof/>
            <w:sz w:val="20"/>
            <w:szCs w:val="20"/>
          </w:rPr>
          <w:t>http://www.foodsafety.govt.nz/science-risk/human-health-surveillance/foodborne-disease-annual-reports.htm</w:t>
        </w:r>
      </w:hyperlink>
      <w:r w:rsidRPr="00336CD8">
        <w:rPr>
          <w:rFonts w:cs="Arial"/>
          <w:noProof/>
          <w:sz w:val="20"/>
          <w:szCs w:val="20"/>
        </w:rPr>
        <w:t>. Accessed 11 April 2013</w:t>
      </w:r>
    </w:p>
    <w:p w14:paraId="4EDDE638"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Mannucci PM, Gdovin S, Gringeri A, Colombo M, Mele A, Schinaia N, Ciavarella N, Emerson SU, Purcell RH (1994) Transmission of hepatitis A to patients with hemophilia by factor VIII concentrates treated with organic solvent and detergent to inactivate viruses. Annals of Internal Medicine 120(1):1–7</w:t>
      </w:r>
    </w:p>
    <w:p w14:paraId="31D5C943"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Mbithi JN, Springthorpe VS, Boulet JR, Sattar SA (1992) Survival of hepatitis A virus on human hands and its transfer on contact with animate and inanimate surfaces. Journal of Clinical Microbiology 30(4):757–763</w:t>
      </w:r>
    </w:p>
    <w:p w14:paraId="7196E940"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McCaustland KA, Bond WW, Bradley DW, Ebert JW, Maynard JE (1982) Survival of hepatitis A virus in feces after drying and storage for 1 month. Journal of Clinical Microbiology 16(5):957–9</w:t>
      </w:r>
    </w:p>
    <w:p w14:paraId="457F3B41"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Millard J, Appleton H, Parry J (1987) Studies on heat inactivation of hepatitis A virus with special reference to shellfish. Journal of Food Protection 98:397–414</w:t>
      </w:r>
    </w:p>
    <w:p w14:paraId="3D1101F5" w14:textId="785FA57A" w:rsidR="00285EF0" w:rsidRPr="00336CD8" w:rsidRDefault="00285EF0" w:rsidP="00285EF0">
      <w:pPr>
        <w:tabs>
          <w:tab w:val="left" w:pos="0"/>
        </w:tabs>
        <w:spacing w:after="120"/>
        <w:rPr>
          <w:rFonts w:cs="Arial"/>
          <w:noProof/>
          <w:sz w:val="20"/>
          <w:szCs w:val="20"/>
        </w:rPr>
      </w:pPr>
      <w:r w:rsidRPr="00336CD8">
        <w:rPr>
          <w:rFonts w:cs="Arial"/>
          <w:noProof/>
          <w:sz w:val="20"/>
          <w:szCs w:val="20"/>
        </w:rPr>
        <w:t>Moore J (2001) An introductio</w:t>
      </w:r>
      <w:r w:rsidR="006B32C8">
        <w:rPr>
          <w:rFonts w:cs="Arial"/>
          <w:noProof/>
          <w:sz w:val="20"/>
          <w:szCs w:val="20"/>
        </w:rPr>
        <w:t xml:space="preserve">n to the invertebrates. </w:t>
      </w:r>
      <w:r w:rsidRPr="00336CD8">
        <w:rPr>
          <w:rFonts w:cs="Arial"/>
          <w:noProof/>
          <w:sz w:val="20"/>
          <w:szCs w:val="20"/>
        </w:rPr>
        <w:t>Cambridge Univesity Press, Cambridge</w:t>
      </w:r>
    </w:p>
    <w:p w14:paraId="5084E992" w14:textId="77777777" w:rsidR="00285EF0" w:rsidRPr="006A4234" w:rsidRDefault="00285EF0" w:rsidP="00285EF0">
      <w:pPr>
        <w:tabs>
          <w:tab w:val="left" w:pos="0"/>
        </w:tabs>
        <w:spacing w:after="120"/>
        <w:rPr>
          <w:rFonts w:cs="Arial"/>
          <w:noProof/>
          <w:sz w:val="20"/>
          <w:szCs w:val="20"/>
        </w:rPr>
      </w:pPr>
      <w:r w:rsidRPr="00336CD8">
        <w:rPr>
          <w:rFonts w:cs="Arial"/>
          <w:noProof/>
          <w:sz w:val="20"/>
          <w:szCs w:val="20"/>
        </w:rPr>
        <w:t xml:space="preserve">NNDSS (2013) Notifications for all disease by State &amp; Territory and year. National Notifiable Disease Surveillance System, Department </w:t>
      </w:r>
      <w:r>
        <w:rPr>
          <w:rFonts w:cs="Arial"/>
          <w:noProof/>
          <w:sz w:val="20"/>
          <w:szCs w:val="20"/>
        </w:rPr>
        <w:t xml:space="preserve">of Health and Ageing, Canberra. </w:t>
      </w:r>
      <w:hyperlink r:id="rId558" w:history="1">
        <w:r w:rsidRPr="00336CD8">
          <w:rPr>
            <w:rStyle w:val="Hyperlink"/>
            <w:rFonts w:cs="Arial"/>
            <w:noProof/>
            <w:sz w:val="20"/>
            <w:szCs w:val="20"/>
          </w:rPr>
          <w:t>http://www9.health.gov.au/cda/source/cda-index.cfm</w:t>
        </w:r>
      </w:hyperlink>
      <w:r w:rsidRPr="00336CD8">
        <w:rPr>
          <w:rFonts w:cs="Arial"/>
          <w:noProof/>
          <w:sz w:val="20"/>
          <w:szCs w:val="20"/>
        </w:rPr>
        <w:t>. Accessed 17 April 2013</w:t>
      </w:r>
    </w:p>
    <w:p w14:paraId="16017084"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Normann A, Badur S, Onel D, Kilic A, Sidal M, Larouze B, Massari V, Muller J, Flehmig B (2008) Acute hepatitis A virus infection in Turkey. Journal of Medical Virology 80:785–790</w:t>
      </w:r>
    </w:p>
    <w:p w14:paraId="50462FB3"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OzFoodNet (2012) Monitoring the incidence and causes of diseases potentially transmitted by food in Australia: Annual report of the OzFoodNet Network, 2010. Communicable Diseases Intelligence 36(3):E213–E241</w:t>
      </w:r>
    </w:p>
    <w:p w14:paraId="25EE75E9" w14:textId="77777777" w:rsidR="00E94ED2" w:rsidRDefault="00E94ED2">
      <w:pPr>
        <w:widowControl/>
        <w:rPr>
          <w:rFonts w:cs="Arial"/>
          <w:noProof/>
          <w:sz w:val="20"/>
          <w:szCs w:val="20"/>
        </w:rPr>
      </w:pPr>
      <w:r>
        <w:rPr>
          <w:rFonts w:cs="Arial"/>
          <w:noProof/>
          <w:sz w:val="20"/>
          <w:szCs w:val="20"/>
        </w:rPr>
        <w:br w:type="page"/>
      </w:r>
    </w:p>
    <w:p w14:paraId="2FA0C543" w14:textId="55CC9EA1" w:rsidR="00285EF0" w:rsidRPr="00336CD8" w:rsidRDefault="00285EF0" w:rsidP="00285EF0">
      <w:pPr>
        <w:tabs>
          <w:tab w:val="left" w:pos="0"/>
        </w:tabs>
        <w:spacing w:after="120"/>
        <w:rPr>
          <w:rFonts w:cs="Arial"/>
          <w:noProof/>
          <w:sz w:val="20"/>
          <w:szCs w:val="20"/>
        </w:rPr>
      </w:pPr>
      <w:r w:rsidRPr="00336CD8">
        <w:rPr>
          <w:rFonts w:cs="Arial"/>
          <w:noProof/>
          <w:sz w:val="20"/>
          <w:szCs w:val="20"/>
        </w:rPr>
        <w:t>Romalde JL, Area E, Sanchez G, Ribao C, Torrado I, Abad X, Pinto RM, Barja JL, Bosch A (2002) Prevalence of enterovirus and hepatitis A virus in bivalve molluscs from Galicia (NW Spain): Inadequacy of the EU standards of microbiological quality. International Journal of Food Microbiology 74:119–130</w:t>
      </w:r>
    </w:p>
    <w:p w14:paraId="45BC7002"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Rozenberg F, Deback C, Agut H (2011) Herpes simplex encephalitis: From virus to therapy. Infectious Disorders - Drug Targets 11:235–250</w:t>
      </w:r>
    </w:p>
    <w:p w14:paraId="6921E04E"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Rzezutka A, Cook N (2004) Survival of human enteric viruses in the environment and food. FEMS Microbiology Reviews 28:441–453</w:t>
      </w:r>
    </w:p>
    <w:p w14:paraId="53A6F989"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Sattar SA, Tetro J, Bidawid S, Farber J (2000) Foodborne spread of hepatitis A: Recent studies on virus survival, transfer and inactivation. Canadian Journal of Infectious Diseases 11(3):159–163</w:t>
      </w:r>
    </w:p>
    <w:p w14:paraId="47BFD782"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Scholz E, Heinricy U, Flehmig B (1989) Acid stability of hepatitis A virus. Journal of General Virology 70:2481–2485</w:t>
      </w:r>
    </w:p>
    <w:p w14:paraId="25BB6ECB"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Schoub BD (2003) Hepatitis. Ch 2 In: Miliotis MD, Bier JW (eds) International Handbook of Foodborne Pathogens. Marcel Dekker, New York, p. 15–25</w:t>
      </w:r>
    </w:p>
    <w:p w14:paraId="2296300C" w14:textId="77777777" w:rsidR="00285EF0" w:rsidRPr="00336CD8" w:rsidRDefault="00285EF0" w:rsidP="00285EF0">
      <w:pPr>
        <w:tabs>
          <w:tab w:val="left" w:pos="0"/>
        </w:tabs>
        <w:spacing w:after="120"/>
        <w:rPr>
          <w:rFonts w:cs="Arial"/>
          <w:noProof/>
          <w:sz w:val="20"/>
          <w:szCs w:val="20"/>
        </w:rPr>
      </w:pPr>
      <w:r w:rsidRPr="00336CD8">
        <w:rPr>
          <w:rFonts w:cs="Arial"/>
          <w:noProof/>
          <w:sz w:val="20"/>
          <w:szCs w:val="20"/>
        </w:rPr>
        <w:t>Shieh YC, Stewart DS, Laird DT (2009) Survival of Hepatitis A virus in spinach during low temperature storage. Journal of Food Protection 72(11):2390–2393</w:t>
      </w:r>
    </w:p>
    <w:p w14:paraId="76BE0F14" w14:textId="565B4628" w:rsidR="00285EF0" w:rsidRPr="00336CD8" w:rsidRDefault="00285EF0" w:rsidP="00285EF0">
      <w:pPr>
        <w:tabs>
          <w:tab w:val="left" w:pos="0"/>
        </w:tabs>
        <w:spacing w:after="120"/>
        <w:rPr>
          <w:rFonts w:cs="Arial"/>
          <w:noProof/>
          <w:sz w:val="20"/>
          <w:szCs w:val="20"/>
        </w:rPr>
      </w:pPr>
      <w:r w:rsidRPr="00336CD8">
        <w:rPr>
          <w:rFonts w:cs="Arial"/>
          <w:noProof/>
          <w:sz w:val="20"/>
          <w:szCs w:val="20"/>
        </w:rPr>
        <w:t>WHO (2000) Hepatitis A. WHO/CDS/CSR/EDC/2000.7. Wor</w:t>
      </w:r>
      <w:r>
        <w:rPr>
          <w:rFonts w:cs="Arial"/>
          <w:noProof/>
          <w:sz w:val="20"/>
          <w:szCs w:val="20"/>
        </w:rPr>
        <w:t xml:space="preserve">ld Health Organization, Geneva. </w:t>
      </w:r>
      <w:hyperlink r:id="rId559" w:history="1">
        <w:r w:rsidRPr="00336CD8">
          <w:rPr>
            <w:rStyle w:val="Hyperlink"/>
            <w:rFonts w:cs="Arial"/>
            <w:noProof/>
            <w:sz w:val="20"/>
            <w:szCs w:val="20"/>
          </w:rPr>
          <w:t>http://www.who.int/csr/disease/hepatitis/HepatitisA_whocdscsredc2000_7.pdf</w:t>
        </w:r>
      </w:hyperlink>
      <w:r w:rsidR="00DB681B">
        <w:rPr>
          <w:rFonts w:cs="Arial"/>
          <w:noProof/>
          <w:sz w:val="20"/>
          <w:szCs w:val="20"/>
        </w:rPr>
        <w:t>. Accessed 26 </w:t>
      </w:r>
      <w:r w:rsidRPr="00336CD8">
        <w:rPr>
          <w:rFonts w:cs="Arial"/>
          <w:noProof/>
          <w:sz w:val="20"/>
          <w:szCs w:val="20"/>
        </w:rPr>
        <w:t>November 2009</w:t>
      </w:r>
    </w:p>
    <w:p w14:paraId="2CEC510B" w14:textId="77777777" w:rsidR="00285EF0" w:rsidRDefault="00285EF0" w:rsidP="00285EF0">
      <w:pPr>
        <w:widowControl/>
      </w:pPr>
      <w:r>
        <w:br w:type="page"/>
      </w:r>
    </w:p>
    <w:p w14:paraId="00EDDC35" w14:textId="48A01DDD" w:rsidR="00285EF0" w:rsidRPr="006A4234" w:rsidRDefault="00354E14" w:rsidP="00285EF0">
      <w:pPr>
        <w:pStyle w:val="Heading2"/>
      </w:pPr>
      <w:bookmarkStart w:id="1086" w:name="_Toc87860108"/>
      <w:bookmarkStart w:id="1087" w:name="_Toc111648431"/>
      <w:bookmarkStart w:id="1088" w:name="_Toc122940941"/>
      <w:bookmarkStart w:id="1089" w:name="_Toc122941640"/>
      <w:bookmarkStart w:id="1090" w:name="_Toc122947461"/>
      <w:bookmarkStart w:id="1091" w:name="_Toc123010644"/>
      <w:bookmarkStart w:id="1092" w:name="_Toc123010882"/>
      <w:bookmarkStart w:id="1093" w:name="_Toc123015560"/>
      <w:bookmarkStart w:id="1094" w:name="_Toc125276396"/>
      <w:bookmarkStart w:id="1095" w:name="_Toc125348632"/>
      <w:bookmarkStart w:id="1096" w:name="_Toc125358690"/>
      <w:bookmarkStart w:id="1097" w:name="_Toc125362530"/>
      <w:r>
        <w:t>Appendix 7</w:t>
      </w:r>
      <w:r w:rsidRPr="00C839B6">
        <w:t xml:space="preserve"> – </w:t>
      </w:r>
      <w:r w:rsidR="00285EF0" w:rsidRPr="002918E4">
        <w:rPr>
          <w:i/>
        </w:rPr>
        <w:t>Listeria monocytogenes</w:t>
      </w:r>
      <w:r w:rsidR="00285EF0">
        <w:rPr>
          <w:rStyle w:val="FootnoteReference"/>
          <w:i/>
        </w:rPr>
        <w:footnoteReference w:id="30"/>
      </w:r>
      <w:bookmarkEnd w:id="1086"/>
    </w:p>
    <w:p w14:paraId="40257C20" w14:textId="77777777" w:rsidR="00285EF0" w:rsidRPr="00787E56" w:rsidRDefault="00285EF0" w:rsidP="00787E56">
      <w:pPr>
        <w:spacing w:before="240" w:after="240"/>
        <w:rPr>
          <w:b/>
          <w:i/>
        </w:rPr>
      </w:pPr>
      <w:bookmarkStart w:id="1098" w:name="_Toc66881442"/>
      <w:bookmarkStart w:id="1099" w:name="_Toc66883068"/>
      <w:r w:rsidRPr="00787E56">
        <w:rPr>
          <w:b/>
          <w:i/>
        </w:rPr>
        <w:t>Listeria monocytogenes</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7917AB2B" w14:textId="77777777" w:rsidR="00285EF0" w:rsidRPr="004C72EC" w:rsidRDefault="00285EF0" w:rsidP="00285EF0">
      <w:pPr>
        <w:rPr>
          <w:rFonts w:cs="Arial"/>
          <w:color w:val="000000"/>
          <w:szCs w:val="22"/>
        </w:rPr>
      </w:pPr>
      <w:r w:rsidRPr="0012650D">
        <w:rPr>
          <w:rFonts w:cs="Arial"/>
          <w:i/>
          <w:color w:val="000000"/>
          <w:szCs w:val="22"/>
        </w:rPr>
        <w:t>Listeria monocytogenes</w:t>
      </w:r>
      <w:r w:rsidRPr="0012650D">
        <w:rPr>
          <w:rFonts w:cs="Arial"/>
          <w:color w:val="000000"/>
          <w:szCs w:val="22"/>
        </w:rPr>
        <w:t xml:space="preserve"> is a bacterium that causes listeriosis, a disease that can have severe consequences for particular groups of the population. It can cause miscarriages in pregnant women and be fatal in immunocompromised individuals and the elderly. In healthy people, listeriosis generally only causes a mild form of illness. </w:t>
      </w:r>
      <w:r w:rsidRPr="0012650D">
        <w:rPr>
          <w:rFonts w:cs="Arial"/>
          <w:i/>
          <w:color w:val="000000"/>
          <w:szCs w:val="22"/>
        </w:rPr>
        <w:t xml:space="preserve">L. monocytogenes </w:t>
      </w:r>
      <w:r w:rsidRPr="0012650D">
        <w:rPr>
          <w:rFonts w:cs="Arial"/>
          <w:color w:val="000000"/>
          <w:szCs w:val="22"/>
        </w:rPr>
        <w:t>can be found throughout the environment. It has been isolated from domestic and wild animals, birds, soil, vegetation, fodder</w:t>
      </w:r>
      <w:r>
        <w:rPr>
          <w:rFonts w:cs="Arial"/>
          <w:color w:val="000000"/>
          <w:szCs w:val="22"/>
        </w:rPr>
        <w:t>,</w:t>
      </w:r>
      <w:r w:rsidRPr="0012650D">
        <w:rPr>
          <w:rFonts w:cs="Arial"/>
          <w:color w:val="000000"/>
          <w:szCs w:val="22"/>
        </w:rPr>
        <w:t xml:space="preserve"> water</w:t>
      </w:r>
      <w:r>
        <w:rPr>
          <w:rFonts w:cs="Arial"/>
          <w:color w:val="000000"/>
          <w:szCs w:val="22"/>
        </w:rPr>
        <w:t xml:space="preserve"> and</w:t>
      </w:r>
      <w:r w:rsidRPr="0012650D">
        <w:rPr>
          <w:rFonts w:cs="Arial"/>
          <w:color w:val="000000"/>
          <w:szCs w:val="22"/>
        </w:rPr>
        <w:t xml:space="preserve"> from floors, drains and wet area</w:t>
      </w:r>
      <w:r>
        <w:rPr>
          <w:rFonts w:cs="Arial"/>
          <w:color w:val="000000"/>
          <w:szCs w:val="22"/>
        </w:rPr>
        <w:t>s of food processing factories.</w:t>
      </w:r>
    </w:p>
    <w:p w14:paraId="1C0E8A3B" w14:textId="77777777" w:rsidR="00285EF0" w:rsidRPr="004C72EC" w:rsidRDefault="00285EF0" w:rsidP="00787E56">
      <w:pPr>
        <w:pStyle w:val="Heading3"/>
        <w:rPr>
          <w:sz w:val="28"/>
        </w:rPr>
      </w:pPr>
      <w:bookmarkStart w:id="1100" w:name="_Toc66881443"/>
      <w:bookmarkStart w:id="1101" w:name="_Toc66883069"/>
      <w:bookmarkStart w:id="1102" w:name="_Toc87614470"/>
      <w:bookmarkStart w:id="1103" w:name="_Toc87860109"/>
      <w:r w:rsidRPr="00CA6FF3">
        <w:t>Description of the organism</w:t>
      </w:r>
      <w:bookmarkEnd w:id="1100"/>
      <w:bookmarkEnd w:id="1101"/>
      <w:bookmarkEnd w:id="1102"/>
      <w:bookmarkEnd w:id="1103"/>
    </w:p>
    <w:p w14:paraId="74D9CBC7" w14:textId="77777777" w:rsidR="00285EF0" w:rsidRPr="0012650D" w:rsidRDefault="00285EF0" w:rsidP="00285EF0">
      <w:pPr>
        <w:rPr>
          <w:rFonts w:cs="Arial"/>
          <w:color w:val="000000"/>
          <w:szCs w:val="22"/>
        </w:rPr>
      </w:pPr>
      <w:r w:rsidRPr="0012650D">
        <w:rPr>
          <w:rFonts w:cs="Arial"/>
          <w:i/>
          <w:color w:val="000000"/>
          <w:szCs w:val="22"/>
        </w:rPr>
        <w:t>L. monocytogenes</w:t>
      </w:r>
      <w:r w:rsidRPr="0012650D">
        <w:rPr>
          <w:rFonts w:cs="Arial"/>
          <w:color w:val="000000"/>
          <w:szCs w:val="22"/>
        </w:rPr>
        <w:t xml:space="preserve"> is a Gram-positive, non-spore forming rod-shaped bacterium. It belongs to the genus </w:t>
      </w:r>
      <w:r w:rsidRPr="0012650D">
        <w:rPr>
          <w:rFonts w:cs="Arial"/>
          <w:i/>
          <w:iCs/>
          <w:color w:val="000000"/>
          <w:szCs w:val="22"/>
        </w:rPr>
        <w:t>Listeria</w:t>
      </w:r>
      <w:r w:rsidRPr="0012650D">
        <w:rPr>
          <w:rFonts w:cs="Arial"/>
          <w:color w:val="000000"/>
          <w:szCs w:val="22"/>
        </w:rPr>
        <w:t xml:space="preserve"> along with </w:t>
      </w:r>
      <w:r w:rsidRPr="0012650D">
        <w:rPr>
          <w:rFonts w:cs="Arial"/>
          <w:i/>
          <w:iCs/>
          <w:color w:val="000000"/>
          <w:szCs w:val="22"/>
        </w:rPr>
        <w:t xml:space="preserve">L. ivanovii, L. innocua, L. welshimeri, L. selligeri </w:t>
      </w:r>
      <w:r w:rsidRPr="0012650D">
        <w:rPr>
          <w:rFonts w:cs="Arial"/>
          <w:iCs/>
          <w:color w:val="000000"/>
          <w:szCs w:val="22"/>
        </w:rPr>
        <w:t>and</w:t>
      </w:r>
      <w:r w:rsidRPr="0012650D">
        <w:rPr>
          <w:rFonts w:cs="Arial"/>
          <w:i/>
          <w:iCs/>
          <w:color w:val="000000"/>
          <w:szCs w:val="22"/>
        </w:rPr>
        <w:t xml:space="preserve"> L. grayi</w:t>
      </w:r>
      <w:r w:rsidRPr="0012650D">
        <w:rPr>
          <w:rFonts w:cs="Arial"/>
          <w:color w:val="000000"/>
          <w:szCs w:val="22"/>
        </w:rPr>
        <w:t xml:space="preserve"> </w:t>
      </w:r>
      <w:r w:rsidRPr="0012650D">
        <w:rPr>
          <w:rFonts w:cs="Arial"/>
          <w:noProof/>
          <w:color w:val="000000"/>
          <w:szCs w:val="22"/>
        </w:rPr>
        <w:t>(Rocourt and Buchrieser 2007)</w:t>
      </w:r>
      <w:r w:rsidRPr="0012650D">
        <w:rPr>
          <w:rFonts w:cs="Arial"/>
          <w:color w:val="000000"/>
          <w:szCs w:val="22"/>
        </w:rPr>
        <w:t xml:space="preserve">. Of these species, only two are considered pathogens: </w:t>
      </w:r>
      <w:r>
        <w:rPr>
          <w:rFonts w:cs="Arial"/>
          <w:color w:val="000000"/>
          <w:szCs w:val="22"/>
        </w:rPr>
        <w:br/>
      </w:r>
      <w:r w:rsidRPr="0012650D">
        <w:rPr>
          <w:rFonts w:cs="Arial"/>
          <w:i/>
          <w:color w:val="000000"/>
          <w:szCs w:val="22"/>
        </w:rPr>
        <w:t>L. monocytogenes</w:t>
      </w:r>
      <w:r w:rsidRPr="0012650D">
        <w:rPr>
          <w:rFonts w:cs="Arial"/>
          <w:color w:val="000000"/>
          <w:szCs w:val="22"/>
        </w:rPr>
        <w:t xml:space="preserve"> which infects humans and animals, and </w:t>
      </w:r>
      <w:r w:rsidRPr="0012650D">
        <w:rPr>
          <w:rFonts w:cs="Arial"/>
          <w:i/>
          <w:color w:val="000000"/>
          <w:szCs w:val="22"/>
        </w:rPr>
        <w:t>L. ivanovii</w:t>
      </w:r>
      <w:r w:rsidRPr="0012650D">
        <w:rPr>
          <w:rFonts w:cs="Arial"/>
          <w:color w:val="000000"/>
          <w:szCs w:val="22"/>
        </w:rPr>
        <w:t xml:space="preserve"> which infects ruminants (although there have been rare reports of </w:t>
      </w:r>
      <w:r w:rsidRPr="0012650D">
        <w:rPr>
          <w:rFonts w:cs="Arial"/>
          <w:i/>
          <w:color w:val="000000"/>
          <w:szCs w:val="22"/>
        </w:rPr>
        <w:t>L. ivanovii</w:t>
      </w:r>
      <w:r w:rsidRPr="0012650D">
        <w:rPr>
          <w:rFonts w:cs="Arial"/>
          <w:color w:val="000000"/>
          <w:szCs w:val="22"/>
        </w:rPr>
        <w:t xml:space="preserve"> being isolated from infected humans) </w:t>
      </w:r>
      <w:r w:rsidRPr="0012650D">
        <w:rPr>
          <w:rFonts w:cs="Arial"/>
          <w:noProof/>
          <w:color w:val="000000"/>
          <w:szCs w:val="22"/>
        </w:rPr>
        <w:t>(Guillet et al. 2010)</w:t>
      </w:r>
      <w:r w:rsidRPr="0012650D">
        <w:rPr>
          <w:rFonts w:cs="Arial"/>
          <w:color w:val="000000"/>
          <w:szCs w:val="22"/>
        </w:rPr>
        <w:t xml:space="preserve">. There are thirteen known serotypes of </w:t>
      </w:r>
      <w:r w:rsidRPr="0012650D">
        <w:rPr>
          <w:rFonts w:cs="Arial"/>
          <w:i/>
          <w:color w:val="000000"/>
          <w:szCs w:val="22"/>
        </w:rPr>
        <w:t>L. monocytogenes</w:t>
      </w:r>
      <w:r w:rsidRPr="0012650D">
        <w:rPr>
          <w:rFonts w:cs="Arial"/>
          <w:color w:val="000000"/>
          <w:szCs w:val="22"/>
        </w:rPr>
        <w:t xml:space="preserve">: 1/2a, 1/2b, 1/2c, 3a, 3b, 3c, 4a, 4ab, 4b, 4c, 4d, 4e and 7. The serotypes most often associated with human illness are 1/2a, 1/2b and 4b </w:t>
      </w:r>
      <w:r w:rsidRPr="0012650D">
        <w:rPr>
          <w:rFonts w:cs="Arial"/>
          <w:noProof/>
          <w:color w:val="000000"/>
          <w:szCs w:val="22"/>
        </w:rPr>
        <w:t>(FDA 2012)</w:t>
      </w:r>
      <w:r>
        <w:rPr>
          <w:rFonts w:cs="Arial"/>
          <w:color w:val="000000"/>
          <w:szCs w:val="22"/>
        </w:rPr>
        <w:t xml:space="preserve">. </w:t>
      </w:r>
    </w:p>
    <w:p w14:paraId="626B8308" w14:textId="77777777" w:rsidR="00285EF0" w:rsidRPr="004C72EC" w:rsidRDefault="00285EF0" w:rsidP="00787E56">
      <w:pPr>
        <w:pStyle w:val="Heading3"/>
        <w:rPr>
          <w:sz w:val="28"/>
        </w:rPr>
      </w:pPr>
      <w:bookmarkStart w:id="1104" w:name="_Toc105752559"/>
      <w:bookmarkStart w:id="1105" w:name="_Toc123010645"/>
      <w:bookmarkStart w:id="1106" w:name="_Toc66881444"/>
      <w:bookmarkStart w:id="1107" w:name="_Toc66883070"/>
      <w:bookmarkStart w:id="1108" w:name="_Toc87614471"/>
      <w:bookmarkStart w:id="1109" w:name="_Toc87860110"/>
      <w:r w:rsidRPr="00CA6FF3">
        <w:t>Growth and survival characteristics</w:t>
      </w:r>
      <w:bookmarkEnd w:id="1104"/>
      <w:bookmarkEnd w:id="1105"/>
      <w:bookmarkEnd w:id="1106"/>
      <w:bookmarkEnd w:id="1107"/>
      <w:bookmarkEnd w:id="1108"/>
      <w:bookmarkEnd w:id="1109"/>
    </w:p>
    <w:p w14:paraId="518EBFEB" w14:textId="77777777" w:rsidR="00285EF0" w:rsidRPr="0012650D" w:rsidRDefault="00285EF0" w:rsidP="00285EF0">
      <w:pPr>
        <w:rPr>
          <w:rFonts w:cs="Arial"/>
          <w:color w:val="000000"/>
          <w:szCs w:val="22"/>
        </w:rPr>
      </w:pPr>
      <w:r w:rsidRPr="0012650D">
        <w:rPr>
          <w:rFonts w:cs="Arial"/>
          <w:color w:val="000000"/>
          <w:szCs w:val="22"/>
        </w:rPr>
        <w:t xml:space="preserve">The growth and survival of </w:t>
      </w:r>
      <w:r w:rsidRPr="0012650D">
        <w:rPr>
          <w:rFonts w:cs="Arial"/>
          <w:i/>
          <w:color w:val="000000"/>
          <w:szCs w:val="22"/>
        </w:rPr>
        <w:t>L. monocytogenes</w:t>
      </w:r>
      <w:r w:rsidRPr="0012650D">
        <w:rPr>
          <w:rFonts w:cs="Arial"/>
          <w:color w:val="000000"/>
          <w:szCs w:val="22"/>
        </w:rPr>
        <w:t xml:space="preserve"> is influenced by a variety of factors. In food these include temperature, pH, water activity, salt and the presence of preservatives (refer to Table 1). </w:t>
      </w:r>
    </w:p>
    <w:p w14:paraId="6C65776E" w14:textId="77777777" w:rsidR="00285EF0" w:rsidRPr="0012650D" w:rsidRDefault="00285EF0" w:rsidP="00285EF0">
      <w:pPr>
        <w:rPr>
          <w:rFonts w:cs="Arial"/>
          <w:color w:val="000000"/>
          <w:szCs w:val="22"/>
        </w:rPr>
      </w:pPr>
    </w:p>
    <w:p w14:paraId="0BA3A7BB" w14:textId="77777777" w:rsidR="00285EF0" w:rsidRDefault="00285EF0" w:rsidP="00285EF0">
      <w:pPr>
        <w:rPr>
          <w:rFonts w:cs="Arial"/>
          <w:noProof/>
          <w:color w:val="000000"/>
          <w:szCs w:val="22"/>
        </w:rPr>
      </w:pPr>
      <w:r w:rsidRPr="0012650D">
        <w:rPr>
          <w:rFonts w:cs="Arial"/>
          <w:color w:val="000000"/>
          <w:szCs w:val="22"/>
        </w:rPr>
        <w:t xml:space="preserve">The temperature range for growth of </w:t>
      </w:r>
      <w:r w:rsidRPr="0012650D">
        <w:rPr>
          <w:rFonts w:cs="Arial"/>
          <w:i/>
          <w:color w:val="000000"/>
          <w:szCs w:val="22"/>
        </w:rPr>
        <w:t>L. monocytogenes</w:t>
      </w:r>
      <w:r w:rsidRPr="0012650D">
        <w:rPr>
          <w:rFonts w:cs="Arial"/>
          <w:color w:val="000000"/>
          <w:szCs w:val="22"/>
        </w:rPr>
        <w:t xml:space="preserve"> is between -1.5 and 45</w:t>
      </w:r>
      <w:r w:rsidRPr="0012650D">
        <w:rPr>
          <w:rFonts w:eastAsia="Calibri" w:cs="Arial"/>
          <w:color w:val="000000"/>
          <w:szCs w:val="22"/>
        </w:rPr>
        <w:t>°</w:t>
      </w:r>
      <w:r w:rsidRPr="0012650D">
        <w:rPr>
          <w:rFonts w:cs="Arial"/>
          <w:color w:val="000000"/>
          <w:szCs w:val="22"/>
        </w:rPr>
        <w:t>C, with the optimal temperature being 30–37</w:t>
      </w:r>
      <w:r w:rsidRPr="0012650D">
        <w:rPr>
          <w:rFonts w:eastAsia="Calibri" w:cs="Arial"/>
          <w:color w:val="000000"/>
          <w:szCs w:val="22"/>
        </w:rPr>
        <w:t>°</w:t>
      </w:r>
      <w:r w:rsidRPr="0012650D">
        <w:rPr>
          <w:rFonts w:cs="Arial"/>
          <w:color w:val="000000"/>
          <w:szCs w:val="22"/>
        </w:rPr>
        <w:t xml:space="preserve">C. Freezing can lead to a reduction in </w:t>
      </w:r>
      <w:r w:rsidRPr="0012650D">
        <w:rPr>
          <w:rFonts w:cs="Arial"/>
          <w:i/>
          <w:color w:val="000000"/>
          <w:szCs w:val="22"/>
        </w:rPr>
        <w:t xml:space="preserve">L. monocytogenes </w:t>
      </w:r>
      <w:r w:rsidRPr="0012650D">
        <w:rPr>
          <w:rFonts w:cs="Arial"/>
          <w:color w:val="000000"/>
          <w:szCs w:val="22"/>
        </w:rPr>
        <w:t xml:space="preserve">numbers </w:t>
      </w:r>
      <w:r w:rsidRPr="0012650D">
        <w:rPr>
          <w:rFonts w:cs="Arial"/>
          <w:noProof/>
          <w:color w:val="000000"/>
          <w:szCs w:val="22"/>
        </w:rPr>
        <w:t>(Lado and Yousef 2007)</w:t>
      </w:r>
      <w:r>
        <w:rPr>
          <w:rFonts w:cs="Arial"/>
          <w:noProof/>
          <w:color w:val="000000"/>
          <w:szCs w:val="22"/>
        </w:rPr>
        <w:t xml:space="preserve">. </w:t>
      </w:r>
      <w:r w:rsidRPr="0012650D">
        <w:rPr>
          <w:rFonts w:cs="Arial"/>
          <w:color w:val="000000"/>
          <w:szCs w:val="22"/>
        </w:rPr>
        <w:t xml:space="preserve">As </w:t>
      </w:r>
      <w:r w:rsidRPr="0012650D">
        <w:rPr>
          <w:rFonts w:cs="Arial"/>
          <w:i/>
          <w:color w:val="000000"/>
          <w:szCs w:val="22"/>
        </w:rPr>
        <w:t>L. monocytogenes</w:t>
      </w:r>
      <w:r w:rsidRPr="0012650D">
        <w:rPr>
          <w:rFonts w:cs="Arial"/>
          <w:color w:val="000000"/>
          <w:szCs w:val="22"/>
        </w:rPr>
        <w:t xml:space="preserve"> can grow at temperatures as low as 0</w:t>
      </w:r>
      <w:r w:rsidRPr="0012650D">
        <w:rPr>
          <w:rFonts w:eastAsia="Calibri" w:cs="Arial"/>
          <w:color w:val="000000"/>
          <w:szCs w:val="22"/>
        </w:rPr>
        <w:t>°</w:t>
      </w:r>
      <w:r w:rsidRPr="0012650D">
        <w:rPr>
          <w:rFonts w:cs="Arial"/>
          <w:color w:val="000000"/>
          <w:szCs w:val="22"/>
        </w:rPr>
        <w:t>C, it has the potential to grow, albeit slowly, in food during refrigerated storage.</w:t>
      </w:r>
    </w:p>
    <w:p w14:paraId="206672A6" w14:textId="77777777" w:rsidR="00285EF0" w:rsidRDefault="00285EF0" w:rsidP="00285EF0">
      <w:pPr>
        <w:rPr>
          <w:rFonts w:cs="Arial"/>
          <w:noProof/>
          <w:color w:val="000000"/>
          <w:szCs w:val="22"/>
        </w:rPr>
      </w:pPr>
    </w:p>
    <w:p w14:paraId="1549093F" w14:textId="77777777" w:rsidR="00285EF0" w:rsidRPr="002C513F" w:rsidRDefault="00285EF0" w:rsidP="00285EF0">
      <w:pPr>
        <w:autoSpaceDE w:val="0"/>
        <w:autoSpaceDN w:val="0"/>
        <w:adjustRightInd w:val="0"/>
        <w:rPr>
          <w:rFonts w:eastAsia="Calibri" w:cs="Arial"/>
          <w:color w:val="000000"/>
          <w:szCs w:val="22"/>
        </w:rPr>
      </w:pPr>
      <w:r>
        <w:rPr>
          <w:rFonts w:cs="Arial"/>
          <w:noProof/>
          <w:color w:val="000000"/>
          <w:szCs w:val="22"/>
        </w:rPr>
        <w:t xml:space="preserve">Multiple factors influence the heat resistance of </w:t>
      </w:r>
      <w:r>
        <w:rPr>
          <w:rFonts w:cs="Arial"/>
          <w:i/>
          <w:noProof/>
          <w:color w:val="000000"/>
          <w:szCs w:val="22"/>
        </w:rPr>
        <w:t>L. monocytogenes</w:t>
      </w:r>
      <w:r>
        <w:rPr>
          <w:rFonts w:cs="Arial"/>
          <w:noProof/>
          <w:color w:val="000000"/>
          <w:szCs w:val="22"/>
        </w:rPr>
        <w:t xml:space="preserve">, including the characteristics of the food, such as salt content, water activiy and acidity. A higher fat content is more protective of </w:t>
      </w:r>
      <w:r>
        <w:rPr>
          <w:rFonts w:cs="Arial"/>
          <w:i/>
          <w:noProof/>
          <w:color w:val="000000"/>
          <w:szCs w:val="22"/>
        </w:rPr>
        <w:t xml:space="preserve">L. monocytogenes. </w:t>
      </w:r>
      <w:r>
        <w:rPr>
          <w:rFonts w:cs="Arial"/>
          <w:noProof/>
          <w:color w:val="000000"/>
          <w:szCs w:val="22"/>
        </w:rPr>
        <w:t>For example the D-value at 57.2</w:t>
      </w:r>
      <w:r w:rsidRPr="0012650D">
        <w:rPr>
          <w:rFonts w:cs="Arial"/>
          <w:color w:val="000000"/>
          <w:szCs w:val="22"/>
        </w:rPr>
        <w:t>°</w:t>
      </w:r>
      <w:r w:rsidRPr="0012650D">
        <w:rPr>
          <w:rFonts w:eastAsia="Calibri" w:cs="Arial"/>
          <w:color w:val="000000"/>
          <w:szCs w:val="22"/>
        </w:rPr>
        <w:t>C</w:t>
      </w:r>
      <w:r>
        <w:rPr>
          <w:rFonts w:eastAsia="Calibri" w:cs="Arial"/>
          <w:color w:val="000000"/>
          <w:szCs w:val="22"/>
        </w:rPr>
        <w:t xml:space="preserve"> for high fat beef (30.5%) and low fat beef (2%) was 5.8 and 2.6 minutes respectively; and for milk the D-value at 60</w:t>
      </w:r>
      <w:r w:rsidRPr="0012650D">
        <w:rPr>
          <w:rFonts w:cs="Arial"/>
          <w:color w:val="000000"/>
          <w:szCs w:val="22"/>
        </w:rPr>
        <w:t>°</w:t>
      </w:r>
      <w:r w:rsidRPr="0012650D">
        <w:rPr>
          <w:rFonts w:eastAsia="Calibri" w:cs="Arial"/>
          <w:color w:val="000000"/>
          <w:szCs w:val="22"/>
        </w:rPr>
        <w:t>C</w:t>
      </w:r>
      <w:r>
        <w:rPr>
          <w:rFonts w:eastAsia="Calibri" w:cs="Arial"/>
          <w:color w:val="000000"/>
          <w:szCs w:val="22"/>
        </w:rPr>
        <w:t xml:space="preserve"> in whole milk and skim milk was 1.5-2.1 and 0.95-1.05 minutes respectively. In vegetables, the D-value at 56</w:t>
      </w:r>
      <w:r w:rsidRPr="0012650D">
        <w:rPr>
          <w:rFonts w:cs="Arial"/>
          <w:color w:val="000000"/>
          <w:szCs w:val="22"/>
        </w:rPr>
        <w:t>°</w:t>
      </w:r>
      <w:r w:rsidRPr="0012650D">
        <w:rPr>
          <w:rFonts w:eastAsia="Calibri" w:cs="Arial"/>
          <w:color w:val="000000"/>
          <w:szCs w:val="22"/>
        </w:rPr>
        <w:t>C</w:t>
      </w:r>
      <w:r>
        <w:rPr>
          <w:rFonts w:eastAsia="Calibri" w:cs="Arial"/>
          <w:color w:val="000000"/>
          <w:szCs w:val="22"/>
        </w:rPr>
        <w:t xml:space="preserve"> ranged from 0.8 minutes for onions to 5.2 minutes for peas (Doyle et al 2001). </w:t>
      </w:r>
    </w:p>
    <w:p w14:paraId="2DF47F8B" w14:textId="77777777" w:rsidR="00285EF0" w:rsidRPr="0012650D" w:rsidRDefault="00285EF0" w:rsidP="00285EF0">
      <w:pPr>
        <w:rPr>
          <w:rFonts w:cs="Arial"/>
          <w:color w:val="000000"/>
          <w:szCs w:val="22"/>
        </w:rPr>
      </w:pPr>
    </w:p>
    <w:p w14:paraId="17CDC02E" w14:textId="77777777" w:rsidR="00285EF0" w:rsidRPr="0012650D" w:rsidRDefault="00285EF0" w:rsidP="00285EF0">
      <w:pPr>
        <w:rPr>
          <w:rFonts w:cs="Arial"/>
          <w:color w:val="000000"/>
          <w:szCs w:val="22"/>
        </w:rPr>
      </w:pPr>
      <w:r w:rsidRPr="0012650D">
        <w:rPr>
          <w:rFonts w:cs="Arial"/>
          <w:i/>
          <w:color w:val="000000"/>
          <w:szCs w:val="22"/>
        </w:rPr>
        <w:t>L. monocytogenes</w:t>
      </w:r>
      <w:r w:rsidRPr="0012650D">
        <w:rPr>
          <w:rFonts w:cs="Arial"/>
          <w:color w:val="000000"/>
          <w:szCs w:val="22"/>
        </w:rPr>
        <w:t xml:space="preserve"> will grow in a broad pH range of 4.0–9.6 </w:t>
      </w:r>
      <w:r w:rsidRPr="0012650D">
        <w:rPr>
          <w:rFonts w:cs="Arial"/>
          <w:noProof/>
          <w:color w:val="000000"/>
          <w:szCs w:val="22"/>
        </w:rPr>
        <w:t>(Lado and Yousef 2007)</w:t>
      </w:r>
      <w:r w:rsidRPr="0012650D">
        <w:rPr>
          <w:rFonts w:cs="Arial"/>
          <w:color w:val="000000"/>
          <w:szCs w:val="22"/>
        </w:rPr>
        <w:t xml:space="preserve">. Although growth at pH &lt;4.0 has not been documented, </w:t>
      </w:r>
      <w:r w:rsidRPr="0012650D">
        <w:rPr>
          <w:rFonts w:cs="Arial"/>
          <w:i/>
          <w:color w:val="000000"/>
          <w:szCs w:val="22"/>
        </w:rPr>
        <w:t>L. monocytogenes</w:t>
      </w:r>
      <w:r w:rsidRPr="0012650D">
        <w:rPr>
          <w:rFonts w:cs="Arial"/>
          <w:color w:val="000000"/>
          <w:szCs w:val="22"/>
        </w:rPr>
        <w:t xml:space="preserve"> appears to be relatively tolerant to acidic conditions. </w:t>
      </w:r>
      <w:r w:rsidRPr="0012650D">
        <w:rPr>
          <w:rFonts w:cs="Arial"/>
          <w:i/>
          <w:color w:val="000000"/>
          <w:szCs w:val="22"/>
        </w:rPr>
        <w:t>L. monocytogenes</w:t>
      </w:r>
      <w:r w:rsidRPr="0012650D">
        <w:rPr>
          <w:rFonts w:cs="Arial"/>
          <w:color w:val="000000"/>
          <w:szCs w:val="22"/>
        </w:rPr>
        <w:t xml:space="preserve"> becomes more sensitive to acidic conditions at higher temperatures </w:t>
      </w:r>
      <w:r w:rsidRPr="0012650D">
        <w:rPr>
          <w:rFonts w:cs="Arial"/>
          <w:noProof/>
          <w:color w:val="000000"/>
          <w:szCs w:val="22"/>
        </w:rPr>
        <w:t>(Lado and Yousef 2007)</w:t>
      </w:r>
      <w:r w:rsidRPr="0012650D">
        <w:rPr>
          <w:rFonts w:cs="Arial"/>
          <w:color w:val="000000"/>
          <w:szCs w:val="22"/>
        </w:rPr>
        <w:t>.</w:t>
      </w:r>
    </w:p>
    <w:p w14:paraId="4B525F87" w14:textId="77777777" w:rsidR="00285EF0" w:rsidRPr="0012650D" w:rsidRDefault="00285EF0" w:rsidP="00285EF0">
      <w:pPr>
        <w:rPr>
          <w:rFonts w:cs="Arial"/>
          <w:color w:val="000000"/>
          <w:szCs w:val="22"/>
        </w:rPr>
      </w:pPr>
    </w:p>
    <w:p w14:paraId="48906A24" w14:textId="77777777" w:rsidR="00E94ED2" w:rsidRDefault="00E94ED2">
      <w:pPr>
        <w:widowControl/>
        <w:rPr>
          <w:rFonts w:cs="Arial"/>
          <w:color w:val="000000"/>
          <w:szCs w:val="22"/>
        </w:rPr>
      </w:pPr>
      <w:r>
        <w:rPr>
          <w:rFonts w:cs="Arial"/>
          <w:color w:val="000000"/>
          <w:szCs w:val="22"/>
        </w:rPr>
        <w:br w:type="page"/>
      </w:r>
    </w:p>
    <w:p w14:paraId="3227AE70" w14:textId="605218DB" w:rsidR="00285EF0" w:rsidRPr="0012650D" w:rsidRDefault="00285EF0" w:rsidP="00285EF0">
      <w:pPr>
        <w:rPr>
          <w:rFonts w:cs="Arial"/>
          <w:color w:val="000000"/>
          <w:szCs w:val="22"/>
        </w:rPr>
      </w:pPr>
      <w:r w:rsidRPr="0012650D">
        <w:rPr>
          <w:rFonts w:cs="Arial"/>
          <w:color w:val="000000"/>
          <w:szCs w:val="22"/>
        </w:rPr>
        <w:t>Like most bacterial species,</w:t>
      </w:r>
      <w:r w:rsidRPr="0012650D">
        <w:rPr>
          <w:rFonts w:cs="Arial"/>
          <w:i/>
          <w:color w:val="000000"/>
          <w:szCs w:val="22"/>
        </w:rPr>
        <w:t xml:space="preserve"> L. monocytogenes</w:t>
      </w:r>
      <w:r w:rsidRPr="0012650D">
        <w:rPr>
          <w:rFonts w:cs="Arial"/>
          <w:color w:val="000000"/>
          <w:szCs w:val="22"/>
        </w:rPr>
        <w:t xml:space="preserve"> grows optimally at a water activity (a</w:t>
      </w:r>
      <w:r w:rsidRPr="0012650D">
        <w:rPr>
          <w:rFonts w:cs="Arial"/>
          <w:color w:val="000000"/>
          <w:szCs w:val="22"/>
          <w:vertAlign w:val="subscript"/>
        </w:rPr>
        <w:t>w</w:t>
      </w:r>
      <w:r w:rsidRPr="0012650D">
        <w:rPr>
          <w:rFonts w:cs="Arial"/>
          <w:color w:val="000000"/>
          <w:szCs w:val="22"/>
        </w:rPr>
        <w:t xml:space="preserve">) of 0.97. However, </w:t>
      </w:r>
      <w:r w:rsidRPr="0012650D">
        <w:rPr>
          <w:rFonts w:cs="Arial"/>
          <w:i/>
          <w:color w:val="000000"/>
          <w:szCs w:val="22"/>
        </w:rPr>
        <w:t xml:space="preserve">L. monocytogenes </w:t>
      </w:r>
      <w:r w:rsidRPr="0012650D">
        <w:rPr>
          <w:rFonts w:cs="Arial"/>
          <w:color w:val="000000"/>
          <w:szCs w:val="22"/>
        </w:rPr>
        <w:t>also has the ability to grow at a a</w:t>
      </w:r>
      <w:r w:rsidRPr="0012650D">
        <w:rPr>
          <w:rFonts w:cs="Arial"/>
          <w:color w:val="000000"/>
          <w:szCs w:val="22"/>
          <w:vertAlign w:val="subscript"/>
        </w:rPr>
        <w:t>w</w:t>
      </w:r>
      <w:r w:rsidRPr="0012650D">
        <w:rPr>
          <w:rFonts w:cs="Arial"/>
          <w:color w:val="000000"/>
          <w:szCs w:val="22"/>
        </w:rPr>
        <w:t xml:space="preserve"> of 0.90 </w:t>
      </w:r>
      <w:r w:rsidRPr="0012650D">
        <w:rPr>
          <w:rFonts w:cs="Arial"/>
          <w:noProof/>
          <w:color w:val="000000"/>
          <w:szCs w:val="22"/>
        </w:rPr>
        <w:t>(Lado and Yousef 2007)</w:t>
      </w:r>
      <w:r w:rsidRPr="0012650D">
        <w:rPr>
          <w:rFonts w:cs="Arial"/>
          <w:color w:val="000000"/>
          <w:szCs w:val="22"/>
        </w:rPr>
        <w:t xml:space="preserve">. Johnson et al. </w:t>
      </w:r>
      <w:r w:rsidRPr="0012650D">
        <w:rPr>
          <w:rFonts w:cs="Arial"/>
          <w:noProof/>
          <w:color w:val="000000"/>
          <w:szCs w:val="22"/>
        </w:rPr>
        <w:t>(1988)</w:t>
      </w:r>
      <w:r w:rsidRPr="0012650D">
        <w:rPr>
          <w:rFonts w:cs="Arial"/>
          <w:color w:val="000000"/>
          <w:szCs w:val="22"/>
        </w:rPr>
        <w:t xml:space="preserve"> demonstrated that </w:t>
      </w:r>
      <w:r w:rsidRPr="0012650D">
        <w:rPr>
          <w:rFonts w:cs="Arial"/>
          <w:i/>
          <w:color w:val="000000"/>
          <w:szCs w:val="22"/>
        </w:rPr>
        <w:t xml:space="preserve">L. monocytogenes </w:t>
      </w:r>
      <w:r w:rsidRPr="0012650D">
        <w:rPr>
          <w:rFonts w:cs="Arial"/>
          <w:color w:val="000000"/>
          <w:szCs w:val="22"/>
        </w:rPr>
        <w:t>can survive for extended periods of time at a a</w:t>
      </w:r>
      <w:r w:rsidRPr="0012650D">
        <w:rPr>
          <w:rFonts w:cs="Arial"/>
          <w:color w:val="000000"/>
          <w:szCs w:val="22"/>
          <w:vertAlign w:val="subscript"/>
        </w:rPr>
        <w:t>w</w:t>
      </w:r>
      <w:r w:rsidRPr="0012650D">
        <w:rPr>
          <w:rFonts w:cs="Arial"/>
          <w:color w:val="000000"/>
          <w:szCs w:val="22"/>
        </w:rPr>
        <w:t xml:space="preserve"> value of 0.81. </w:t>
      </w:r>
      <w:r w:rsidRPr="0012650D">
        <w:rPr>
          <w:rFonts w:cs="Arial"/>
          <w:i/>
          <w:color w:val="000000"/>
          <w:szCs w:val="22"/>
        </w:rPr>
        <w:t>L. monocytogenes</w:t>
      </w:r>
      <w:r w:rsidRPr="0012650D">
        <w:rPr>
          <w:rFonts w:cs="Arial"/>
          <w:color w:val="000000"/>
          <w:szCs w:val="22"/>
        </w:rPr>
        <w:t xml:space="preserve"> is reasonably tolerant to salt and has been reported to grow in 13–14% sodium chloride </w:t>
      </w:r>
      <w:r w:rsidRPr="0012650D">
        <w:rPr>
          <w:rFonts w:cs="Arial"/>
          <w:noProof/>
          <w:color w:val="000000"/>
          <w:szCs w:val="22"/>
        </w:rPr>
        <w:t>(Farber et al. 1992)</w:t>
      </w:r>
      <w:r w:rsidRPr="0012650D">
        <w:rPr>
          <w:rFonts w:cs="Arial"/>
          <w:color w:val="000000"/>
          <w:szCs w:val="22"/>
        </w:rPr>
        <w:t xml:space="preserve">. Survival in the presence of salt is influenced by the storage temperature. Studies have indicated that in concentrated salt solutions, the survival rate of </w:t>
      </w:r>
      <w:r w:rsidRPr="0012650D">
        <w:rPr>
          <w:rFonts w:cs="Arial"/>
          <w:i/>
          <w:color w:val="000000"/>
          <w:szCs w:val="22"/>
        </w:rPr>
        <w:t>L. monocytogenes</w:t>
      </w:r>
      <w:r w:rsidRPr="0012650D">
        <w:rPr>
          <w:rFonts w:cs="Arial"/>
          <w:color w:val="000000"/>
          <w:szCs w:val="22"/>
        </w:rPr>
        <w:t xml:space="preserve"> is higher when the temperature is lower </w:t>
      </w:r>
      <w:r w:rsidRPr="0012650D">
        <w:rPr>
          <w:rFonts w:cs="Arial"/>
          <w:noProof/>
          <w:color w:val="000000"/>
          <w:szCs w:val="22"/>
        </w:rPr>
        <w:t>(Lado and Yousef 2007)</w:t>
      </w:r>
      <w:r w:rsidRPr="0012650D">
        <w:rPr>
          <w:rFonts w:cs="Arial"/>
          <w:color w:val="000000"/>
          <w:szCs w:val="22"/>
        </w:rPr>
        <w:t>.</w:t>
      </w:r>
    </w:p>
    <w:p w14:paraId="375BC3D9" w14:textId="77777777" w:rsidR="00285EF0" w:rsidRPr="0012650D" w:rsidRDefault="00285EF0" w:rsidP="00285EF0">
      <w:pPr>
        <w:rPr>
          <w:rFonts w:cs="Arial"/>
          <w:color w:val="000000"/>
          <w:szCs w:val="22"/>
        </w:rPr>
      </w:pPr>
    </w:p>
    <w:p w14:paraId="56752868" w14:textId="77777777" w:rsidR="00285EF0" w:rsidRPr="0012650D" w:rsidRDefault="00285EF0" w:rsidP="00285EF0">
      <w:pPr>
        <w:rPr>
          <w:rFonts w:cs="Arial"/>
          <w:color w:val="000000"/>
          <w:szCs w:val="22"/>
        </w:rPr>
      </w:pPr>
      <w:r w:rsidRPr="0012650D">
        <w:rPr>
          <w:rFonts w:cs="Arial"/>
          <w:i/>
          <w:color w:val="000000"/>
          <w:szCs w:val="22"/>
        </w:rPr>
        <w:t>L. monocytogenes</w:t>
      </w:r>
      <w:r w:rsidRPr="0012650D">
        <w:rPr>
          <w:rFonts w:cs="Arial"/>
          <w:color w:val="000000"/>
          <w:szCs w:val="22"/>
        </w:rPr>
        <w:t xml:space="preserve"> can grow under both aerobic and anaerobic conditions, although it grows better in an anaerobic environment </w:t>
      </w:r>
      <w:r w:rsidRPr="0012650D">
        <w:rPr>
          <w:rFonts w:cs="Arial"/>
          <w:noProof/>
          <w:color w:val="000000"/>
          <w:szCs w:val="22"/>
        </w:rPr>
        <w:t>(Sutherland et al. 2003; Lado and Yousef 2007)</w:t>
      </w:r>
      <w:r w:rsidRPr="0012650D">
        <w:rPr>
          <w:rFonts w:cs="Arial"/>
          <w:color w:val="000000"/>
          <w:szCs w:val="22"/>
        </w:rPr>
        <w:t>.</w:t>
      </w:r>
    </w:p>
    <w:p w14:paraId="679C100B" w14:textId="77777777" w:rsidR="00285EF0" w:rsidRPr="0012650D" w:rsidRDefault="00285EF0" w:rsidP="00285EF0">
      <w:pPr>
        <w:rPr>
          <w:rFonts w:cs="Arial"/>
          <w:color w:val="000000"/>
          <w:szCs w:val="22"/>
        </w:rPr>
      </w:pPr>
    </w:p>
    <w:p w14:paraId="69207645" w14:textId="77777777" w:rsidR="00285EF0" w:rsidRPr="0012650D" w:rsidRDefault="00285EF0" w:rsidP="00285EF0">
      <w:pPr>
        <w:rPr>
          <w:rFonts w:cs="Arial"/>
          <w:color w:val="000000"/>
          <w:szCs w:val="22"/>
        </w:rPr>
      </w:pPr>
      <w:r w:rsidRPr="0012650D">
        <w:rPr>
          <w:rFonts w:cs="Arial"/>
          <w:color w:val="000000"/>
          <w:szCs w:val="22"/>
        </w:rPr>
        <w:t xml:space="preserve">The effect of preservatives on the growth of </w:t>
      </w:r>
      <w:r w:rsidRPr="0012650D">
        <w:rPr>
          <w:rFonts w:cs="Arial"/>
          <w:i/>
          <w:color w:val="000000"/>
          <w:szCs w:val="22"/>
        </w:rPr>
        <w:t>L. monocytogenes</w:t>
      </w:r>
      <w:r w:rsidRPr="0012650D">
        <w:rPr>
          <w:rFonts w:cs="Arial"/>
          <w:color w:val="000000"/>
          <w:szCs w:val="22"/>
        </w:rPr>
        <w:t xml:space="preserve"> is influenced by the combined effects of temperature, pH, salt content and water activity. For example, sorbates and parabens are more effective at preventing growth of </w:t>
      </w:r>
      <w:r w:rsidRPr="0012650D">
        <w:rPr>
          <w:rFonts w:cs="Arial"/>
          <w:i/>
          <w:color w:val="000000"/>
          <w:szCs w:val="22"/>
        </w:rPr>
        <w:t>L. monocytogenes</w:t>
      </w:r>
      <w:r w:rsidRPr="0012650D">
        <w:rPr>
          <w:rFonts w:cs="Arial"/>
          <w:color w:val="000000"/>
          <w:szCs w:val="22"/>
        </w:rPr>
        <w:t xml:space="preserve"> at lower storage temperatures and pH. Also, adding sodium chloride or lowering the temperature enhances the ability of lactate to prevent </w:t>
      </w:r>
      <w:r w:rsidRPr="0012650D">
        <w:rPr>
          <w:rFonts w:cs="Arial"/>
          <w:i/>
          <w:color w:val="000000"/>
          <w:szCs w:val="22"/>
        </w:rPr>
        <w:t xml:space="preserve">L. monocytogenes </w:t>
      </w:r>
      <w:r w:rsidRPr="0012650D">
        <w:rPr>
          <w:rFonts w:cs="Arial"/>
          <w:color w:val="000000"/>
          <w:szCs w:val="22"/>
        </w:rPr>
        <w:t xml:space="preserve">growth. At decreased temperatures (such as refrigeration storage) sodium diacetate, sodium propionate and sodium benzoate are more effective at preventing growth of </w:t>
      </w:r>
      <w:r w:rsidRPr="0012650D">
        <w:rPr>
          <w:rFonts w:cs="Arial"/>
          <w:i/>
          <w:color w:val="000000"/>
          <w:szCs w:val="22"/>
        </w:rPr>
        <w:t>L. monocytogenes</w:t>
      </w:r>
      <w:r w:rsidRPr="0012650D">
        <w:rPr>
          <w:rFonts w:cs="Arial"/>
          <w:color w:val="000000"/>
          <w:szCs w:val="22"/>
        </w:rPr>
        <w:t xml:space="preserve"> </w:t>
      </w:r>
      <w:r w:rsidRPr="0012650D">
        <w:rPr>
          <w:rFonts w:cs="Arial"/>
          <w:noProof/>
          <w:color w:val="000000"/>
          <w:szCs w:val="22"/>
        </w:rPr>
        <w:t>(Lado and Yousef 2007)</w:t>
      </w:r>
      <w:r w:rsidRPr="0012650D">
        <w:rPr>
          <w:rFonts w:cs="Arial"/>
          <w:color w:val="000000"/>
          <w:szCs w:val="22"/>
        </w:rPr>
        <w:t xml:space="preserve">. </w:t>
      </w:r>
    </w:p>
    <w:p w14:paraId="1D663413" w14:textId="77777777" w:rsidR="00285EF0" w:rsidRPr="0012650D" w:rsidRDefault="00285EF0" w:rsidP="00285EF0">
      <w:pPr>
        <w:rPr>
          <w:rFonts w:cs="Arial"/>
          <w:color w:val="000000"/>
          <w:szCs w:val="22"/>
        </w:rPr>
      </w:pPr>
    </w:p>
    <w:p w14:paraId="74E86BCE" w14:textId="77777777" w:rsidR="00285EF0" w:rsidRDefault="00285EF0" w:rsidP="00285EF0">
      <w:pPr>
        <w:rPr>
          <w:rFonts w:cs="Arial"/>
          <w:noProof/>
          <w:color w:val="000000"/>
          <w:szCs w:val="22"/>
        </w:rPr>
      </w:pPr>
      <w:r w:rsidRPr="00835991">
        <w:rPr>
          <w:rFonts w:cs="Arial"/>
          <w:color w:val="000000"/>
          <w:szCs w:val="22"/>
        </w:rPr>
        <w:t>Table A7-1</w:t>
      </w:r>
      <w:r>
        <w:rPr>
          <w:rFonts w:cs="Arial"/>
          <w:color w:val="000000"/>
          <w:szCs w:val="22"/>
        </w:rPr>
        <w:t>.</w:t>
      </w:r>
      <w:r w:rsidRPr="0012650D">
        <w:rPr>
          <w:rFonts w:cs="Arial"/>
          <w:b/>
          <w:color w:val="000000"/>
          <w:szCs w:val="22"/>
        </w:rPr>
        <w:t xml:space="preserve"> </w:t>
      </w:r>
      <w:r w:rsidRPr="0012650D">
        <w:rPr>
          <w:rFonts w:cs="Arial"/>
          <w:color w:val="000000"/>
          <w:szCs w:val="22"/>
        </w:rPr>
        <w:t xml:space="preserve">Limits for growth of </w:t>
      </w:r>
      <w:r w:rsidRPr="0012650D">
        <w:rPr>
          <w:rFonts w:cs="Arial"/>
          <w:i/>
          <w:color w:val="000000"/>
          <w:szCs w:val="22"/>
        </w:rPr>
        <w:t>L. monocytogenes</w:t>
      </w:r>
      <w:r w:rsidRPr="0012650D">
        <w:rPr>
          <w:rFonts w:cs="Arial"/>
          <w:color w:val="000000"/>
          <w:szCs w:val="22"/>
        </w:rPr>
        <w:t xml:space="preserve"> when other conditions are near optimum </w:t>
      </w:r>
      <w:r w:rsidRPr="0012650D">
        <w:rPr>
          <w:rFonts w:cs="Arial"/>
          <w:noProof/>
          <w:color w:val="000000"/>
          <w:szCs w:val="22"/>
        </w:rPr>
        <w:t>(Lado and Yousef 2007)</w:t>
      </w:r>
    </w:p>
    <w:p w14:paraId="137CB2CD" w14:textId="77777777" w:rsidR="00285EF0" w:rsidRPr="0012650D" w:rsidRDefault="00285EF0" w:rsidP="00285EF0">
      <w:pPr>
        <w:rPr>
          <w:rFonts w:cs="Arial"/>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7-1. Limits for growth of L. monocytogenes when other conditions are near optimum"/>
      </w:tblPr>
      <w:tblGrid>
        <w:gridCol w:w="2268"/>
        <w:gridCol w:w="2248"/>
        <w:gridCol w:w="2249"/>
        <w:gridCol w:w="2251"/>
      </w:tblGrid>
      <w:tr w:rsidR="00285EF0" w:rsidRPr="006A3B1D" w14:paraId="52E8DFAA" w14:textId="77777777" w:rsidTr="00285EF0">
        <w:tc>
          <w:tcPr>
            <w:tcW w:w="2268" w:type="dxa"/>
            <w:shd w:val="clear" w:color="auto" w:fill="FFFFFF"/>
          </w:tcPr>
          <w:p w14:paraId="31E42AC8" w14:textId="77777777" w:rsidR="00285EF0" w:rsidRPr="006A3B1D" w:rsidRDefault="00285EF0" w:rsidP="00285EF0">
            <w:pPr>
              <w:jc w:val="center"/>
              <w:rPr>
                <w:rFonts w:cs="Arial"/>
                <w:b/>
                <w:color w:val="000000"/>
                <w:sz w:val="20"/>
                <w:szCs w:val="20"/>
                <w:lang w:eastAsia="en-GB"/>
              </w:rPr>
            </w:pPr>
          </w:p>
        </w:tc>
        <w:tc>
          <w:tcPr>
            <w:tcW w:w="2248" w:type="dxa"/>
            <w:shd w:val="clear" w:color="auto" w:fill="B8CCE4" w:themeFill="accent1" w:themeFillTint="66"/>
          </w:tcPr>
          <w:p w14:paraId="1949F900" w14:textId="77777777" w:rsidR="00285EF0" w:rsidRPr="006A3B1D" w:rsidRDefault="00285EF0" w:rsidP="00285EF0">
            <w:pPr>
              <w:jc w:val="center"/>
              <w:rPr>
                <w:rFonts w:cs="Arial"/>
                <w:b/>
                <w:sz w:val="20"/>
                <w:szCs w:val="20"/>
                <w:lang w:eastAsia="en-GB"/>
              </w:rPr>
            </w:pPr>
            <w:r w:rsidRPr="006A3B1D">
              <w:rPr>
                <w:rFonts w:cs="Arial"/>
                <w:b/>
                <w:sz w:val="20"/>
                <w:szCs w:val="20"/>
                <w:lang w:eastAsia="en-GB"/>
              </w:rPr>
              <w:t>Minimum</w:t>
            </w:r>
          </w:p>
        </w:tc>
        <w:tc>
          <w:tcPr>
            <w:tcW w:w="2249" w:type="dxa"/>
            <w:shd w:val="clear" w:color="auto" w:fill="B8CCE4" w:themeFill="accent1" w:themeFillTint="66"/>
          </w:tcPr>
          <w:p w14:paraId="45E22D45" w14:textId="77777777" w:rsidR="00285EF0" w:rsidRPr="006A3B1D" w:rsidRDefault="00285EF0" w:rsidP="00285EF0">
            <w:pPr>
              <w:jc w:val="center"/>
              <w:rPr>
                <w:rFonts w:cs="Arial"/>
                <w:b/>
                <w:sz w:val="20"/>
                <w:szCs w:val="20"/>
                <w:lang w:eastAsia="en-GB"/>
              </w:rPr>
            </w:pPr>
            <w:r w:rsidRPr="006A3B1D">
              <w:rPr>
                <w:rFonts w:cs="Arial"/>
                <w:b/>
                <w:sz w:val="20"/>
                <w:szCs w:val="20"/>
                <w:lang w:eastAsia="en-GB"/>
              </w:rPr>
              <w:t>Optimum</w:t>
            </w:r>
          </w:p>
        </w:tc>
        <w:tc>
          <w:tcPr>
            <w:tcW w:w="2251" w:type="dxa"/>
            <w:shd w:val="clear" w:color="auto" w:fill="B8CCE4" w:themeFill="accent1" w:themeFillTint="66"/>
          </w:tcPr>
          <w:p w14:paraId="10EF99B8" w14:textId="77777777" w:rsidR="00285EF0" w:rsidRPr="006A3B1D" w:rsidRDefault="00285EF0" w:rsidP="00285EF0">
            <w:pPr>
              <w:jc w:val="center"/>
              <w:rPr>
                <w:rFonts w:cs="Arial"/>
                <w:b/>
                <w:sz w:val="20"/>
                <w:szCs w:val="20"/>
                <w:lang w:eastAsia="en-GB"/>
              </w:rPr>
            </w:pPr>
            <w:r w:rsidRPr="006A3B1D">
              <w:rPr>
                <w:rFonts w:cs="Arial"/>
                <w:b/>
                <w:sz w:val="20"/>
                <w:szCs w:val="20"/>
                <w:lang w:eastAsia="en-GB"/>
              </w:rPr>
              <w:t>Maximum</w:t>
            </w:r>
          </w:p>
        </w:tc>
      </w:tr>
      <w:tr w:rsidR="00285EF0" w:rsidRPr="006A3B1D" w14:paraId="6AE6607D" w14:textId="77777777" w:rsidTr="00285EF0">
        <w:tc>
          <w:tcPr>
            <w:tcW w:w="2268" w:type="dxa"/>
            <w:shd w:val="clear" w:color="auto" w:fill="B8CCE4" w:themeFill="accent1" w:themeFillTint="66"/>
          </w:tcPr>
          <w:p w14:paraId="4AD962F6" w14:textId="77777777" w:rsidR="00285EF0" w:rsidRPr="006A3B1D" w:rsidRDefault="00285EF0" w:rsidP="00285EF0">
            <w:pPr>
              <w:jc w:val="center"/>
              <w:rPr>
                <w:rFonts w:cs="Arial"/>
                <w:b/>
                <w:sz w:val="20"/>
                <w:szCs w:val="20"/>
                <w:lang w:eastAsia="en-GB"/>
              </w:rPr>
            </w:pPr>
            <w:r w:rsidRPr="006A3B1D">
              <w:rPr>
                <w:rFonts w:cs="Arial"/>
                <w:b/>
                <w:sz w:val="20"/>
                <w:szCs w:val="20"/>
                <w:lang w:eastAsia="en-GB"/>
              </w:rPr>
              <w:t>Temperature (°C)</w:t>
            </w:r>
          </w:p>
        </w:tc>
        <w:tc>
          <w:tcPr>
            <w:tcW w:w="2248" w:type="dxa"/>
            <w:shd w:val="clear" w:color="auto" w:fill="auto"/>
          </w:tcPr>
          <w:p w14:paraId="10B647EB" w14:textId="77777777" w:rsidR="00285EF0" w:rsidRPr="006A3B1D" w:rsidRDefault="00285EF0" w:rsidP="00285EF0">
            <w:pPr>
              <w:jc w:val="center"/>
              <w:rPr>
                <w:rFonts w:cs="Arial"/>
                <w:color w:val="000000"/>
                <w:sz w:val="20"/>
                <w:szCs w:val="20"/>
                <w:lang w:eastAsia="en-GB"/>
              </w:rPr>
            </w:pPr>
            <w:r w:rsidRPr="006A3B1D">
              <w:rPr>
                <w:rFonts w:cs="Arial"/>
                <w:color w:val="000000"/>
                <w:sz w:val="20"/>
                <w:szCs w:val="20"/>
                <w:lang w:eastAsia="en-GB"/>
              </w:rPr>
              <w:t>-1.5</w:t>
            </w:r>
          </w:p>
        </w:tc>
        <w:tc>
          <w:tcPr>
            <w:tcW w:w="2249" w:type="dxa"/>
            <w:shd w:val="clear" w:color="auto" w:fill="auto"/>
          </w:tcPr>
          <w:p w14:paraId="3BF1BFF6" w14:textId="77777777" w:rsidR="00285EF0" w:rsidRPr="006A3B1D" w:rsidRDefault="00285EF0" w:rsidP="00285EF0">
            <w:pPr>
              <w:jc w:val="center"/>
              <w:rPr>
                <w:rFonts w:cs="Arial"/>
                <w:color w:val="000000"/>
                <w:sz w:val="20"/>
                <w:szCs w:val="20"/>
                <w:lang w:eastAsia="en-GB"/>
              </w:rPr>
            </w:pPr>
            <w:r w:rsidRPr="006A3B1D">
              <w:rPr>
                <w:rFonts w:cs="Arial"/>
                <w:color w:val="000000"/>
                <w:sz w:val="20"/>
                <w:szCs w:val="20"/>
                <w:lang w:eastAsia="en-GB"/>
              </w:rPr>
              <w:t>30–37</w:t>
            </w:r>
          </w:p>
        </w:tc>
        <w:tc>
          <w:tcPr>
            <w:tcW w:w="2251" w:type="dxa"/>
            <w:shd w:val="clear" w:color="auto" w:fill="auto"/>
          </w:tcPr>
          <w:p w14:paraId="445E260C" w14:textId="77777777" w:rsidR="00285EF0" w:rsidRPr="006A3B1D" w:rsidRDefault="00285EF0" w:rsidP="00285EF0">
            <w:pPr>
              <w:jc w:val="center"/>
              <w:rPr>
                <w:rFonts w:cs="Arial"/>
                <w:color w:val="000000"/>
                <w:sz w:val="20"/>
                <w:szCs w:val="20"/>
                <w:lang w:eastAsia="en-GB"/>
              </w:rPr>
            </w:pPr>
            <w:r w:rsidRPr="006A3B1D">
              <w:rPr>
                <w:rFonts w:cs="Arial"/>
                <w:color w:val="000000"/>
                <w:sz w:val="20"/>
                <w:szCs w:val="20"/>
                <w:lang w:eastAsia="en-GB"/>
              </w:rPr>
              <w:t>45</w:t>
            </w:r>
          </w:p>
        </w:tc>
      </w:tr>
      <w:tr w:rsidR="00285EF0" w:rsidRPr="006A3B1D" w14:paraId="21F29008" w14:textId="77777777" w:rsidTr="00285EF0">
        <w:tc>
          <w:tcPr>
            <w:tcW w:w="2268" w:type="dxa"/>
            <w:shd w:val="clear" w:color="auto" w:fill="B8CCE4" w:themeFill="accent1" w:themeFillTint="66"/>
          </w:tcPr>
          <w:p w14:paraId="23109C37" w14:textId="77777777" w:rsidR="00285EF0" w:rsidRPr="006A3B1D" w:rsidRDefault="00285EF0" w:rsidP="00285EF0">
            <w:pPr>
              <w:jc w:val="center"/>
              <w:rPr>
                <w:rFonts w:cs="Arial"/>
                <w:b/>
                <w:sz w:val="20"/>
                <w:szCs w:val="20"/>
                <w:lang w:eastAsia="en-GB"/>
              </w:rPr>
            </w:pPr>
            <w:r w:rsidRPr="006A3B1D">
              <w:rPr>
                <w:rFonts w:cs="Arial"/>
                <w:b/>
                <w:sz w:val="20"/>
                <w:szCs w:val="20"/>
                <w:lang w:eastAsia="en-GB"/>
              </w:rPr>
              <w:t>pH</w:t>
            </w:r>
          </w:p>
        </w:tc>
        <w:tc>
          <w:tcPr>
            <w:tcW w:w="2248" w:type="dxa"/>
            <w:shd w:val="clear" w:color="auto" w:fill="auto"/>
          </w:tcPr>
          <w:p w14:paraId="4F45A6BF" w14:textId="77777777" w:rsidR="00285EF0" w:rsidRPr="006A3B1D" w:rsidRDefault="00285EF0" w:rsidP="00285EF0">
            <w:pPr>
              <w:jc w:val="center"/>
              <w:rPr>
                <w:rFonts w:cs="Arial"/>
                <w:color w:val="000000"/>
                <w:sz w:val="20"/>
                <w:szCs w:val="20"/>
                <w:lang w:eastAsia="en-GB"/>
              </w:rPr>
            </w:pPr>
            <w:r w:rsidRPr="006A3B1D">
              <w:rPr>
                <w:rFonts w:cs="Arial"/>
                <w:color w:val="000000"/>
                <w:sz w:val="20"/>
                <w:szCs w:val="20"/>
                <w:lang w:eastAsia="en-GB"/>
              </w:rPr>
              <w:t>4.0</w:t>
            </w:r>
          </w:p>
        </w:tc>
        <w:tc>
          <w:tcPr>
            <w:tcW w:w="2249" w:type="dxa"/>
            <w:shd w:val="clear" w:color="auto" w:fill="auto"/>
          </w:tcPr>
          <w:p w14:paraId="3E1AD324" w14:textId="77777777" w:rsidR="00285EF0" w:rsidRPr="006A3B1D" w:rsidRDefault="00285EF0" w:rsidP="00285EF0">
            <w:pPr>
              <w:jc w:val="center"/>
              <w:rPr>
                <w:rFonts w:cs="Arial"/>
                <w:color w:val="000000"/>
                <w:sz w:val="20"/>
                <w:szCs w:val="20"/>
                <w:lang w:eastAsia="en-GB"/>
              </w:rPr>
            </w:pPr>
            <w:r w:rsidRPr="006A3B1D">
              <w:rPr>
                <w:rFonts w:cs="Arial"/>
                <w:color w:val="000000"/>
                <w:sz w:val="20"/>
                <w:szCs w:val="20"/>
                <w:lang w:eastAsia="en-GB"/>
              </w:rPr>
              <w:t>6.0–8.0</w:t>
            </w:r>
          </w:p>
        </w:tc>
        <w:tc>
          <w:tcPr>
            <w:tcW w:w="2251" w:type="dxa"/>
            <w:shd w:val="clear" w:color="auto" w:fill="auto"/>
          </w:tcPr>
          <w:p w14:paraId="2622D92E" w14:textId="77777777" w:rsidR="00285EF0" w:rsidRPr="006A3B1D" w:rsidRDefault="00285EF0" w:rsidP="00285EF0">
            <w:pPr>
              <w:jc w:val="center"/>
              <w:rPr>
                <w:rFonts w:cs="Arial"/>
                <w:color w:val="000000"/>
                <w:sz w:val="20"/>
                <w:szCs w:val="20"/>
                <w:lang w:eastAsia="en-GB"/>
              </w:rPr>
            </w:pPr>
            <w:r w:rsidRPr="006A3B1D">
              <w:rPr>
                <w:rFonts w:cs="Arial"/>
                <w:color w:val="000000"/>
                <w:sz w:val="20"/>
                <w:szCs w:val="20"/>
                <w:lang w:eastAsia="en-GB"/>
              </w:rPr>
              <w:t>9.6</w:t>
            </w:r>
          </w:p>
        </w:tc>
      </w:tr>
      <w:tr w:rsidR="00285EF0" w:rsidRPr="006A3B1D" w14:paraId="17E6A5B9" w14:textId="77777777" w:rsidTr="00285EF0">
        <w:tc>
          <w:tcPr>
            <w:tcW w:w="2268" w:type="dxa"/>
            <w:shd w:val="clear" w:color="auto" w:fill="B8CCE4" w:themeFill="accent1" w:themeFillTint="66"/>
          </w:tcPr>
          <w:p w14:paraId="718C3FF8" w14:textId="77777777" w:rsidR="00285EF0" w:rsidRPr="006A3B1D" w:rsidRDefault="00285EF0" w:rsidP="00285EF0">
            <w:pPr>
              <w:jc w:val="center"/>
              <w:rPr>
                <w:rFonts w:cs="Arial"/>
                <w:b/>
                <w:sz w:val="20"/>
                <w:szCs w:val="20"/>
                <w:lang w:eastAsia="en-GB"/>
              </w:rPr>
            </w:pPr>
            <w:r w:rsidRPr="006A3B1D">
              <w:rPr>
                <w:rFonts w:cs="Arial"/>
                <w:b/>
                <w:sz w:val="20"/>
                <w:szCs w:val="20"/>
                <w:lang w:eastAsia="en-GB"/>
              </w:rPr>
              <w:t>Water activity</w:t>
            </w:r>
          </w:p>
        </w:tc>
        <w:tc>
          <w:tcPr>
            <w:tcW w:w="2248" w:type="dxa"/>
            <w:shd w:val="clear" w:color="auto" w:fill="auto"/>
          </w:tcPr>
          <w:p w14:paraId="2C7F0EB9" w14:textId="77777777" w:rsidR="00285EF0" w:rsidRPr="006A3B1D" w:rsidRDefault="00285EF0" w:rsidP="00285EF0">
            <w:pPr>
              <w:jc w:val="center"/>
              <w:rPr>
                <w:rFonts w:cs="Arial"/>
                <w:color w:val="000000"/>
                <w:sz w:val="20"/>
                <w:szCs w:val="20"/>
                <w:lang w:eastAsia="en-GB"/>
              </w:rPr>
            </w:pPr>
            <w:r w:rsidRPr="006A3B1D">
              <w:rPr>
                <w:rFonts w:cs="Arial"/>
                <w:color w:val="000000"/>
                <w:sz w:val="20"/>
                <w:szCs w:val="20"/>
                <w:lang w:eastAsia="en-GB"/>
              </w:rPr>
              <w:t>0.90</w:t>
            </w:r>
          </w:p>
        </w:tc>
        <w:tc>
          <w:tcPr>
            <w:tcW w:w="2249" w:type="dxa"/>
            <w:shd w:val="clear" w:color="auto" w:fill="auto"/>
          </w:tcPr>
          <w:p w14:paraId="21648BFA" w14:textId="77777777" w:rsidR="00285EF0" w:rsidRPr="006A3B1D" w:rsidRDefault="00285EF0" w:rsidP="00285EF0">
            <w:pPr>
              <w:jc w:val="center"/>
              <w:rPr>
                <w:rFonts w:cs="Arial"/>
                <w:color w:val="000000"/>
                <w:sz w:val="20"/>
                <w:szCs w:val="20"/>
                <w:lang w:eastAsia="en-GB"/>
              </w:rPr>
            </w:pPr>
            <w:r w:rsidRPr="006A3B1D">
              <w:rPr>
                <w:rFonts w:cs="Arial"/>
                <w:color w:val="000000"/>
                <w:sz w:val="20"/>
                <w:szCs w:val="20"/>
                <w:lang w:eastAsia="en-GB"/>
              </w:rPr>
              <w:t>0.97</w:t>
            </w:r>
          </w:p>
        </w:tc>
        <w:tc>
          <w:tcPr>
            <w:tcW w:w="2251" w:type="dxa"/>
            <w:shd w:val="clear" w:color="auto" w:fill="auto"/>
          </w:tcPr>
          <w:p w14:paraId="295AB536" w14:textId="77777777" w:rsidR="00285EF0" w:rsidRPr="006A3B1D" w:rsidRDefault="00285EF0" w:rsidP="00285EF0">
            <w:pPr>
              <w:jc w:val="center"/>
              <w:rPr>
                <w:rFonts w:cs="Arial"/>
                <w:color w:val="000000"/>
                <w:sz w:val="20"/>
                <w:szCs w:val="20"/>
                <w:lang w:eastAsia="en-GB"/>
              </w:rPr>
            </w:pPr>
            <w:r w:rsidRPr="006A3B1D">
              <w:rPr>
                <w:rFonts w:cs="Arial"/>
                <w:color w:val="000000"/>
                <w:sz w:val="20"/>
                <w:szCs w:val="20"/>
                <w:lang w:eastAsia="en-GB"/>
              </w:rPr>
              <w:t>–</w:t>
            </w:r>
          </w:p>
        </w:tc>
      </w:tr>
    </w:tbl>
    <w:p w14:paraId="06705A2A" w14:textId="77777777" w:rsidR="00285EF0" w:rsidRPr="004C72EC" w:rsidRDefault="00285EF0" w:rsidP="00787E56">
      <w:pPr>
        <w:pStyle w:val="Heading3"/>
        <w:rPr>
          <w:sz w:val="28"/>
        </w:rPr>
      </w:pPr>
      <w:bookmarkStart w:id="1110" w:name="_Toc66881445"/>
      <w:bookmarkStart w:id="1111" w:name="_Toc66883071"/>
      <w:bookmarkStart w:id="1112" w:name="_Toc87614472"/>
      <w:bookmarkStart w:id="1113" w:name="_Toc87860111"/>
      <w:r w:rsidRPr="00CA6FF3">
        <w:t>Symptoms of disease</w:t>
      </w:r>
      <w:bookmarkEnd w:id="1110"/>
      <w:bookmarkEnd w:id="1111"/>
      <w:bookmarkEnd w:id="1112"/>
      <w:bookmarkEnd w:id="1113"/>
    </w:p>
    <w:p w14:paraId="1F3FBA54" w14:textId="77777777" w:rsidR="00285EF0" w:rsidRPr="0012650D" w:rsidRDefault="00285EF0" w:rsidP="00285EF0">
      <w:pPr>
        <w:rPr>
          <w:rFonts w:cs="Arial"/>
          <w:color w:val="000000"/>
          <w:szCs w:val="22"/>
        </w:rPr>
      </w:pPr>
      <w:r w:rsidRPr="0012650D">
        <w:rPr>
          <w:rFonts w:cs="Arial"/>
          <w:color w:val="000000"/>
          <w:szCs w:val="22"/>
        </w:rPr>
        <w:t xml:space="preserve">There are two main forms of illness associated with </w:t>
      </w:r>
      <w:r w:rsidRPr="0012650D">
        <w:rPr>
          <w:rFonts w:cs="Arial"/>
          <w:i/>
          <w:color w:val="000000"/>
          <w:szCs w:val="22"/>
        </w:rPr>
        <w:t>L. monocytogenes</w:t>
      </w:r>
      <w:r w:rsidRPr="0012650D">
        <w:rPr>
          <w:rFonts w:cs="Arial"/>
          <w:color w:val="000000"/>
          <w:szCs w:val="22"/>
        </w:rPr>
        <w:t xml:space="preserve"> infection. Non-invasive listeriosis is the mild form of disease, while invasive listeriosis is the severe form of disease and can be fatal </w:t>
      </w:r>
      <w:r w:rsidRPr="0012650D">
        <w:rPr>
          <w:rFonts w:cs="Arial"/>
          <w:noProof/>
          <w:color w:val="000000"/>
          <w:szCs w:val="22"/>
        </w:rPr>
        <w:t>(FDA 2012)</w:t>
      </w:r>
      <w:r w:rsidRPr="0012650D">
        <w:rPr>
          <w:rFonts w:cs="Arial"/>
          <w:color w:val="000000"/>
          <w:szCs w:val="22"/>
        </w:rPr>
        <w:t xml:space="preserve">. The likelihood that invasive listeriosis will develop depends upon a number of factors, including host susceptibility, the number of organisms consumed and the virulence of the particular strain </w:t>
      </w:r>
      <w:r w:rsidRPr="0012650D">
        <w:rPr>
          <w:rFonts w:cs="Arial"/>
          <w:noProof/>
          <w:color w:val="000000"/>
          <w:szCs w:val="22"/>
        </w:rPr>
        <w:t>(WHO/FAO 2004)</w:t>
      </w:r>
      <w:r w:rsidRPr="0012650D">
        <w:rPr>
          <w:rFonts w:cs="Arial"/>
          <w:color w:val="000000"/>
          <w:szCs w:val="22"/>
        </w:rPr>
        <w:t xml:space="preserve">. </w:t>
      </w:r>
    </w:p>
    <w:p w14:paraId="6ADBDD6A" w14:textId="77777777" w:rsidR="00285EF0" w:rsidRPr="0012650D" w:rsidRDefault="00285EF0" w:rsidP="00285EF0">
      <w:pPr>
        <w:rPr>
          <w:rFonts w:cs="Arial"/>
          <w:color w:val="000000"/>
          <w:szCs w:val="22"/>
        </w:rPr>
      </w:pPr>
    </w:p>
    <w:p w14:paraId="0FCA0E7E" w14:textId="77777777" w:rsidR="00285EF0" w:rsidRPr="0012650D" w:rsidRDefault="00285EF0" w:rsidP="00285EF0">
      <w:pPr>
        <w:rPr>
          <w:rFonts w:cs="Arial"/>
          <w:color w:val="000000"/>
          <w:szCs w:val="22"/>
        </w:rPr>
      </w:pPr>
      <w:r w:rsidRPr="0012650D">
        <w:rPr>
          <w:rFonts w:cs="Arial"/>
          <w:color w:val="000000"/>
          <w:szCs w:val="22"/>
        </w:rPr>
        <w:t xml:space="preserve">Symptoms of non-invasive listeriosis can include fever, diarrhoea, muscle aches, nausea, vomiting, drowsiness and fatigue. The incubation period is usually 1 day (range 6 hours to 10 days) </w:t>
      </w:r>
      <w:r w:rsidRPr="0012650D">
        <w:rPr>
          <w:rFonts w:cs="Arial"/>
          <w:noProof/>
          <w:color w:val="000000"/>
          <w:szCs w:val="22"/>
        </w:rPr>
        <w:t>(Painter and Slutsker 2007; FDA 2012)</w:t>
      </w:r>
      <w:r w:rsidRPr="0012650D">
        <w:rPr>
          <w:rFonts w:cs="Arial"/>
          <w:color w:val="000000"/>
          <w:szCs w:val="22"/>
        </w:rPr>
        <w:t>. Non-invasive listeriosis is also known as listerial gastroenteritis or febrile listeriosis.</w:t>
      </w:r>
    </w:p>
    <w:p w14:paraId="559AA94D" w14:textId="77777777" w:rsidR="00285EF0" w:rsidRPr="0012650D" w:rsidRDefault="00285EF0" w:rsidP="00285EF0">
      <w:pPr>
        <w:rPr>
          <w:rFonts w:cs="Arial"/>
          <w:color w:val="000000"/>
          <w:szCs w:val="22"/>
        </w:rPr>
      </w:pPr>
    </w:p>
    <w:p w14:paraId="295DCB49" w14:textId="1D0502F4" w:rsidR="00285EF0" w:rsidRPr="0012650D" w:rsidRDefault="00285EF0" w:rsidP="00285EF0">
      <w:pPr>
        <w:rPr>
          <w:rFonts w:cs="Arial"/>
          <w:color w:val="000000"/>
          <w:szCs w:val="22"/>
        </w:rPr>
      </w:pPr>
      <w:r w:rsidRPr="0012650D">
        <w:rPr>
          <w:rFonts w:cs="Arial"/>
          <w:color w:val="000000"/>
          <w:szCs w:val="22"/>
        </w:rPr>
        <w:t xml:space="preserve">Invasive listeriosis is characterised by the presence of </w:t>
      </w:r>
      <w:r w:rsidRPr="0012650D">
        <w:rPr>
          <w:rFonts w:cs="Arial"/>
          <w:i/>
          <w:color w:val="000000"/>
          <w:szCs w:val="22"/>
        </w:rPr>
        <w:t>L. monocytogenes</w:t>
      </w:r>
      <w:r w:rsidRPr="0012650D">
        <w:rPr>
          <w:rFonts w:cs="Arial"/>
          <w:color w:val="000000"/>
          <w:szCs w:val="22"/>
        </w:rPr>
        <w:t xml:space="preserve"> in the blood, in the fluid of the central nervous system (leading to bacterial meningitis) or infection of the uterus of pregnant women. The latter may result in spontaneous abortion or stillbirth (20% of cases) or neonatal infection (63% of cases). Influenza-like symptoms, fever and gastrointestinal symptoms often occur in pregnant women with invasive listeriosis. In non-pregnant adults, invasive listeriosis presents in the form of bacterial meningitis with a fatality rate of 30%. Symptoms including fever, malaise, ataxia, seizures and altered mental status </w:t>
      </w:r>
      <w:r w:rsidRPr="0012650D">
        <w:rPr>
          <w:rFonts w:cs="Arial"/>
          <w:noProof/>
          <w:color w:val="000000"/>
          <w:szCs w:val="22"/>
        </w:rPr>
        <w:t>(Painter and Slutsker 2007)</w:t>
      </w:r>
      <w:r w:rsidRPr="0012650D">
        <w:rPr>
          <w:rFonts w:cs="Arial"/>
          <w:color w:val="000000"/>
          <w:szCs w:val="22"/>
        </w:rPr>
        <w:t>. The incubation period before onset of in</w:t>
      </w:r>
      <w:r w:rsidR="00DB681B">
        <w:rPr>
          <w:rFonts w:cs="Arial"/>
          <w:color w:val="000000"/>
          <w:szCs w:val="22"/>
        </w:rPr>
        <w:t>vasive listeriosis ranges from three days to three</w:t>
      </w:r>
      <w:r w:rsidRPr="0012650D">
        <w:rPr>
          <w:rFonts w:cs="Arial"/>
          <w:color w:val="000000"/>
          <w:szCs w:val="22"/>
        </w:rPr>
        <w:t xml:space="preserve"> months </w:t>
      </w:r>
      <w:r w:rsidRPr="0012650D">
        <w:rPr>
          <w:rFonts w:cs="Arial"/>
          <w:noProof/>
          <w:color w:val="000000"/>
          <w:szCs w:val="22"/>
        </w:rPr>
        <w:t>(FDA 2012)</w:t>
      </w:r>
      <w:bookmarkStart w:id="1114" w:name="_Toc105752564"/>
      <w:bookmarkStart w:id="1115" w:name="_Toc123010650"/>
      <w:r w:rsidRPr="0012650D">
        <w:rPr>
          <w:rFonts w:cs="Arial"/>
          <w:color w:val="000000"/>
          <w:szCs w:val="22"/>
        </w:rPr>
        <w:t>.</w:t>
      </w:r>
      <w:bookmarkEnd w:id="1114"/>
      <w:bookmarkEnd w:id="1115"/>
    </w:p>
    <w:p w14:paraId="2FD35182" w14:textId="77777777" w:rsidR="00E94ED2" w:rsidRDefault="00E94ED2">
      <w:pPr>
        <w:widowControl/>
        <w:rPr>
          <w:b/>
          <w:bCs/>
          <w:color w:val="000000" w:themeColor="text1"/>
          <w:lang w:eastAsia="en-AU" w:bidi="ar-SA"/>
        </w:rPr>
      </w:pPr>
      <w:bookmarkStart w:id="1116" w:name="_Toc66881446"/>
      <w:bookmarkStart w:id="1117" w:name="_Toc66883072"/>
      <w:r>
        <w:br w:type="page"/>
      </w:r>
    </w:p>
    <w:p w14:paraId="0E4C80F8" w14:textId="3AC84386" w:rsidR="00285EF0" w:rsidRPr="004C72EC" w:rsidRDefault="00285EF0" w:rsidP="00787E56">
      <w:pPr>
        <w:pStyle w:val="Heading3"/>
        <w:rPr>
          <w:sz w:val="28"/>
        </w:rPr>
      </w:pPr>
      <w:bookmarkStart w:id="1118" w:name="_Toc87614473"/>
      <w:bookmarkStart w:id="1119" w:name="_Toc87860112"/>
      <w:r w:rsidRPr="00CA6FF3">
        <w:t>Virulence and infectivity</w:t>
      </w:r>
      <w:bookmarkEnd w:id="1116"/>
      <w:bookmarkEnd w:id="1117"/>
      <w:bookmarkEnd w:id="1118"/>
      <w:bookmarkEnd w:id="1119"/>
    </w:p>
    <w:p w14:paraId="27FC6E94" w14:textId="77777777" w:rsidR="00285EF0" w:rsidRPr="0012650D" w:rsidRDefault="00285EF0" w:rsidP="00285EF0">
      <w:pPr>
        <w:rPr>
          <w:rFonts w:cs="Arial"/>
          <w:color w:val="000000"/>
          <w:szCs w:val="22"/>
        </w:rPr>
      </w:pPr>
      <w:r w:rsidRPr="0012650D">
        <w:rPr>
          <w:rFonts w:cs="Arial"/>
          <w:color w:val="000000"/>
          <w:szCs w:val="22"/>
        </w:rPr>
        <w:t xml:space="preserve">When </w:t>
      </w:r>
      <w:r w:rsidRPr="0012650D">
        <w:rPr>
          <w:rFonts w:cs="Arial"/>
          <w:i/>
          <w:color w:val="000000"/>
          <w:szCs w:val="22"/>
        </w:rPr>
        <w:t>L. monocytogenes</w:t>
      </w:r>
      <w:r w:rsidRPr="0012650D">
        <w:rPr>
          <w:rFonts w:cs="Arial"/>
          <w:color w:val="000000"/>
          <w:szCs w:val="22"/>
        </w:rPr>
        <w:t xml:space="preserve"> is ingested, it may survive the stomach environment and enter the intestine where it penetrates the intestinal epithelial cells. The organism is then taken up by macrophages and non-phagocytic cells. The </w:t>
      </w:r>
      <w:r w:rsidRPr="0012650D">
        <w:rPr>
          <w:rFonts w:cs="Arial"/>
          <w:i/>
          <w:color w:val="000000"/>
          <w:szCs w:val="22"/>
        </w:rPr>
        <w:t>L. monocytogenes</w:t>
      </w:r>
      <w:r w:rsidRPr="0012650D">
        <w:rPr>
          <w:rFonts w:cs="Arial"/>
          <w:color w:val="000000"/>
          <w:szCs w:val="22"/>
        </w:rPr>
        <w:t xml:space="preserve"> surface protein internalin is required for this uptake by non-phagocytic cells, as it binds to the receptors on the host cells to instigate adhesion and internalization. The bacterium is initially located in a vacuole after uptake by a macrophage or non-phagocytic cell. </w:t>
      </w:r>
      <w:r w:rsidRPr="0012650D">
        <w:rPr>
          <w:rFonts w:cs="Arial"/>
          <w:i/>
          <w:color w:val="000000"/>
          <w:szCs w:val="22"/>
        </w:rPr>
        <w:t>L. monocytogenes</w:t>
      </w:r>
      <w:r w:rsidRPr="0012650D">
        <w:rPr>
          <w:rFonts w:cs="Arial"/>
          <w:color w:val="000000"/>
          <w:szCs w:val="22"/>
        </w:rPr>
        <w:t xml:space="preserve"> secrete listeriolysin O protein, which breaks down the vacuole wall and enables the bacteria to escape into the cytoplasm. Any bacteria remaining in the vacuole are destroyed by the host cell. Once located in the cytoplasm of the host cell,</w:t>
      </w:r>
      <w:r w:rsidRPr="0012650D">
        <w:rPr>
          <w:rFonts w:cs="Arial"/>
          <w:i/>
          <w:color w:val="000000"/>
          <w:szCs w:val="22"/>
        </w:rPr>
        <w:t xml:space="preserve"> L. monocytogenes</w:t>
      </w:r>
      <w:r w:rsidRPr="0012650D">
        <w:rPr>
          <w:rFonts w:cs="Arial"/>
          <w:color w:val="000000"/>
          <w:szCs w:val="22"/>
        </w:rPr>
        <w:t xml:space="preserve"> is able to replicate. </w:t>
      </w:r>
      <w:r>
        <w:rPr>
          <w:rFonts w:cs="Arial"/>
          <w:color w:val="000000"/>
          <w:szCs w:val="22"/>
        </w:rPr>
        <w:br/>
      </w:r>
      <w:r w:rsidRPr="0012650D">
        <w:rPr>
          <w:rFonts w:cs="Arial"/>
          <w:i/>
          <w:color w:val="000000"/>
          <w:szCs w:val="22"/>
        </w:rPr>
        <w:t>L. monocytogenes</w:t>
      </w:r>
      <w:r w:rsidRPr="0012650D">
        <w:rPr>
          <w:rFonts w:cs="Arial"/>
          <w:color w:val="000000"/>
          <w:szCs w:val="22"/>
        </w:rPr>
        <w:t xml:space="preserve"> is transported around the body by the blood, with most </w:t>
      </w:r>
      <w:r w:rsidRPr="0012650D">
        <w:rPr>
          <w:rFonts w:cs="Arial"/>
          <w:i/>
          <w:color w:val="000000"/>
          <w:szCs w:val="22"/>
        </w:rPr>
        <w:t>L. monocytogenes</w:t>
      </w:r>
      <w:r w:rsidRPr="0012650D">
        <w:rPr>
          <w:rFonts w:cs="Arial"/>
          <w:color w:val="000000"/>
          <w:szCs w:val="22"/>
        </w:rPr>
        <w:t xml:space="preserve"> being inactivated when it reaches the spleen or liver. </w:t>
      </w:r>
      <w:r w:rsidRPr="0012650D">
        <w:rPr>
          <w:rFonts w:cs="Arial"/>
          <w:i/>
          <w:color w:val="000000"/>
          <w:szCs w:val="22"/>
        </w:rPr>
        <w:t>L. monocytogenes</w:t>
      </w:r>
      <w:r w:rsidRPr="0012650D">
        <w:rPr>
          <w:rFonts w:cs="Arial"/>
          <w:color w:val="000000"/>
          <w:szCs w:val="22"/>
        </w:rPr>
        <w:t xml:space="preserve"> is able to utilise the actin molecules of the host to propel the bacteria into neighbouring host cells. In the case of invasive listeriosis, this ability to spread between host cells enables </w:t>
      </w:r>
      <w:r w:rsidRPr="0012650D">
        <w:rPr>
          <w:rFonts w:cs="Arial"/>
          <w:i/>
          <w:color w:val="000000"/>
          <w:szCs w:val="22"/>
        </w:rPr>
        <w:t>L. monocytogenes</w:t>
      </w:r>
      <w:r w:rsidRPr="0012650D">
        <w:rPr>
          <w:rFonts w:cs="Arial"/>
          <w:color w:val="000000"/>
          <w:szCs w:val="22"/>
        </w:rPr>
        <w:t xml:space="preserve"> to cross the blood-brain and placental barriers </w:t>
      </w:r>
      <w:r w:rsidRPr="0012650D">
        <w:rPr>
          <w:rFonts w:cs="Arial"/>
          <w:noProof/>
          <w:color w:val="000000"/>
          <w:szCs w:val="22"/>
        </w:rPr>
        <w:t>(Montville and Matthews 2005; Kuhn and Goebel 2007; Bonazzi et al. 2009)</w:t>
      </w:r>
      <w:r>
        <w:rPr>
          <w:rFonts w:cs="Arial"/>
          <w:color w:val="000000"/>
          <w:szCs w:val="22"/>
        </w:rPr>
        <w:t>.</w:t>
      </w:r>
    </w:p>
    <w:p w14:paraId="1A2AFE5B" w14:textId="77777777" w:rsidR="00285EF0" w:rsidRPr="004C72EC" w:rsidRDefault="00285EF0" w:rsidP="00787E56">
      <w:pPr>
        <w:pStyle w:val="Heading3"/>
        <w:rPr>
          <w:sz w:val="28"/>
        </w:rPr>
      </w:pPr>
      <w:bookmarkStart w:id="1120" w:name="_Toc105752561"/>
      <w:bookmarkStart w:id="1121" w:name="_Toc123010647"/>
      <w:bookmarkStart w:id="1122" w:name="_Toc66881447"/>
      <w:bookmarkStart w:id="1123" w:name="_Toc66883073"/>
      <w:bookmarkStart w:id="1124" w:name="_Toc87614474"/>
      <w:bookmarkStart w:id="1125" w:name="_Toc87860113"/>
      <w:r w:rsidRPr="00CA6FF3">
        <w:t>Mode of transmission</w:t>
      </w:r>
      <w:bookmarkEnd w:id="1120"/>
      <w:bookmarkEnd w:id="1121"/>
      <w:bookmarkEnd w:id="1122"/>
      <w:bookmarkEnd w:id="1123"/>
      <w:bookmarkEnd w:id="1124"/>
      <w:bookmarkEnd w:id="1125"/>
    </w:p>
    <w:p w14:paraId="7E6CB3AF" w14:textId="77777777" w:rsidR="00285EF0" w:rsidRPr="0012650D" w:rsidRDefault="00285EF0" w:rsidP="00285EF0">
      <w:pPr>
        <w:rPr>
          <w:rFonts w:cs="Arial"/>
          <w:color w:val="000000"/>
          <w:szCs w:val="22"/>
        </w:rPr>
      </w:pPr>
      <w:r w:rsidRPr="0012650D">
        <w:rPr>
          <w:rFonts w:cs="Arial"/>
          <w:color w:val="000000"/>
          <w:szCs w:val="22"/>
        </w:rPr>
        <w:t xml:space="preserve">The most common transmission route of </w:t>
      </w:r>
      <w:r w:rsidRPr="0012650D">
        <w:rPr>
          <w:rFonts w:cs="Arial"/>
          <w:i/>
          <w:color w:val="000000"/>
          <w:szCs w:val="22"/>
        </w:rPr>
        <w:t>L. monocytogenes</w:t>
      </w:r>
      <w:r w:rsidRPr="0012650D">
        <w:rPr>
          <w:rFonts w:cs="Arial"/>
          <w:color w:val="000000"/>
          <w:szCs w:val="22"/>
        </w:rPr>
        <w:t xml:space="preserve"> to humans is via the consumption of contaminated food. However, </w:t>
      </w:r>
      <w:r w:rsidRPr="0012650D">
        <w:rPr>
          <w:rFonts w:cs="Arial"/>
          <w:i/>
          <w:color w:val="000000"/>
          <w:szCs w:val="22"/>
        </w:rPr>
        <w:t>L. monocytogenes</w:t>
      </w:r>
      <w:r w:rsidRPr="0012650D">
        <w:rPr>
          <w:rFonts w:cs="Arial"/>
          <w:color w:val="000000"/>
          <w:szCs w:val="22"/>
        </w:rPr>
        <w:t xml:space="preserve"> can be transmitted directly from mother to child (vertical transmission), from contact with animals and through hospital acquired infections </w:t>
      </w:r>
      <w:r w:rsidRPr="0012650D">
        <w:rPr>
          <w:rFonts w:cs="Arial"/>
          <w:noProof/>
          <w:color w:val="000000"/>
          <w:szCs w:val="22"/>
        </w:rPr>
        <w:t>(Bell and Kyriakides 2005)</w:t>
      </w:r>
      <w:r w:rsidRPr="0012650D">
        <w:rPr>
          <w:rFonts w:cs="Arial"/>
          <w:color w:val="000000"/>
          <w:szCs w:val="22"/>
        </w:rPr>
        <w:t>.</w:t>
      </w:r>
    </w:p>
    <w:p w14:paraId="2B363D7B" w14:textId="77777777" w:rsidR="00285EF0" w:rsidRPr="0012650D" w:rsidRDefault="00285EF0" w:rsidP="00285EF0">
      <w:pPr>
        <w:rPr>
          <w:rFonts w:cs="Arial"/>
          <w:color w:val="000000"/>
          <w:szCs w:val="22"/>
        </w:rPr>
      </w:pPr>
      <w:bookmarkStart w:id="1126" w:name="_Toc105752562"/>
      <w:bookmarkStart w:id="1127" w:name="_Toc123010648"/>
    </w:p>
    <w:p w14:paraId="5AE169BB" w14:textId="77777777" w:rsidR="00285EF0" w:rsidRPr="004C72EC" w:rsidRDefault="00285EF0" w:rsidP="00285EF0">
      <w:pPr>
        <w:rPr>
          <w:rFonts w:cs="Arial"/>
          <w:szCs w:val="22"/>
        </w:rPr>
      </w:pPr>
      <w:r w:rsidRPr="0012650D">
        <w:rPr>
          <w:rFonts w:cs="Arial"/>
          <w:color w:val="000000"/>
          <w:szCs w:val="22"/>
        </w:rPr>
        <w:t xml:space="preserve">Healthy individuals can be asymptomatic carriers of </w:t>
      </w:r>
      <w:r w:rsidRPr="0012650D">
        <w:rPr>
          <w:rFonts w:cs="Arial"/>
          <w:i/>
          <w:color w:val="000000"/>
          <w:szCs w:val="22"/>
        </w:rPr>
        <w:t>L. monocytogenes</w:t>
      </w:r>
      <w:r w:rsidRPr="0012650D">
        <w:rPr>
          <w:rFonts w:cs="Arial"/>
          <w:color w:val="000000"/>
          <w:szCs w:val="22"/>
        </w:rPr>
        <w:t xml:space="preserve">, with 0.6–3.4% of healthy people with unknown exposure to </w:t>
      </w:r>
      <w:r w:rsidRPr="0012650D">
        <w:rPr>
          <w:rFonts w:cs="Arial"/>
          <w:i/>
          <w:color w:val="000000"/>
          <w:szCs w:val="22"/>
        </w:rPr>
        <w:t xml:space="preserve">Listeria </w:t>
      </w:r>
      <w:r w:rsidRPr="0012650D">
        <w:rPr>
          <w:rFonts w:cs="Arial"/>
          <w:color w:val="000000"/>
          <w:szCs w:val="22"/>
        </w:rPr>
        <w:t xml:space="preserve">being found to shed </w:t>
      </w:r>
      <w:r w:rsidRPr="0012650D">
        <w:rPr>
          <w:rFonts w:cs="Arial"/>
          <w:i/>
          <w:color w:val="000000"/>
          <w:szCs w:val="22"/>
        </w:rPr>
        <w:t xml:space="preserve">L. monocytogenes </w:t>
      </w:r>
      <w:r w:rsidRPr="0012650D">
        <w:rPr>
          <w:rFonts w:cs="Arial"/>
          <w:color w:val="000000"/>
          <w:szCs w:val="22"/>
        </w:rPr>
        <w:t xml:space="preserve">in their faeces. However, outbreak investigations have shown that listeriosis patients do not always shed the organism in their faeces </w:t>
      </w:r>
      <w:r w:rsidRPr="0012650D">
        <w:rPr>
          <w:rFonts w:cs="Arial"/>
          <w:noProof/>
          <w:color w:val="000000"/>
          <w:szCs w:val="22"/>
        </w:rPr>
        <w:t>(FDA/USDA/CDC 2003; Painter and Slutsker 2007)</w:t>
      </w:r>
      <w:r w:rsidRPr="0012650D">
        <w:rPr>
          <w:rFonts w:cs="Arial"/>
          <w:color w:val="000000"/>
          <w:szCs w:val="22"/>
        </w:rPr>
        <w:t xml:space="preserve">. Therefore the role of healthy carriers in the transmission of </w:t>
      </w:r>
      <w:r w:rsidRPr="0012650D">
        <w:rPr>
          <w:rFonts w:cs="Arial"/>
          <w:i/>
          <w:color w:val="000000"/>
          <w:szCs w:val="22"/>
        </w:rPr>
        <w:t xml:space="preserve">L. monocytogenes </w:t>
      </w:r>
      <w:r w:rsidRPr="0012650D">
        <w:rPr>
          <w:rFonts w:cs="Arial"/>
          <w:color w:val="000000"/>
          <w:szCs w:val="22"/>
        </w:rPr>
        <w:t xml:space="preserve">is </w:t>
      </w:r>
      <w:r>
        <w:rPr>
          <w:rFonts w:cs="Arial"/>
          <w:szCs w:val="22"/>
        </w:rPr>
        <w:t>unclear.</w:t>
      </w:r>
    </w:p>
    <w:p w14:paraId="14A200CE" w14:textId="77777777" w:rsidR="00285EF0" w:rsidRPr="004C72EC" w:rsidRDefault="00285EF0" w:rsidP="00787E56">
      <w:pPr>
        <w:pStyle w:val="Heading3"/>
        <w:rPr>
          <w:sz w:val="28"/>
        </w:rPr>
      </w:pPr>
      <w:bookmarkStart w:id="1128" w:name="_Toc66881448"/>
      <w:bookmarkStart w:id="1129" w:name="_Toc66883074"/>
      <w:bookmarkStart w:id="1130" w:name="_Toc87614475"/>
      <w:bookmarkStart w:id="1131" w:name="_Toc87860114"/>
      <w:r w:rsidRPr="00CA6FF3">
        <w:t>Incidence of illness</w:t>
      </w:r>
      <w:bookmarkEnd w:id="1126"/>
      <w:bookmarkEnd w:id="1127"/>
      <w:r w:rsidRPr="00CA6FF3">
        <w:t xml:space="preserve"> and outbreak data</w:t>
      </w:r>
      <w:bookmarkEnd w:id="1128"/>
      <w:bookmarkEnd w:id="1129"/>
      <w:bookmarkEnd w:id="1130"/>
      <w:bookmarkEnd w:id="1131"/>
    </w:p>
    <w:p w14:paraId="26059875" w14:textId="77777777" w:rsidR="00285EF0" w:rsidRPr="0012650D" w:rsidRDefault="00285EF0" w:rsidP="00285EF0">
      <w:pPr>
        <w:rPr>
          <w:rFonts w:cs="Arial"/>
          <w:color w:val="000000"/>
          <w:szCs w:val="22"/>
        </w:rPr>
      </w:pPr>
      <w:r w:rsidRPr="0012650D">
        <w:rPr>
          <w:rFonts w:cs="Arial"/>
          <w:color w:val="000000"/>
          <w:szCs w:val="22"/>
        </w:rPr>
        <w:t xml:space="preserve">Listeriosis is a notifiable disease in all Australian states and territories. The incidence of listeriosis notified in Australia in 2012 was 0.4 cases per 100,000 population (93 cases). This is a slight increase from the previous 5 year mean of 0.3 cases per 100,000 population per year (ranging from 0.2–0.4 cases per 100,000 population per year) </w:t>
      </w:r>
      <w:r w:rsidRPr="0012650D">
        <w:rPr>
          <w:rFonts w:cs="Arial"/>
          <w:noProof/>
          <w:color w:val="000000"/>
          <w:szCs w:val="22"/>
        </w:rPr>
        <w:t>(NNDSS 2013)</w:t>
      </w:r>
      <w:r w:rsidRPr="0012650D">
        <w:rPr>
          <w:rFonts w:cs="Arial"/>
          <w:color w:val="000000"/>
          <w:szCs w:val="22"/>
        </w:rPr>
        <w:t xml:space="preserve">. In Australia the fatality rate in 2010 was 21%, which was an increase from the 14% fatality rate of the previous year </w:t>
      </w:r>
      <w:r w:rsidRPr="0012650D">
        <w:rPr>
          <w:rFonts w:cs="Arial"/>
          <w:noProof/>
          <w:color w:val="000000"/>
          <w:szCs w:val="22"/>
        </w:rPr>
        <w:t>(OzFoodNet 2010; OzFoodNet 2012)</w:t>
      </w:r>
      <w:r w:rsidRPr="0012650D">
        <w:rPr>
          <w:rFonts w:cs="Arial"/>
          <w:color w:val="000000"/>
          <w:szCs w:val="22"/>
        </w:rPr>
        <w:t xml:space="preserve">. </w:t>
      </w:r>
    </w:p>
    <w:p w14:paraId="3FB68E21" w14:textId="77777777" w:rsidR="00285EF0" w:rsidRPr="0012650D" w:rsidRDefault="00285EF0" w:rsidP="00285EF0">
      <w:pPr>
        <w:rPr>
          <w:rFonts w:cs="Arial"/>
          <w:color w:val="000000"/>
          <w:szCs w:val="22"/>
        </w:rPr>
      </w:pPr>
    </w:p>
    <w:p w14:paraId="597768B8" w14:textId="77777777" w:rsidR="00285EF0" w:rsidRPr="0012650D" w:rsidRDefault="00285EF0" w:rsidP="00285EF0">
      <w:pPr>
        <w:rPr>
          <w:rFonts w:cs="Arial"/>
          <w:color w:val="000000"/>
          <w:szCs w:val="22"/>
        </w:rPr>
      </w:pPr>
      <w:r w:rsidRPr="0012650D">
        <w:rPr>
          <w:rFonts w:cs="Arial"/>
          <w:color w:val="000000"/>
          <w:szCs w:val="22"/>
        </w:rPr>
        <w:t xml:space="preserve">The notification rate for listeriosis in New Zealand in 2011 was 0.6 cases per </w:t>
      </w:r>
      <w:r>
        <w:rPr>
          <w:rFonts w:cs="Arial"/>
          <w:color w:val="000000"/>
          <w:szCs w:val="22"/>
        </w:rPr>
        <w:br/>
      </w:r>
      <w:r w:rsidRPr="0012650D">
        <w:rPr>
          <w:rFonts w:cs="Arial"/>
          <w:color w:val="000000"/>
          <w:szCs w:val="22"/>
        </w:rPr>
        <w:t xml:space="preserve">100,000 population (26 cases). This was an increase from the 2010 rate of 0.5 cases per 100,000 population. The fatality rate in New Zealand in 2011 was 3.8% </w:t>
      </w:r>
      <w:r w:rsidRPr="0012650D">
        <w:rPr>
          <w:rFonts w:cs="Arial"/>
          <w:noProof/>
          <w:color w:val="000000"/>
          <w:szCs w:val="22"/>
        </w:rPr>
        <w:t>(Lim et al. 2012)</w:t>
      </w:r>
      <w:r w:rsidRPr="0012650D">
        <w:rPr>
          <w:rFonts w:cs="Arial"/>
          <w:color w:val="000000"/>
          <w:szCs w:val="22"/>
        </w:rPr>
        <w:t>.</w:t>
      </w:r>
    </w:p>
    <w:p w14:paraId="54F947CA" w14:textId="77777777" w:rsidR="00285EF0" w:rsidRPr="0012650D" w:rsidRDefault="00285EF0" w:rsidP="00285EF0">
      <w:pPr>
        <w:rPr>
          <w:rFonts w:cs="Arial"/>
          <w:color w:val="000000"/>
          <w:szCs w:val="22"/>
        </w:rPr>
      </w:pPr>
    </w:p>
    <w:p w14:paraId="7A43EE44" w14:textId="77777777" w:rsidR="00285EF0" w:rsidRPr="0012650D" w:rsidRDefault="00285EF0" w:rsidP="00285EF0">
      <w:pPr>
        <w:rPr>
          <w:rFonts w:cs="Arial"/>
          <w:color w:val="000000"/>
          <w:szCs w:val="22"/>
        </w:rPr>
      </w:pPr>
      <w:r w:rsidRPr="0012650D">
        <w:rPr>
          <w:rFonts w:cs="Arial"/>
          <w:color w:val="000000"/>
          <w:szCs w:val="22"/>
        </w:rPr>
        <w:t>In the</w:t>
      </w:r>
      <w:r>
        <w:rPr>
          <w:rFonts w:cs="Arial"/>
          <w:color w:val="000000"/>
          <w:szCs w:val="22"/>
        </w:rPr>
        <w:t xml:space="preserve"> United States</w:t>
      </w:r>
      <w:r w:rsidRPr="0012650D">
        <w:rPr>
          <w:rFonts w:cs="Arial"/>
          <w:color w:val="000000"/>
          <w:szCs w:val="22"/>
        </w:rPr>
        <w:t xml:space="preserve"> </w:t>
      </w:r>
      <w:r>
        <w:rPr>
          <w:rFonts w:cs="Arial"/>
          <w:color w:val="000000"/>
          <w:szCs w:val="22"/>
        </w:rPr>
        <w:t>(</w:t>
      </w:r>
      <w:r w:rsidRPr="0012650D">
        <w:rPr>
          <w:rFonts w:cs="Arial"/>
          <w:color w:val="000000"/>
          <w:szCs w:val="22"/>
        </w:rPr>
        <w:t>US</w:t>
      </w:r>
      <w:r>
        <w:rPr>
          <w:rFonts w:cs="Arial"/>
          <w:color w:val="000000"/>
          <w:szCs w:val="22"/>
        </w:rPr>
        <w:t>)</w:t>
      </w:r>
      <w:r w:rsidRPr="0012650D">
        <w:rPr>
          <w:rFonts w:cs="Arial"/>
          <w:color w:val="000000"/>
          <w:szCs w:val="22"/>
        </w:rPr>
        <w:t xml:space="preserve"> the notification rate for listeriosis in 2010 was 0.27 cases per 100,000 population. This was similar to the 2009 rate of 0.28 cases per 100,000 population </w:t>
      </w:r>
      <w:r w:rsidRPr="0012650D">
        <w:rPr>
          <w:rFonts w:cs="Arial"/>
          <w:noProof/>
          <w:color w:val="000000"/>
          <w:szCs w:val="22"/>
        </w:rPr>
        <w:t>(CDC 2012)</w:t>
      </w:r>
      <w:r w:rsidRPr="0012650D">
        <w:rPr>
          <w:rFonts w:cs="Arial"/>
          <w:color w:val="000000"/>
          <w:szCs w:val="22"/>
        </w:rPr>
        <w:t xml:space="preserve">. In the </w:t>
      </w:r>
      <w:r>
        <w:rPr>
          <w:rFonts w:cs="Arial"/>
          <w:color w:val="000000"/>
          <w:szCs w:val="22"/>
        </w:rPr>
        <w:t>European Union (</w:t>
      </w:r>
      <w:r w:rsidRPr="0012650D">
        <w:rPr>
          <w:rFonts w:cs="Arial"/>
          <w:color w:val="000000"/>
          <w:szCs w:val="22"/>
        </w:rPr>
        <w:t>EU</w:t>
      </w:r>
      <w:r>
        <w:rPr>
          <w:rFonts w:cs="Arial"/>
          <w:color w:val="000000"/>
          <w:szCs w:val="22"/>
        </w:rPr>
        <w:t>)</w:t>
      </w:r>
      <w:r w:rsidRPr="0012650D">
        <w:rPr>
          <w:rFonts w:cs="Arial"/>
          <w:color w:val="000000"/>
          <w:szCs w:val="22"/>
        </w:rPr>
        <w:t xml:space="preserve"> there were 0.32 confirmed cases of listeriosis per 100,000 population in 2011 (ranging from 0.04–0.88 cases per 100,000 </w:t>
      </w:r>
      <w:r>
        <w:rPr>
          <w:rFonts w:cs="Arial"/>
          <w:color w:val="000000"/>
          <w:szCs w:val="22"/>
        </w:rPr>
        <w:t xml:space="preserve">population </w:t>
      </w:r>
      <w:r w:rsidRPr="0012650D">
        <w:rPr>
          <w:rFonts w:cs="Arial"/>
          <w:color w:val="000000"/>
          <w:szCs w:val="22"/>
        </w:rPr>
        <w:t>between countries). This was a 7.8% decrease in the number of cases from 2010. The reported fatality rate in the EU in 2011 was 12.7%</w:t>
      </w:r>
      <w:r>
        <w:rPr>
          <w:rFonts w:cs="Arial"/>
          <w:color w:val="000000"/>
          <w:szCs w:val="22"/>
        </w:rPr>
        <w:t xml:space="preserve"> </w:t>
      </w:r>
      <w:r w:rsidRPr="0012650D">
        <w:rPr>
          <w:rFonts w:cs="Arial"/>
          <w:noProof/>
          <w:color w:val="000000"/>
          <w:szCs w:val="22"/>
        </w:rPr>
        <w:t>(EFSA 2013)</w:t>
      </w:r>
      <w:r w:rsidRPr="0012650D">
        <w:rPr>
          <w:rFonts w:cs="Arial"/>
          <w:color w:val="000000"/>
          <w:szCs w:val="22"/>
        </w:rPr>
        <w:t>.</w:t>
      </w:r>
    </w:p>
    <w:p w14:paraId="1B189766" w14:textId="77777777" w:rsidR="00285EF0" w:rsidRPr="0012650D" w:rsidRDefault="00285EF0" w:rsidP="00285EF0">
      <w:pPr>
        <w:rPr>
          <w:rFonts w:cs="Arial"/>
          <w:color w:val="000000"/>
          <w:szCs w:val="22"/>
        </w:rPr>
      </w:pPr>
    </w:p>
    <w:p w14:paraId="1974DEBA" w14:textId="77777777" w:rsidR="00285EF0" w:rsidRPr="0012650D" w:rsidRDefault="00285EF0" w:rsidP="00285EF0">
      <w:pPr>
        <w:rPr>
          <w:rFonts w:eastAsia="Calibri" w:cs="Arial"/>
          <w:color w:val="000000"/>
          <w:szCs w:val="22"/>
        </w:rPr>
      </w:pPr>
      <w:r w:rsidRPr="0012650D">
        <w:rPr>
          <w:rFonts w:eastAsia="Calibri" w:cs="Arial"/>
          <w:color w:val="000000"/>
          <w:szCs w:val="22"/>
        </w:rPr>
        <w:t xml:space="preserve">Invasive </w:t>
      </w:r>
      <w:r w:rsidRPr="0012650D">
        <w:rPr>
          <w:rFonts w:eastAsia="Calibri" w:cs="Arial"/>
          <w:i/>
          <w:iCs/>
          <w:color w:val="000000"/>
          <w:szCs w:val="22"/>
        </w:rPr>
        <w:t xml:space="preserve">L. monocytogenes </w:t>
      </w:r>
      <w:r w:rsidRPr="0012650D">
        <w:rPr>
          <w:rFonts w:eastAsia="Calibri" w:cs="Arial"/>
          <w:color w:val="000000"/>
          <w:szCs w:val="22"/>
        </w:rPr>
        <w:t>infections can be life threatening, with average fatality rates being 20</w:t>
      </w:r>
      <w:r w:rsidRPr="0012650D">
        <w:rPr>
          <w:rFonts w:cs="Arial"/>
          <w:color w:val="000000"/>
          <w:szCs w:val="22"/>
        </w:rPr>
        <w:t>–</w:t>
      </w:r>
      <w:r w:rsidRPr="0012650D">
        <w:rPr>
          <w:rFonts w:eastAsia="Calibri" w:cs="Arial"/>
          <w:color w:val="000000"/>
          <w:szCs w:val="22"/>
        </w:rPr>
        <w:t xml:space="preserve">30% among hospitalized patients </w:t>
      </w:r>
      <w:r w:rsidRPr="0012650D">
        <w:rPr>
          <w:rFonts w:eastAsia="Calibri" w:cs="Arial"/>
          <w:noProof/>
          <w:color w:val="000000"/>
          <w:szCs w:val="22"/>
        </w:rPr>
        <w:t>(WHO/FAO 2004; Swaminathan and Gerner-Smidt 2007)</w:t>
      </w:r>
    </w:p>
    <w:p w14:paraId="6690E428" w14:textId="77777777" w:rsidR="00285EF0" w:rsidRPr="002918E4" w:rsidRDefault="00285EF0" w:rsidP="00285EF0">
      <w:pPr>
        <w:rPr>
          <w:rFonts w:cs="Arial"/>
          <w:color w:val="000000"/>
          <w:szCs w:val="22"/>
        </w:rPr>
      </w:pPr>
      <w:r w:rsidRPr="0012650D">
        <w:rPr>
          <w:rFonts w:cs="Arial"/>
          <w:color w:val="000000"/>
          <w:szCs w:val="22"/>
        </w:rPr>
        <w:t xml:space="preserve">Most cases of listeriosis are sporadic. Despite this, foodborne outbreaks due to </w:t>
      </w:r>
      <w:r w:rsidRPr="0012650D">
        <w:rPr>
          <w:rFonts w:cs="Arial"/>
          <w:color w:val="000000"/>
          <w:szCs w:val="22"/>
        </w:rPr>
        <w:br/>
      </w:r>
      <w:r w:rsidRPr="0012650D">
        <w:rPr>
          <w:rFonts w:cs="Arial"/>
          <w:i/>
          <w:color w:val="000000"/>
          <w:szCs w:val="22"/>
        </w:rPr>
        <w:t>L. monocytogenes</w:t>
      </w:r>
      <w:r w:rsidRPr="0012650D">
        <w:rPr>
          <w:rFonts w:cs="Arial"/>
          <w:color w:val="000000"/>
          <w:szCs w:val="22"/>
        </w:rPr>
        <w:t xml:space="preserve"> have been associated with cheese, raw (unpasteurised) milk, deli meats, </w:t>
      </w:r>
      <w:r>
        <w:rPr>
          <w:rFonts w:cs="Arial"/>
          <w:color w:val="000000"/>
          <w:szCs w:val="22"/>
        </w:rPr>
        <w:t xml:space="preserve">fruit, </w:t>
      </w:r>
      <w:r w:rsidRPr="0012650D">
        <w:rPr>
          <w:rFonts w:cs="Arial"/>
          <w:color w:val="000000"/>
          <w:szCs w:val="22"/>
        </w:rPr>
        <w:t xml:space="preserve">salad, fish and smoked fish, ice cream and hotdogs </w:t>
      </w:r>
      <w:r w:rsidRPr="0012650D">
        <w:rPr>
          <w:rFonts w:cs="Arial"/>
          <w:noProof/>
          <w:color w:val="000000"/>
          <w:szCs w:val="22"/>
        </w:rPr>
        <w:t>(</w:t>
      </w:r>
      <w:r>
        <w:rPr>
          <w:rFonts w:cs="Arial"/>
          <w:noProof/>
          <w:color w:val="000000"/>
          <w:szCs w:val="22"/>
        </w:rPr>
        <w:t xml:space="preserve">CDC 2011; </w:t>
      </w:r>
      <w:r w:rsidRPr="0012650D">
        <w:rPr>
          <w:rFonts w:cs="Arial"/>
          <w:noProof/>
          <w:color w:val="000000"/>
          <w:szCs w:val="22"/>
        </w:rPr>
        <w:t>Montville and Matthews 2005; Swaminathan and Gerner-Smidt 2007)</w:t>
      </w:r>
      <w:r w:rsidRPr="0012650D">
        <w:rPr>
          <w:rFonts w:cs="Arial"/>
          <w:color w:val="000000"/>
          <w:szCs w:val="22"/>
        </w:rPr>
        <w:t>.</w:t>
      </w:r>
    </w:p>
    <w:p w14:paraId="5F8DC4B8" w14:textId="77777777" w:rsidR="00285EF0" w:rsidRPr="004C72EC" w:rsidRDefault="00285EF0" w:rsidP="00787E56">
      <w:pPr>
        <w:pStyle w:val="Heading3"/>
        <w:rPr>
          <w:sz w:val="28"/>
        </w:rPr>
      </w:pPr>
      <w:bookmarkStart w:id="1132" w:name="_Toc105752563"/>
      <w:bookmarkStart w:id="1133" w:name="_Toc123010649"/>
      <w:bookmarkStart w:id="1134" w:name="_Toc66881449"/>
      <w:bookmarkStart w:id="1135" w:name="_Toc66883075"/>
      <w:bookmarkStart w:id="1136" w:name="_Toc87614476"/>
      <w:bookmarkStart w:id="1137" w:name="_Toc87860115"/>
      <w:r w:rsidRPr="00CA6FF3">
        <w:t>Occurrence in food</w:t>
      </w:r>
      <w:bookmarkEnd w:id="1132"/>
      <w:bookmarkEnd w:id="1133"/>
      <w:bookmarkEnd w:id="1134"/>
      <w:bookmarkEnd w:id="1135"/>
      <w:bookmarkEnd w:id="1136"/>
      <w:bookmarkEnd w:id="1137"/>
    </w:p>
    <w:p w14:paraId="5CC0C027" w14:textId="77777777" w:rsidR="00285EF0" w:rsidRPr="0012650D" w:rsidRDefault="00285EF0" w:rsidP="00285EF0">
      <w:pPr>
        <w:rPr>
          <w:rFonts w:cs="Arial"/>
          <w:color w:val="000000"/>
          <w:szCs w:val="22"/>
        </w:rPr>
      </w:pPr>
      <w:r w:rsidRPr="0012650D">
        <w:rPr>
          <w:rFonts w:cs="Arial"/>
          <w:i/>
          <w:color w:val="000000"/>
          <w:szCs w:val="22"/>
        </w:rPr>
        <w:t>L. monocytogenes</w:t>
      </w:r>
      <w:r w:rsidRPr="0012650D">
        <w:rPr>
          <w:rFonts w:cs="Arial"/>
          <w:color w:val="000000"/>
          <w:szCs w:val="22"/>
        </w:rPr>
        <w:t xml:space="preserve"> has been isolated from various ready-to-eat products. In a study by Meldrum et al. </w:t>
      </w:r>
      <w:r w:rsidRPr="0012650D">
        <w:rPr>
          <w:rFonts w:cs="Arial"/>
          <w:noProof/>
          <w:color w:val="000000"/>
          <w:szCs w:val="22"/>
        </w:rPr>
        <w:t>(2010)</w:t>
      </w:r>
      <w:r w:rsidRPr="0012650D">
        <w:rPr>
          <w:rFonts w:cs="Arial"/>
          <w:color w:val="000000"/>
          <w:szCs w:val="22"/>
        </w:rPr>
        <w:t xml:space="preserve"> the prevalence of </w:t>
      </w:r>
      <w:r w:rsidRPr="0012650D">
        <w:rPr>
          <w:rFonts w:cs="Arial"/>
          <w:i/>
          <w:color w:val="000000"/>
          <w:szCs w:val="22"/>
        </w:rPr>
        <w:t>L. monocytogenes</w:t>
      </w:r>
      <w:r w:rsidRPr="0012650D">
        <w:rPr>
          <w:rFonts w:cs="Arial"/>
          <w:color w:val="000000"/>
          <w:szCs w:val="22"/>
        </w:rPr>
        <w:t xml:space="preserve"> was 4.1% in crustaceans (n=147), 6.7% in smoked fish (n=178), 2% in sushi (n=50) and 0.9% in green salad (n=335) samples in Wales. Wong et al. </w:t>
      </w:r>
      <w:r w:rsidRPr="0012650D">
        <w:rPr>
          <w:rFonts w:cs="Arial"/>
          <w:noProof/>
          <w:color w:val="000000"/>
          <w:szCs w:val="22"/>
        </w:rPr>
        <w:t>(2005)</w:t>
      </w:r>
      <w:r w:rsidRPr="0012650D">
        <w:rPr>
          <w:rFonts w:cs="Arial"/>
          <w:color w:val="000000"/>
          <w:szCs w:val="22"/>
        </w:rPr>
        <w:t xml:space="preserve"> isolated </w:t>
      </w:r>
      <w:r w:rsidRPr="0012650D">
        <w:rPr>
          <w:rFonts w:cs="Arial"/>
          <w:i/>
          <w:color w:val="000000"/>
          <w:szCs w:val="22"/>
        </w:rPr>
        <w:t>L. monocytogenes</w:t>
      </w:r>
      <w:r w:rsidRPr="0012650D">
        <w:rPr>
          <w:rFonts w:cs="Arial"/>
          <w:color w:val="000000"/>
          <w:szCs w:val="22"/>
        </w:rPr>
        <w:t xml:space="preserve"> from 1% of ham (n=104) and 1.7% of pate (n=60) samples in New Zealand. </w:t>
      </w:r>
      <w:r w:rsidRPr="0012650D">
        <w:rPr>
          <w:rFonts w:cs="Arial"/>
          <w:i/>
          <w:color w:val="000000"/>
          <w:szCs w:val="22"/>
        </w:rPr>
        <w:t>L. monocytogenes</w:t>
      </w:r>
      <w:r w:rsidRPr="0012650D">
        <w:rPr>
          <w:rFonts w:cs="Arial"/>
          <w:color w:val="000000"/>
          <w:szCs w:val="22"/>
        </w:rPr>
        <w:t xml:space="preserve"> has also been isolated from dairy products. For example, </w:t>
      </w:r>
      <w:r w:rsidRPr="0012650D">
        <w:rPr>
          <w:rFonts w:cs="Arial"/>
          <w:i/>
          <w:color w:val="000000"/>
          <w:szCs w:val="22"/>
        </w:rPr>
        <w:t>L. monocytogenes</w:t>
      </w:r>
      <w:r w:rsidRPr="0012650D">
        <w:rPr>
          <w:rFonts w:cs="Arial"/>
          <w:color w:val="000000"/>
          <w:szCs w:val="22"/>
        </w:rPr>
        <w:t xml:space="preserve"> was detected in 1.3% of fresh cheese samples in Spain (n=78), 0.2% of hard cheese samples in the U</w:t>
      </w:r>
      <w:r>
        <w:rPr>
          <w:rFonts w:cs="Arial"/>
          <w:color w:val="000000"/>
          <w:szCs w:val="22"/>
        </w:rPr>
        <w:t xml:space="preserve">nited </w:t>
      </w:r>
      <w:r w:rsidRPr="0012650D">
        <w:rPr>
          <w:rFonts w:cs="Arial"/>
          <w:color w:val="000000"/>
          <w:szCs w:val="22"/>
        </w:rPr>
        <w:t>K</w:t>
      </w:r>
      <w:r>
        <w:rPr>
          <w:rFonts w:cs="Arial"/>
          <w:color w:val="000000"/>
          <w:szCs w:val="22"/>
        </w:rPr>
        <w:t>ingdom</w:t>
      </w:r>
      <w:r w:rsidRPr="0012650D">
        <w:rPr>
          <w:rFonts w:cs="Arial"/>
          <w:color w:val="000000"/>
          <w:szCs w:val="22"/>
        </w:rPr>
        <w:t xml:space="preserve"> (n=1242) and 0.3% of ice creams in Italy (n=1734) </w:t>
      </w:r>
      <w:r w:rsidRPr="0012650D">
        <w:rPr>
          <w:rFonts w:cs="Arial"/>
          <w:noProof/>
          <w:color w:val="000000"/>
          <w:szCs w:val="22"/>
        </w:rPr>
        <w:t>(Busani et al. 2005; Cabedo et al. 2008; Little et al. 2009)</w:t>
      </w:r>
      <w:r w:rsidRPr="0012650D">
        <w:rPr>
          <w:rFonts w:cs="Arial"/>
          <w:color w:val="000000"/>
          <w:szCs w:val="22"/>
        </w:rPr>
        <w:t xml:space="preserve">. The prevalence of </w:t>
      </w:r>
      <w:r w:rsidRPr="0012650D">
        <w:rPr>
          <w:rFonts w:cs="Arial"/>
          <w:i/>
          <w:color w:val="000000"/>
          <w:szCs w:val="22"/>
        </w:rPr>
        <w:t>L. monocytogenes</w:t>
      </w:r>
      <w:r w:rsidRPr="0012650D">
        <w:rPr>
          <w:rFonts w:cs="Arial"/>
          <w:color w:val="000000"/>
          <w:szCs w:val="22"/>
        </w:rPr>
        <w:t xml:space="preserve"> in bulk milk tank internationally is 1–60% </w:t>
      </w:r>
      <w:r w:rsidRPr="0012650D">
        <w:rPr>
          <w:rFonts w:cs="Arial"/>
          <w:noProof/>
          <w:color w:val="000000"/>
          <w:szCs w:val="22"/>
        </w:rPr>
        <w:t>(FSANZ 2009)</w:t>
      </w:r>
      <w:r w:rsidRPr="0012650D">
        <w:rPr>
          <w:rFonts w:cs="Arial"/>
          <w:color w:val="000000"/>
          <w:szCs w:val="22"/>
        </w:rPr>
        <w:t>.</w:t>
      </w:r>
    </w:p>
    <w:p w14:paraId="699874ED" w14:textId="77777777" w:rsidR="00285EF0" w:rsidRPr="0012650D" w:rsidRDefault="00285EF0" w:rsidP="00285EF0">
      <w:pPr>
        <w:rPr>
          <w:rFonts w:cs="Arial"/>
          <w:color w:val="000000"/>
          <w:szCs w:val="22"/>
        </w:rPr>
      </w:pPr>
    </w:p>
    <w:p w14:paraId="18CAA35B" w14:textId="77777777" w:rsidR="00285EF0" w:rsidRPr="0012650D" w:rsidRDefault="00285EF0" w:rsidP="00285EF0">
      <w:pPr>
        <w:rPr>
          <w:rFonts w:cs="Arial"/>
          <w:color w:val="000000"/>
          <w:szCs w:val="22"/>
        </w:rPr>
      </w:pPr>
      <w:r w:rsidRPr="0012650D">
        <w:rPr>
          <w:rFonts w:cs="Arial"/>
          <w:color w:val="000000"/>
          <w:szCs w:val="22"/>
        </w:rPr>
        <w:t xml:space="preserve">The presence of </w:t>
      </w:r>
      <w:r w:rsidRPr="0012650D">
        <w:rPr>
          <w:rFonts w:cs="Arial"/>
          <w:i/>
          <w:color w:val="000000"/>
          <w:szCs w:val="22"/>
        </w:rPr>
        <w:t>L. monocytogenes</w:t>
      </w:r>
      <w:r w:rsidRPr="0012650D">
        <w:rPr>
          <w:rFonts w:cs="Arial"/>
          <w:color w:val="000000"/>
          <w:szCs w:val="22"/>
        </w:rPr>
        <w:t xml:space="preserve"> in ready-to-eat products is probably due to contamination occurring after the product has been processed. This contamination may occur during additional handling steps such as peeling, slicing and repackaging. Also, in the retail and food service environment, contamination may be transferred between ready-to-eat products </w:t>
      </w:r>
      <w:r w:rsidRPr="0012650D">
        <w:rPr>
          <w:rFonts w:cs="Arial"/>
          <w:noProof/>
          <w:color w:val="000000"/>
          <w:szCs w:val="22"/>
        </w:rPr>
        <w:t>(Lianou and Sofos 2007)</w:t>
      </w:r>
      <w:r w:rsidRPr="0012650D">
        <w:rPr>
          <w:rFonts w:cs="Arial"/>
          <w:color w:val="000000"/>
          <w:szCs w:val="22"/>
        </w:rPr>
        <w:t xml:space="preserve">. The type of handling that ready-to-eat meat receives may also influence the level of </w:t>
      </w:r>
      <w:r w:rsidRPr="0012650D">
        <w:rPr>
          <w:rFonts w:cs="Arial"/>
          <w:i/>
          <w:color w:val="000000"/>
          <w:szCs w:val="22"/>
        </w:rPr>
        <w:t xml:space="preserve">L. monocytogenes </w:t>
      </w:r>
      <w:r w:rsidRPr="0012650D">
        <w:rPr>
          <w:rFonts w:cs="Arial"/>
          <w:color w:val="000000"/>
          <w:szCs w:val="22"/>
        </w:rPr>
        <w:t xml:space="preserve">contamination. In a survey of retail packaged meats there was a significantly higher prevalence of </w:t>
      </w:r>
      <w:r w:rsidRPr="0012650D">
        <w:rPr>
          <w:rFonts w:cs="Arial"/>
          <w:i/>
          <w:color w:val="000000"/>
          <w:szCs w:val="22"/>
        </w:rPr>
        <w:t xml:space="preserve">L. monocytogenes </w:t>
      </w:r>
      <w:r w:rsidRPr="0012650D">
        <w:rPr>
          <w:rFonts w:cs="Arial"/>
          <w:color w:val="000000"/>
          <w:szCs w:val="22"/>
        </w:rPr>
        <w:t xml:space="preserve">reported in products cut into cubes (61.5%) (n=13), compared with sliced products (4.6%) (n=196) </w:t>
      </w:r>
      <w:r w:rsidRPr="0012650D">
        <w:rPr>
          <w:rFonts w:cs="Arial"/>
          <w:noProof/>
          <w:color w:val="000000"/>
          <w:szCs w:val="22"/>
        </w:rPr>
        <w:t>(Angelidis and Koutsoumanis 2006)</w:t>
      </w:r>
      <w:r>
        <w:rPr>
          <w:rFonts w:cs="Arial"/>
          <w:color w:val="000000"/>
          <w:szCs w:val="22"/>
        </w:rPr>
        <w:t>.</w:t>
      </w:r>
    </w:p>
    <w:p w14:paraId="30E9AC2E" w14:textId="77777777" w:rsidR="00285EF0" w:rsidRPr="004C72EC" w:rsidRDefault="00285EF0" w:rsidP="00787E56">
      <w:pPr>
        <w:pStyle w:val="Heading3"/>
        <w:rPr>
          <w:sz w:val="28"/>
        </w:rPr>
      </w:pPr>
      <w:bookmarkStart w:id="1138" w:name="_Toc66881450"/>
      <w:bookmarkStart w:id="1139" w:name="_Toc66883076"/>
      <w:bookmarkStart w:id="1140" w:name="_Toc87614477"/>
      <w:bookmarkStart w:id="1141" w:name="_Toc87860116"/>
      <w:bookmarkStart w:id="1142" w:name="_Toc105752565"/>
      <w:bookmarkStart w:id="1143" w:name="_Toc123010651"/>
      <w:r w:rsidRPr="00CA6FF3">
        <w:t>Host factors that influence disease</w:t>
      </w:r>
      <w:bookmarkEnd w:id="1138"/>
      <w:bookmarkEnd w:id="1139"/>
      <w:bookmarkEnd w:id="1140"/>
      <w:bookmarkEnd w:id="1141"/>
    </w:p>
    <w:p w14:paraId="0F7F3D8D" w14:textId="77777777" w:rsidR="00285EF0" w:rsidRPr="0012650D" w:rsidRDefault="00285EF0" w:rsidP="00285EF0">
      <w:pPr>
        <w:rPr>
          <w:rFonts w:cs="Arial"/>
          <w:color w:val="000000"/>
          <w:szCs w:val="22"/>
        </w:rPr>
      </w:pPr>
      <w:r w:rsidRPr="0012650D">
        <w:rPr>
          <w:rFonts w:cs="Arial"/>
          <w:color w:val="000000"/>
          <w:szCs w:val="22"/>
        </w:rPr>
        <w:t>People at risk of invasive listeriosis include pregnant women and their foetuses, newborn babies, the elderly and immunocompromised individuals (such as cancer, transplant and HIV/AIDS patients). Less frequently reported, but also at a greater risk, are patients with diabetes, asthma, cirrhosis (liver disease) and ulcerative colitis (inflammatory bowel disease</w:t>
      </w:r>
      <w:r>
        <w:rPr>
          <w:rFonts w:cs="Arial"/>
          <w:color w:val="000000"/>
          <w:szCs w:val="22"/>
        </w:rPr>
        <w:t>)</w:t>
      </w:r>
      <w:r w:rsidRPr="0012650D">
        <w:rPr>
          <w:rFonts w:cs="Arial"/>
          <w:color w:val="000000"/>
          <w:szCs w:val="22"/>
        </w:rPr>
        <w:t xml:space="preserve"> </w:t>
      </w:r>
      <w:r w:rsidRPr="0012650D">
        <w:rPr>
          <w:rFonts w:cs="Arial"/>
          <w:noProof/>
          <w:color w:val="000000"/>
          <w:szCs w:val="22"/>
        </w:rPr>
        <w:t>(FDA 2012)</w:t>
      </w:r>
      <w:r w:rsidRPr="0012650D">
        <w:rPr>
          <w:rFonts w:cs="Arial"/>
          <w:color w:val="000000"/>
          <w:szCs w:val="22"/>
        </w:rPr>
        <w:t xml:space="preserve">. </w:t>
      </w:r>
    </w:p>
    <w:p w14:paraId="1F68FFB9" w14:textId="77777777" w:rsidR="00285EF0" w:rsidRPr="004C72EC" w:rsidRDefault="00285EF0" w:rsidP="00787E56">
      <w:pPr>
        <w:pStyle w:val="Heading3"/>
        <w:rPr>
          <w:sz w:val="28"/>
        </w:rPr>
      </w:pPr>
      <w:bookmarkStart w:id="1144" w:name="_Toc66881451"/>
      <w:bookmarkStart w:id="1145" w:name="_Toc66883077"/>
      <w:bookmarkStart w:id="1146" w:name="_Toc87614478"/>
      <w:bookmarkStart w:id="1147" w:name="_Toc87860117"/>
      <w:r w:rsidRPr="00CA6FF3">
        <w:t>Dose response</w:t>
      </w:r>
      <w:bookmarkEnd w:id="1142"/>
      <w:bookmarkEnd w:id="1143"/>
      <w:bookmarkEnd w:id="1144"/>
      <w:bookmarkEnd w:id="1145"/>
      <w:bookmarkEnd w:id="1146"/>
      <w:bookmarkEnd w:id="1147"/>
    </w:p>
    <w:p w14:paraId="1A272A36" w14:textId="77777777" w:rsidR="00285EF0" w:rsidRPr="0012650D" w:rsidRDefault="00285EF0" w:rsidP="00285EF0">
      <w:pPr>
        <w:rPr>
          <w:rFonts w:cs="Arial"/>
          <w:color w:val="000000"/>
          <w:szCs w:val="22"/>
        </w:rPr>
      </w:pPr>
      <w:r w:rsidRPr="0012650D">
        <w:rPr>
          <w:rFonts w:cs="Arial"/>
          <w:color w:val="000000"/>
          <w:szCs w:val="22"/>
        </w:rPr>
        <w:t xml:space="preserve">Investigations of foodborne outbreaks of non-invasive listeriosis have concluded that consumption of food with high levels of </w:t>
      </w:r>
      <w:r w:rsidRPr="0012650D">
        <w:rPr>
          <w:rFonts w:cs="Arial"/>
          <w:i/>
          <w:color w:val="000000"/>
          <w:szCs w:val="22"/>
        </w:rPr>
        <w:t>L. monocytogenes</w:t>
      </w:r>
      <w:r w:rsidRPr="0012650D">
        <w:rPr>
          <w:rFonts w:cs="Arial"/>
          <w:color w:val="000000"/>
          <w:szCs w:val="22"/>
        </w:rPr>
        <w:t xml:space="preserve"> (1.9 x 10</w:t>
      </w:r>
      <w:r w:rsidRPr="0012650D">
        <w:rPr>
          <w:rFonts w:cs="Arial"/>
          <w:color w:val="000000"/>
          <w:szCs w:val="22"/>
          <w:vertAlign w:val="superscript"/>
        </w:rPr>
        <w:t>5</w:t>
      </w:r>
      <w:r w:rsidRPr="0012650D">
        <w:rPr>
          <w:rFonts w:cs="Arial"/>
          <w:color w:val="000000"/>
          <w:szCs w:val="22"/>
        </w:rPr>
        <w:t>/g to 1.2 x 10</w:t>
      </w:r>
      <w:r w:rsidRPr="0012650D">
        <w:rPr>
          <w:rFonts w:cs="Arial"/>
          <w:color w:val="000000"/>
          <w:szCs w:val="22"/>
          <w:vertAlign w:val="superscript"/>
        </w:rPr>
        <w:t>9</w:t>
      </w:r>
      <w:r w:rsidRPr="0012650D">
        <w:rPr>
          <w:rFonts w:cs="Arial"/>
          <w:color w:val="000000"/>
          <w:szCs w:val="22"/>
        </w:rPr>
        <w:t xml:space="preserve">/g) is required to cause illness in the general healthy population </w:t>
      </w:r>
      <w:r w:rsidRPr="0012650D">
        <w:rPr>
          <w:rFonts w:cs="Arial"/>
          <w:noProof/>
          <w:color w:val="000000"/>
          <w:szCs w:val="22"/>
        </w:rPr>
        <w:t>(Sim et al. 2002)</w:t>
      </w:r>
      <w:r w:rsidRPr="0012650D">
        <w:rPr>
          <w:rFonts w:cs="Arial"/>
          <w:color w:val="000000"/>
          <w:szCs w:val="22"/>
        </w:rPr>
        <w:t>.</w:t>
      </w:r>
    </w:p>
    <w:p w14:paraId="6B8B1076" w14:textId="77777777" w:rsidR="00285EF0" w:rsidRPr="0012650D" w:rsidRDefault="00285EF0" w:rsidP="00285EF0">
      <w:pPr>
        <w:rPr>
          <w:rFonts w:cs="Arial"/>
          <w:color w:val="000000"/>
          <w:szCs w:val="22"/>
        </w:rPr>
      </w:pPr>
    </w:p>
    <w:p w14:paraId="51037D92" w14:textId="77777777" w:rsidR="00285EF0" w:rsidRPr="0012650D" w:rsidRDefault="00285EF0" w:rsidP="00285EF0">
      <w:pPr>
        <w:rPr>
          <w:rFonts w:cs="Arial"/>
          <w:color w:val="000000"/>
          <w:szCs w:val="22"/>
        </w:rPr>
      </w:pPr>
      <w:r w:rsidRPr="0012650D">
        <w:rPr>
          <w:rFonts w:cs="Arial"/>
          <w:color w:val="000000"/>
          <w:szCs w:val="22"/>
        </w:rPr>
        <w:t xml:space="preserve">The number of </w:t>
      </w:r>
      <w:r w:rsidRPr="0012650D">
        <w:rPr>
          <w:rFonts w:cs="Arial"/>
          <w:i/>
          <w:color w:val="000000"/>
          <w:szCs w:val="22"/>
        </w:rPr>
        <w:t>L. monocytogenes</w:t>
      </w:r>
      <w:r w:rsidRPr="0012650D">
        <w:rPr>
          <w:rFonts w:cs="Arial"/>
          <w:color w:val="000000"/>
          <w:szCs w:val="22"/>
        </w:rPr>
        <w:t xml:space="preserve"> required to cause invasive listeriosis depends on a number of factors. These include the virulence of the particular serotype of </w:t>
      </w:r>
      <w:r>
        <w:rPr>
          <w:rFonts w:cs="Arial"/>
          <w:color w:val="000000"/>
          <w:szCs w:val="22"/>
        </w:rPr>
        <w:br/>
      </w:r>
      <w:r w:rsidRPr="0012650D">
        <w:rPr>
          <w:rFonts w:cs="Arial"/>
          <w:i/>
          <w:color w:val="000000"/>
          <w:szCs w:val="22"/>
        </w:rPr>
        <w:t>L. monocytogenes</w:t>
      </w:r>
      <w:r w:rsidRPr="0012650D">
        <w:rPr>
          <w:rFonts w:cs="Arial"/>
          <w:color w:val="000000"/>
          <w:szCs w:val="22"/>
        </w:rPr>
        <w:t xml:space="preserve">, the general health and immune status of the host, and attributes of the food (for example fatty foods can protect bacteria from stomach acid). Some </w:t>
      </w:r>
      <w:r>
        <w:rPr>
          <w:rFonts w:cs="Arial"/>
          <w:color w:val="000000"/>
          <w:szCs w:val="22"/>
        </w:rPr>
        <w:br/>
      </w:r>
      <w:r w:rsidRPr="0012650D">
        <w:rPr>
          <w:rFonts w:cs="Arial"/>
          <w:i/>
          <w:color w:val="000000"/>
          <w:szCs w:val="22"/>
        </w:rPr>
        <w:t xml:space="preserve">L. monocytogenes </w:t>
      </w:r>
      <w:r w:rsidRPr="0012650D">
        <w:rPr>
          <w:rFonts w:cs="Arial"/>
          <w:color w:val="000000"/>
          <w:szCs w:val="22"/>
        </w:rPr>
        <w:t xml:space="preserve">serovars are more virulent than others; this may be attributed to differences in the expression of virulence factors which could influence the interactions between the bacterium and the host cells and cellular invasion </w:t>
      </w:r>
      <w:r w:rsidRPr="0012650D">
        <w:rPr>
          <w:rFonts w:cs="Arial"/>
          <w:noProof/>
          <w:color w:val="000000"/>
          <w:szCs w:val="22"/>
        </w:rPr>
        <w:t>(Severino et al. 2007)</w:t>
      </w:r>
      <w:r w:rsidRPr="0012650D">
        <w:rPr>
          <w:rFonts w:cs="Arial"/>
          <w:color w:val="000000"/>
          <w:szCs w:val="22"/>
        </w:rPr>
        <w:t xml:space="preserve">. The FDA and WHO have developed separate models for both healthy and susceptible populations to predict the probability that an individual will develop listeriosis </w:t>
      </w:r>
      <w:r w:rsidRPr="0012650D">
        <w:rPr>
          <w:rFonts w:cs="Arial"/>
          <w:noProof/>
          <w:color w:val="000000"/>
          <w:szCs w:val="22"/>
        </w:rPr>
        <w:t>(FDA/USDA/CDC 2003; WHO/FAO 2004)</w:t>
      </w:r>
      <w:r w:rsidRPr="0012650D">
        <w:rPr>
          <w:rFonts w:cs="Arial"/>
          <w:color w:val="000000"/>
          <w:szCs w:val="22"/>
        </w:rPr>
        <w:t xml:space="preserve">. The probability that a healthy person of intermediate age will become ill from the consumption of a single </w:t>
      </w:r>
      <w:r w:rsidRPr="0012650D">
        <w:rPr>
          <w:rFonts w:cs="Arial"/>
          <w:i/>
          <w:color w:val="000000"/>
          <w:szCs w:val="22"/>
        </w:rPr>
        <w:t>L. monocytogenes</w:t>
      </w:r>
      <w:r w:rsidRPr="0012650D">
        <w:rPr>
          <w:rFonts w:cs="Arial"/>
          <w:color w:val="000000"/>
          <w:szCs w:val="22"/>
        </w:rPr>
        <w:t xml:space="preserve"> cell was estimated to be 2.37 x 10</w:t>
      </w:r>
      <w:r w:rsidRPr="0012650D">
        <w:rPr>
          <w:rFonts w:cs="Arial"/>
          <w:color w:val="000000"/>
          <w:szCs w:val="22"/>
          <w:vertAlign w:val="superscript"/>
        </w:rPr>
        <w:t>-14</w:t>
      </w:r>
      <w:r w:rsidRPr="0012650D">
        <w:rPr>
          <w:rFonts w:cs="Arial"/>
          <w:color w:val="000000"/>
          <w:szCs w:val="22"/>
        </w:rPr>
        <w:t>. For more susceptible populations the probability that illness will occur was estimated to be 1.06 x 10</w:t>
      </w:r>
      <w:r w:rsidRPr="0012650D">
        <w:rPr>
          <w:rFonts w:cs="Arial"/>
          <w:color w:val="000000"/>
          <w:szCs w:val="22"/>
          <w:vertAlign w:val="superscript"/>
        </w:rPr>
        <w:t>-12</w:t>
      </w:r>
      <w:r w:rsidRPr="0012650D">
        <w:rPr>
          <w:rFonts w:cs="Arial"/>
          <w:color w:val="000000"/>
          <w:szCs w:val="22"/>
        </w:rPr>
        <w:t xml:space="preserve">. A more recent assessment on invasive listeriosis in susceptible populations was performed which took into account the different serotypes of </w:t>
      </w:r>
      <w:r>
        <w:rPr>
          <w:rFonts w:cs="Arial"/>
          <w:color w:val="000000"/>
          <w:szCs w:val="22"/>
        </w:rPr>
        <w:br/>
      </w:r>
      <w:r w:rsidRPr="0012650D">
        <w:rPr>
          <w:rFonts w:cs="Arial"/>
          <w:i/>
          <w:color w:val="000000"/>
          <w:szCs w:val="22"/>
        </w:rPr>
        <w:t>L. monocytogenes</w:t>
      </w:r>
      <w:r w:rsidRPr="0012650D">
        <w:rPr>
          <w:rFonts w:cs="Arial"/>
          <w:color w:val="000000"/>
          <w:szCs w:val="22"/>
        </w:rPr>
        <w:t xml:space="preserve"> </w:t>
      </w:r>
      <w:r w:rsidRPr="0012650D">
        <w:rPr>
          <w:rFonts w:cs="Arial"/>
          <w:noProof/>
          <w:color w:val="000000"/>
          <w:szCs w:val="22"/>
        </w:rPr>
        <w:t>(Chen et al. 2006)</w:t>
      </w:r>
      <w:r w:rsidRPr="0012650D">
        <w:rPr>
          <w:rFonts w:cs="Arial"/>
          <w:color w:val="000000"/>
          <w:szCs w:val="22"/>
        </w:rPr>
        <w:t>. This study showed that the probability of a susceptible individual developing invasive listeriosis ranged from 1.31 × 10</w:t>
      </w:r>
      <w:r w:rsidRPr="0012650D">
        <w:rPr>
          <w:rFonts w:cs="Arial"/>
          <w:color w:val="000000"/>
          <w:szCs w:val="22"/>
          <w:vertAlign w:val="superscript"/>
        </w:rPr>
        <w:t>-8</w:t>
      </w:r>
      <w:r w:rsidRPr="0012650D">
        <w:rPr>
          <w:rFonts w:cs="Arial"/>
          <w:color w:val="000000"/>
          <w:szCs w:val="22"/>
        </w:rPr>
        <w:t xml:space="preserve"> to 5.01 × 10</w:t>
      </w:r>
      <w:r w:rsidRPr="0012650D">
        <w:rPr>
          <w:rFonts w:cs="Arial"/>
          <w:color w:val="000000"/>
          <w:szCs w:val="22"/>
          <w:vertAlign w:val="superscript"/>
        </w:rPr>
        <w:t>-11</w:t>
      </w:r>
      <w:r w:rsidRPr="0012650D">
        <w:rPr>
          <w:rFonts w:cs="Arial"/>
          <w:color w:val="000000"/>
          <w:szCs w:val="22"/>
        </w:rPr>
        <w:t xml:space="preserve">, suggesting that there are large differences in virulence between </w:t>
      </w:r>
      <w:r w:rsidRPr="0012650D">
        <w:rPr>
          <w:rFonts w:cs="Arial"/>
          <w:i/>
          <w:color w:val="000000"/>
          <w:szCs w:val="22"/>
        </w:rPr>
        <w:t>L. monocytogenes</w:t>
      </w:r>
      <w:r w:rsidRPr="0012650D">
        <w:rPr>
          <w:rFonts w:cs="Arial"/>
          <w:color w:val="000000"/>
          <w:szCs w:val="22"/>
        </w:rPr>
        <w:t xml:space="preserve"> serotypes.</w:t>
      </w:r>
    </w:p>
    <w:p w14:paraId="1B26801F" w14:textId="77777777" w:rsidR="001B4D3A" w:rsidRPr="00145A61" w:rsidRDefault="00285EF0" w:rsidP="00787E56">
      <w:pPr>
        <w:pStyle w:val="Heading3"/>
      </w:pPr>
      <w:bookmarkStart w:id="1148" w:name="_Toc105752568"/>
      <w:bookmarkStart w:id="1149" w:name="_Toc123010654"/>
      <w:bookmarkStart w:id="1150" w:name="_Toc66881452"/>
      <w:bookmarkStart w:id="1151" w:name="_Toc66883078"/>
      <w:bookmarkStart w:id="1152" w:name="_Toc87614479"/>
      <w:bookmarkStart w:id="1153" w:name="_Toc87860118"/>
      <w:r w:rsidRPr="00CA6FF3">
        <w:t>References</w:t>
      </w:r>
      <w:bookmarkEnd w:id="1148"/>
      <w:bookmarkEnd w:id="1149"/>
      <w:bookmarkEnd w:id="1150"/>
      <w:bookmarkEnd w:id="1151"/>
      <w:bookmarkEnd w:id="1152"/>
      <w:bookmarkEnd w:id="1153"/>
    </w:p>
    <w:p w14:paraId="66AAECC9" w14:textId="25ADE492" w:rsidR="00285EF0" w:rsidRPr="001B4D3A" w:rsidRDefault="00285EF0" w:rsidP="001B4D3A">
      <w:pPr>
        <w:spacing w:after="120"/>
        <w:rPr>
          <w:noProof/>
          <w:sz w:val="20"/>
          <w:szCs w:val="20"/>
        </w:rPr>
      </w:pPr>
      <w:r w:rsidRPr="001B4D3A">
        <w:rPr>
          <w:noProof/>
          <w:sz w:val="20"/>
          <w:szCs w:val="20"/>
        </w:rPr>
        <w:t xml:space="preserve">Angelidis AS, Koutsoumanis K (2006) Prevalence and concentration of </w:t>
      </w:r>
      <w:r w:rsidRPr="001B4D3A">
        <w:rPr>
          <w:i/>
          <w:noProof/>
          <w:sz w:val="20"/>
          <w:szCs w:val="20"/>
        </w:rPr>
        <w:t>Listeria monocytogenes</w:t>
      </w:r>
      <w:r w:rsidRPr="001B4D3A">
        <w:rPr>
          <w:noProof/>
          <w:sz w:val="20"/>
          <w:szCs w:val="20"/>
        </w:rPr>
        <w:t xml:space="preserve"> in sliced ready-to-eat meat products in the Hellenic retail market. Journal of Food Protection 69(4):938–942</w:t>
      </w:r>
    </w:p>
    <w:p w14:paraId="464AC737" w14:textId="664334CC"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Bell C, Kyriakides A (2005) </w:t>
      </w:r>
      <w:r w:rsidRPr="004C72EC">
        <w:rPr>
          <w:rFonts w:cs="Arial"/>
          <w:i/>
          <w:noProof/>
          <w:color w:val="000000"/>
          <w:sz w:val="20"/>
          <w:szCs w:val="20"/>
        </w:rPr>
        <w:t>Listeria</w:t>
      </w:r>
      <w:r w:rsidRPr="004C72EC">
        <w:rPr>
          <w:rFonts w:cs="Arial"/>
          <w:noProof/>
          <w:color w:val="000000"/>
          <w:sz w:val="20"/>
          <w:szCs w:val="20"/>
        </w:rPr>
        <w:t>: A practical appraoch to the organis</w:t>
      </w:r>
      <w:r w:rsidR="00DB681B">
        <w:rPr>
          <w:rFonts w:cs="Arial"/>
          <w:noProof/>
          <w:color w:val="000000"/>
          <w:sz w:val="20"/>
          <w:szCs w:val="20"/>
        </w:rPr>
        <w:t>m and its control in foods. 2</w:t>
      </w:r>
      <w:r w:rsidR="00DB681B" w:rsidRPr="00DB681B">
        <w:rPr>
          <w:rFonts w:cs="Arial"/>
          <w:noProof/>
          <w:color w:val="000000"/>
          <w:sz w:val="20"/>
          <w:szCs w:val="20"/>
          <w:vertAlign w:val="superscript"/>
        </w:rPr>
        <w:t>nd</w:t>
      </w:r>
      <w:r w:rsidR="00DB681B">
        <w:rPr>
          <w:rFonts w:cs="Arial"/>
          <w:noProof/>
          <w:color w:val="000000"/>
          <w:sz w:val="20"/>
          <w:szCs w:val="20"/>
        </w:rPr>
        <w:t> </w:t>
      </w:r>
      <w:r w:rsidRPr="004C72EC">
        <w:rPr>
          <w:rFonts w:cs="Arial"/>
          <w:noProof/>
          <w:color w:val="000000"/>
          <w:sz w:val="20"/>
          <w:szCs w:val="20"/>
        </w:rPr>
        <w:t>ed, Blackwell Publishing, Oxford</w:t>
      </w:r>
    </w:p>
    <w:p w14:paraId="3DC96DE9" w14:textId="5C9D012C"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Bonazzi M, Lecuit M, Cossart P (2009) </w:t>
      </w:r>
      <w:r w:rsidRPr="004C72EC">
        <w:rPr>
          <w:rFonts w:cs="Arial"/>
          <w:i/>
          <w:noProof/>
          <w:color w:val="000000"/>
          <w:sz w:val="20"/>
          <w:szCs w:val="20"/>
        </w:rPr>
        <w:t>Listeria monocytogenes</w:t>
      </w:r>
      <w:r w:rsidRPr="004C72EC">
        <w:rPr>
          <w:rFonts w:cs="Arial"/>
          <w:noProof/>
          <w:color w:val="000000"/>
          <w:sz w:val="20"/>
          <w:szCs w:val="20"/>
        </w:rPr>
        <w:t xml:space="preserve"> </w:t>
      </w:r>
      <w:r w:rsidR="00DB681B">
        <w:rPr>
          <w:rFonts w:cs="Arial"/>
          <w:noProof/>
          <w:color w:val="000000"/>
          <w:sz w:val="20"/>
          <w:szCs w:val="20"/>
        </w:rPr>
        <w:t>internalin and E-cadherin: From </w:t>
      </w:r>
      <w:r w:rsidRPr="004C72EC">
        <w:rPr>
          <w:rFonts w:cs="Arial"/>
          <w:noProof/>
          <w:color w:val="000000"/>
          <w:sz w:val="20"/>
          <w:szCs w:val="20"/>
        </w:rPr>
        <w:t>structure to pathogenesis. Cellular Microbiology 11(5):693–702</w:t>
      </w:r>
    </w:p>
    <w:p w14:paraId="738A50D1"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Busani L, Cigliano A, Taioli E, Caligiuri V, Chiavacci L, Di Bella C, Battisti A, Duranti A, Gianfranceschi M, Nardella MC, Ricci A, Rolesu S, Tamba M, Marabelli R, Caprioli A (2005) Prevalence of </w:t>
      </w:r>
      <w:r w:rsidRPr="004C72EC">
        <w:rPr>
          <w:rFonts w:cs="Arial"/>
          <w:i/>
          <w:noProof/>
          <w:color w:val="000000"/>
          <w:sz w:val="20"/>
          <w:szCs w:val="20"/>
        </w:rPr>
        <w:t xml:space="preserve">Salmonella enterica </w:t>
      </w:r>
      <w:r w:rsidRPr="004C72EC">
        <w:rPr>
          <w:rFonts w:cs="Arial"/>
          <w:noProof/>
          <w:color w:val="000000"/>
          <w:sz w:val="20"/>
          <w:szCs w:val="20"/>
        </w:rPr>
        <w:t xml:space="preserve">and </w:t>
      </w:r>
      <w:r w:rsidRPr="004C72EC">
        <w:rPr>
          <w:rFonts w:cs="Arial"/>
          <w:i/>
          <w:noProof/>
          <w:color w:val="000000"/>
          <w:sz w:val="20"/>
          <w:szCs w:val="20"/>
        </w:rPr>
        <w:t xml:space="preserve">Listeria monocytogenes </w:t>
      </w:r>
      <w:r w:rsidRPr="004C72EC">
        <w:rPr>
          <w:rFonts w:cs="Arial"/>
          <w:noProof/>
          <w:color w:val="000000"/>
          <w:sz w:val="20"/>
          <w:szCs w:val="20"/>
        </w:rPr>
        <w:t>contamination in foods of animal origin in Italy. Journal of Food Protection 68(8):1729–1733</w:t>
      </w:r>
    </w:p>
    <w:p w14:paraId="1C4B6594"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Cabedo L, Barrot LPI, Canelles ATI (2008) Prevalence of </w:t>
      </w:r>
      <w:r w:rsidRPr="004C72EC">
        <w:rPr>
          <w:rFonts w:cs="Arial"/>
          <w:i/>
          <w:noProof/>
          <w:color w:val="000000"/>
          <w:sz w:val="20"/>
          <w:szCs w:val="20"/>
        </w:rPr>
        <w:t>Listeria monocytogenes</w:t>
      </w:r>
      <w:r w:rsidRPr="004C72EC">
        <w:rPr>
          <w:rFonts w:cs="Arial"/>
          <w:noProof/>
          <w:color w:val="000000"/>
          <w:sz w:val="20"/>
          <w:szCs w:val="20"/>
        </w:rPr>
        <w:t xml:space="preserve"> and </w:t>
      </w:r>
      <w:r w:rsidRPr="004C72EC">
        <w:rPr>
          <w:rFonts w:cs="Arial"/>
          <w:i/>
          <w:noProof/>
          <w:color w:val="000000"/>
          <w:sz w:val="20"/>
          <w:szCs w:val="20"/>
        </w:rPr>
        <w:t>Salmonella</w:t>
      </w:r>
      <w:r w:rsidRPr="004C72EC">
        <w:rPr>
          <w:rFonts w:cs="Arial"/>
          <w:noProof/>
          <w:color w:val="000000"/>
          <w:sz w:val="20"/>
          <w:szCs w:val="20"/>
        </w:rPr>
        <w:t xml:space="preserve"> in ready-to-eat food in Catalonia, Spain. Journal of Food Protection 71(4):855–859</w:t>
      </w:r>
    </w:p>
    <w:p w14:paraId="138497CA" w14:textId="77777777" w:rsidR="00285EF0" w:rsidRPr="006A4234" w:rsidRDefault="00285EF0" w:rsidP="00285EF0">
      <w:pPr>
        <w:tabs>
          <w:tab w:val="left" w:pos="0"/>
        </w:tabs>
        <w:spacing w:after="120"/>
        <w:rPr>
          <w:rFonts w:cs="Arial"/>
          <w:noProof/>
          <w:color w:val="000000"/>
          <w:sz w:val="20"/>
          <w:szCs w:val="20"/>
        </w:rPr>
      </w:pPr>
      <w:r w:rsidRPr="004C72EC">
        <w:rPr>
          <w:rFonts w:cs="Arial"/>
          <w:noProof/>
          <w:color w:val="000000"/>
          <w:sz w:val="20"/>
          <w:szCs w:val="20"/>
        </w:rPr>
        <w:t>CDC (2011) Multistate outbreak of listeriosis linked to whole cantaloup</w:t>
      </w:r>
      <w:r>
        <w:rPr>
          <w:rFonts w:cs="Arial"/>
          <w:noProof/>
          <w:color w:val="000000"/>
          <w:sz w:val="20"/>
          <w:szCs w:val="20"/>
        </w:rPr>
        <w:t xml:space="preserve">es from Jensen Farms, Colorado. </w:t>
      </w:r>
      <w:hyperlink r:id="rId560" w:history="1">
        <w:r w:rsidRPr="004C72EC">
          <w:rPr>
            <w:rStyle w:val="Hyperlink"/>
            <w:rFonts w:cs="Arial"/>
            <w:noProof/>
            <w:color w:val="0000FF"/>
            <w:sz w:val="20"/>
            <w:szCs w:val="20"/>
          </w:rPr>
          <w:t>http://www.cdc.gov/listeria/outbreaks/cantaloupes-jensen-farms/120811/index.html</w:t>
        </w:r>
      </w:hyperlink>
      <w:r w:rsidRPr="004C72EC">
        <w:rPr>
          <w:rFonts w:cs="Arial"/>
          <w:noProof/>
          <w:color w:val="000000"/>
          <w:sz w:val="20"/>
          <w:szCs w:val="20"/>
        </w:rPr>
        <w:t>. Accessed 17 February 2012</w:t>
      </w:r>
    </w:p>
    <w:p w14:paraId="60BFDCA0"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CDC (2012) Summary of notifiable diseases - United States, 2010. Morbidity and Mortality Weekly Report 59(53):1–111</w:t>
      </w:r>
    </w:p>
    <w:p w14:paraId="3B7FC177" w14:textId="779926A4"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Chen Y, Ross WH, Gray MJ, Wiedmann M, Whiting RC, Scott VN (2006) Attributing risk to </w:t>
      </w:r>
      <w:r w:rsidR="00DB681B">
        <w:rPr>
          <w:rFonts w:cs="Arial"/>
          <w:i/>
          <w:noProof/>
          <w:color w:val="000000"/>
          <w:sz w:val="20"/>
          <w:szCs w:val="20"/>
        </w:rPr>
        <w:t>Listeria </w:t>
      </w:r>
      <w:r w:rsidRPr="004C72EC">
        <w:rPr>
          <w:rFonts w:cs="Arial"/>
          <w:i/>
          <w:noProof/>
          <w:color w:val="000000"/>
          <w:sz w:val="20"/>
          <w:szCs w:val="20"/>
        </w:rPr>
        <w:t>monocytogenes</w:t>
      </w:r>
      <w:r w:rsidRPr="004C72EC">
        <w:rPr>
          <w:rFonts w:cs="Arial"/>
          <w:noProof/>
          <w:color w:val="000000"/>
          <w:sz w:val="20"/>
          <w:szCs w:val="20"/>
        </w:rPr>
        <w:t xml:space="preserve"> subgroups: Dose response in relation to genetic lineages. Journal of Food Protection 69(2):335–344</w:t>
      </w:r>
    </w:p>
    <w:p w14:paraId="2F2DB5D1"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Doyle ME, Mazzotta AS, Wang T, Wiseman DW, Scott VN (2001) Heat resistance of </w:t>
      </w:r>
      <w:r w:rsidRPr="004C72EC">
        <w:rPr>
          <w:rFonts w:cs="Arial"/>
          <w:i/>
          <w:noProof/>
          <w:color w:val="000000"/>
          <w:sz w:val="20"/>
          <w:szCs w:val="20"/>
        </w:rPr>
        <w:t xml:space="preserve">Listeria monocytogenes. </w:t>
      </w:r>
      <w:r w:rsidRPr="004C72EC">
        <w:rPr>
          <w:rFonts w:cs="Arial"/>
          <w:noProof/>
          <w:color w:val="000000"/>
          <w:sz w:val="20"/>
          <w:szCs w:val="20"/>
        </w:rPr>
        <w:t>Journal of Food Protection 64(3):410-29</w:t>
      </w:r>
    </w:p>
    <w:p w14:paraId="07A4E6A0"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EFSA (2013) The European Union summary report on trends and sources of zoonoses, zoonotic agents and foodborne outbreaks in 2011. EFSA Journal 11(4):3129</w:t>
      </w:r>
    </w:p>
    <w:p w14:paraId="5C30377A" w14:textId="3E225413"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Farber JM, Coates F, Daley E (1992) Minimum water activity requirements for the growth of </w:t>
      </w:r>
      <w:r w:rsidR="00DB681B">
        <w:rPr>
          <w:rFonts w:cs="Arial"/>
          <w:i/>
          <w:noProof/>
          <w:color w:val="000000"/>
          <w:sz w:val="20"/>
          <w:szCs w:val="20"/>
        </w:rPr>
        <w:t>Listeria </w:t>
      </w:r>
      <w:r w:rsidRPr="004C72EC">
        <w:rPr>
          <w:rFonts w:cs="Arial"/>
          <w:i/>
          <w:noProof/>
          <w:color w:val="000000"/>
          <w:sz w:val="20"/>
          <w:szCs w:val="20"/>
        </w:rPr>
        <w:t>monocytogenes</w:t>
      </w:r>
      <w:r w:rsidRPr="004C72EC">
        <w:rPr>
          <w:rFonts w:cs="Arial"/>
          <w:noProof/>
          <w:color w:val="000000"/>
          <w:sz w:val="20"/>
          <w:szCs w:val="20"/>
        </w:rPr>
        <w:t>. Letters in Applied Microbiology 15:103–105</w:t>
      </w:r>
    </w:p>
    <w:p w14:paraId="40CD3BBB" w14:textId="25EF488E" w:rsidR="00285EF0" w:rsidRPr="006A4234" w:rsidRDefault="00285EF0" w:rsidP="00285EF0">
      <w:pPr>
        <w:tabs>
          <w:tab w:val="left" w:pos="0"/>
        </w:tabs>
        <w:spacing w:after="120"/>
        <w:rPr>
          <w:rFonts w:cs="Arial"/>
          <w:noProof/>
          <w:color w:val="000000"/>
          <w:sz w:val="20"/>
          <w:szCs w:val="20"/>
        </w:rPr>
      </w:pPr>
      <w:r w:rsidRPr="004C72EC">
        <w:rPr>
          <w:rFonts w:cs="Arial"/>
          <w:noProof/>
          <w:color w:val="000000"/>
          <w:sz w:val="20"/>
          <w:szCs w:val="20"/>
        </w:rPr>
        <w:t>FDA (2012) Bad bug book: Foodborne pathogenic microorganisms a</w:t>
      </w:r>
      <w:r w:rsidR="00DB681B">
        <w:rPr>
          <w:rFonts w:cs="Arial"/>
          <w:noProof/>
          <w:color w:val="000000"/>
          <w:sz w:val="20"/>
          <w:szCs w:val="20"/>
        </w:rPr>
        <w:t>nd natural toxins handbook, 2</w:t>
      </w:r>
      <w:r w:rsidR="00DB681B" w:rsidRPr="00DB681B">
        <w:rPr>
          <w:rFonts w:cs="Arial"/>
          <w:noProof/>
          <w:color w:val="000000"/>
          <w:sz w:val="20"/>
          <w:szCs w:val="20"/>
          <w:vertAlign w:val="superscript"/>
        </w:rPr>
        <w:t>nd</w:t>
      </w:r>
      <w:r w:rsidR="00DB681B">
        <w:rPr>
          <w:rFonts w:cs="Arial"/>
          <w:noProof/>
          <w:color w:val="000000"/>
          <w:sz w:val="20"/>
          <w:szCs w:val="20"/>
        </w:rPr>
        <w:t> </w:t>
      </w:r>
      <w:r w:rsidRPr="004C72EC">
        <w:rPr>
          <w:rFonts w:cs="Arial"/>
          <w:noProof/>
          <w:color w:val="000000"/>
          <w:sz w:val="20"/>
          <w:szCs w:val="20"/>
        </w:rPr>
        <w:t>ed. US Food and Drug Administra</w:t>
      </w:r>
      <w:r>
        <w:rPr>
          <w:rFonts w:cs="Arial"/>
          <w:noProof/>
          <w:color w:val="000000"/>
          <w:sz w:val="20"/>
          <w:szCs w:val="20"/>
        </w:rPr>
        <w:t xml:space="preserve">tion, Silver Spring, p.100–104. </w:t>
      </w:r>
      <w:hyperlink r:id="rId561" w:history="1">
        <w:r w:rsidRPr="004C72EC">
          <w:rPr>
            <w:rStyle w:val="Hyperlink"/>
            <w:rFonts w:cs="Arial"/>
            <w:noProof/>
            <w:color w:val="0000FF"/>
            <w:sz w:val="20"/>
            <w:szCs w:val="20"/>
          </w:rPr>
          <w:t>http://www.fda.gov/Food/FoodborneIllnessContaminants/CausesOfIllnessBadBugBook/ucm2006773.htm</w:t>
        </w:r>
      </w:hyperlink>
      <w:r w:rsidRPr="004C72EC">
        <w:rPr>
          <w:rFonts w:cs="Arial"/>
          <w:noProof/>
          <w:color w:val="000000"/>
          <w:sz w:val="20"/>
          <w:szCs w:val="20"/>
        </w:rPr>
        <w:t>. Accessed 27 March 2013</w:t>
      </w:r>
    </w:p>
    <w:p w14:paraId="1C794ACE"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FDA/USDA/CDC (2003) Quantitative assessment of relative risk to public health from foodborne </w:t>
      </w:r>
      <w:r w:rsidRPr="004C72EC">
        <w:rPr>
          <w:rFonts w:cs="Arial"/>
          <w:i/>
          <w:noProof/>
          <w:color w:val="000000"/>
          <w:sz w:val="20"/>
          <w:szCs w:val="20"/>
        </w:rPr>
        <w:t xml:space="preserve">Listeria monocytogenes </w:t>
      </w:r>
      <w:r w:rsidRPr="004C72EC">
        <w:rPr>
          <w:rFonts w:cs="Arial"/>
          <w:noProof/>
          <w:color w:val="000000"/>
          <w:sz w:val="20"/>
          <w:szCs w:val="20"/>
        </w:rPr>
        <w:t xml:space="preserve">among selected categories of ready-to-eat foods. </w:t>
      </w:r>
      <w:r w:rsidRPr="004C72EC">
        <w:rPr>
          <w:rFonts w:cs="Arial"/>
          <w:noProof/>
          <w:color w:val="000000"/>
          <w:sz w:val="20"/>
          <w:szCs w:val="20"/>
        </w:rPr>
        <w:br/>
        <w:t>US Food and Drug Administration, Silver Spring</w:t>
      </w:r>
    </w:p>
    <w:p w14:paraId="74377A74" w14:textId="46A8A0D6" w:rsidR="00285EF0" w:rsidRPr="006A4234" w:rsidRDefault="00285EF0" w:rsidP="00285EF0">
      <w:pPr>
        <w:tabs>
          <w:tab w:val="left" w:pos="0"/>
        </w:tabs>
        <w:spacing w:after="120"/>
        <w:rPr>
          <w:rFonts w:cs="Arial"/>
          <w:noProof/>
          <w:color w:val="000000"/>
          <w:sz w:val="20"/>
          <w:szCs w:val="20"/>
        </w:rPr>
      </w:pPr>
      <w:r w:rsidRPr="004C72EC">
        <w:rPr>
          <w:rFonts w:cs="Arial"/>
          <w:noProof/>
          <w:color w:val="000000"/>
          <w:sz w:val="20"/>
          <w:szCs w:val="20"/>
        </w:rPr>
        <w:t>FSANZ (2009) Microbiological risk assessment of raw cow milk. Food Standards A</w:t>
      </w:r>
      <w:r w:rsidR="00DB681B">
        <w:rPr>
          <w:rFonts w:cs="Arial"/>
          <w:noProof/>
          <w:color w:val="000000"/>
          <w:sz w:val="20"/>
          <w:szCs w:val="20"/>
        </w:rPr>
        <w:t>ustralia New </w:t>
      </w:r>
      <w:r>
        <w:rPr>
          <w:rFonts w:cs="Arial"/>
          <w:noProof/>
          <w:color w:val="000000"/>
          <w:sz w:val="20"/>
          <w:szCs w:val="20"/>
        </w:rPr>
        <w:t xml:space="preserve">Zealand, Canberra. </w:t>
      </w:r>
      <w:hyperlink r:id="rId562" w:history="1">
        <w:r w:rsidRPr="004C72EC">
          <w:rPr>
            <w:rStyle w:val="Hyperlink"/>
            <w:rFonts w:cs="Arial"/>
            <w:noProof/>
            <w:color w:val="0000FF"/>
            <w:sz w:val="20"/>
            <w:szCs w:val="20"/>
          </w:rPr>
          <w:t>http://www.foodstandards.gov.au/code/proposals/documents/P1007%20PPPS%20for%20raw%20milk%201AR%20SD1%20Cow%20milk%20Risk%20Assessment.pdf</w:t>
        </w:r>
      </w:hyperlink>
      <w:r w:rsidR="00DB681B">
        <w:rPr>
          <w:rFonts w:cs="Arial"/>
          <w:noProof/>
          <w:color w:val="000000"/>
          <w:sz w:val="20"/>
          <w:szCs w:val="20"/>
        </w:rPr>
        <w:t xml:space="preserve">. Accessed </w:t>
      </w:r>
      <w:r w:rsidRPr="004C72EC">
        <w:rPr>
          <w:rFonts w:cs="Arial"/>
          <w:noProof/>
          <w:color w:val="000000"/>
          <w:sz w:val="20"/>
          <w:szCs w:val="20"/>
        </w:rPr>
        <w:t>21 June 2010</w:t>
      </w:r>
    </w:p>
    <w:p w14:paraId="0F61A822"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Guillet C, Join-Lambert O, Le MA, Leclercq A, Mechai F, Mamzer-Bruneel MF, Bielecka MK, Scortti M, Disson O, Berche P, Vazquez-Boland J, Lortholary O, Lecuit M (2010) Human listeriosis caused by </w:t>
      </w:r>
      <w:r w:rsidRPr="004C72EC">
        <w:rPr>
          <w:rFonts w:cs="Arial"/>
          <w:i/>
          <w:noProof/>
          <w:color w:val="000000"/>
          <w:sz w:val="20"/>
          <w:szCs w:val="20"/>
        </w:rPr>
        <w:t>Listeria ivanovii</w:t>
      </w:r>
      <w:r w:rsidRPr="004C72EC">
        <w:rPr>
          <w:rFonts w:cs="Arial"/>
          <w:noProof/>
          <w:color w:val="000000"/>
          <w:sz w:val="20"/>
          <w:szCs w:val="20"/>
        </w:rPr>
        <w:t>. Emerging Infectious Diseases 16(1):136–138</w:t>
      </w:r>
    </w:p>
    <w:p w14:paraId="307BDAB9"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Johnson JL, Doyle MP, Cassens RG, Schoeni JL (1988) Fate of </w:t>
      </w:r>
      <w:r w:rsidRPr="004C72EC">
        <w:rPr>
          <w:rFonts w:cs="Arial"/>
          <w:i/>
          <w:noProof/>
          <w:color w:val="000000"/>
          <w:sz w:val="20"/>
          <w:szCs w:val="20"/>
        </w:rPr>
        <w:t>Listeria monocytogenes</w:t>
      </w:r>
      <w:r w:rsidRPr="004C72EC">
        <w:rPr>
          <w:rFonts w:cs="Arial"/>
          <w:noProof/>
          <w:color w:val="000000"/>
          <w:sz w:val="20"/>
          <w:szCs w:val="20"/>
        </w:rPr>
        <w:t xml:space="preserve"> in tissue of experimentally infected cattle and in hard salami. Applied and Environmental Microbiology 54(2):497–501</w:t>
      </w:r>
    </w:p>
    <w:p w14:paraId="1A82B1CB"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Kuhn M, Goebel W (2007) Molecular virulence determinants of </w:t>
      </w:r>
      <w:r w:rsidRPr="004C72EC">
        <w:rPr>
          <w:rFonts w:cs="Arial"/>
          <w:i/>
          <w:noProof/>
          <w:color w:val="000000"/>
          <w:sz w:val="20"/>
          <w:szCs w:val="20"/>
        </w:rPr>
        <w:t>Listeria monocytogenes</w:t>
      </w:r>
      <w:r w:rsidRPr="004C72EC">
        <w:rPr>
          <w:rFonts w:cs="Arial"/>
          <w:noProof/>
          <w:color w:val="000000"/>
          <w:sz w:val="20"/>
          <w:szCs w:val="20"/>
        </w:rPr>
        <w:t xml:space="preserve">. </w:t>
      </w:r>
      <w:r w:rsidRPr="004C72EC">
        <w:rPr>
          <w:rFonts w:cs="Arial"/>
          <w:noProof/>
          <w:color w:val="000000"/>
          <w:sz w:val="20"/>
          <w:szCs w:val="20"/>
        </w:rPr>
        <w:br/>
        <w:t xml:space="preserve">Ch 5 In: Ryser ET, Marth EH (eds) </w:t>
      </w:r>
      <w:r w:rsidRPr="004C72EC">
        <w:rPr>
          <w:rFonts w:cs="Arial"/>
          <w:i/>
          <w:noProof/>
          <w:color w:val="000000"/>
          <w:sz w:val="20"/>
          <w:szCs w:val="20"/>
        </w:rPr>
        <w:t>Listeria</w:t>
      </w:r>
      <w:r w:rsidRPr="004C72EC">
        <w:rPr>
          <w:rFonts w:cs="Arial"/>
          <w:noProof/>
          <w:color w:val="000000"/>
          <w:sz w:val="20"/>
          <w:szCs w:val="20"/>
        </w:rPr>
        <w:t>, listeriosis and food safety. 3rd ed, CRC Press Taylor &amp; Francis Group, Boca Raton, p. 111–155</w:t>
      </w:r>
    </w:p>
    <w:p w14:paraId="3D3ED165"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Lado B, Yousef AE (2007) Characteristics of </w:t>
      </w:r>
      <w:r w:rsidRPr="004C72EC">
        <w:rPr>
          <w:rFonts w:cs="Arial"/>
          <w:i/>
          <w:noProof/>
          <w:color w:val="000000"/>
          <w:sz w:val="20"/>
          <w:szCs w:val="20"/>
        </w:rPr>
        <w:t>Listeria monocytogenes</w:t>
      </w:r>
      <w:r w:rsidRPr="004C72EC">
        <w:rPr>
          <w:rFonts w:cs="Arial"/>
          <w:noProof/>
          <w:color w:val="000000"/>
          <w:sz w:val="20"/>
          <w:szCs w:val="20"/>
        </w:rPr>
        <w:t xml:space="preserve"> important to food processors. Ch 6 In: Ryser ET, Marth EH (eds) </w:t>
      </w:r>
      <w:r w:rsidRPr="004C72EC">
        <w:rPr>
          <w:rFonts w:cs="Arial"/>
          <w:i/>
          <w:noProof/>
          <w:color w:val="000000"/>
          <w:sz w:val="20"/>
          <w:szCs w:val="20"/>
        </w:rPr>
        <w:t>Listeria</w:t>
      </w:r>
      <w:r w:rsidRPr="004C72EC">
        <w:rPr>
          <w:rFonts w:cs="Arial"/>
          <w:noProof/>
          <w:color w:val="000000"/>
          <w:sz w:val="20"/>
          <w:szCs w:val="20"/>
        </w:rPr>
        <w:t>, listeriosis and food safety. 3rd ed, CRC Press Taylor &amp; Francis Group, Boca Raton, p. 157–213</w:t>
      </w:r>
    </w:p>
    <w:p w14:paraId="2DF3F0BA"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Lianou A, Sofos JN (2007) A review of the incidence and transmission of </w:t>
      </w:r>
      <w:r w:rsidRPr="004C72EC">
        <w:rPr>
          <w:rFonts w:cs="Arial"/>
          <w:noProof/>
          <w:color w:val="000000"/>
          <w:sz w:val="20"/>
          <w:szCs w:val="20"/>
        </w:rPr>
        <w:br/>
      </w:r>
      <w:r w:rsidRPr="004C72EC">
        <w:rPr>
          <w:rFonts w:cs="Arial"/>
          <w:i/>
          <w:noProof/>
          <w:color w:val="000000"/>
          <w:sz w:val="20"/>
          <w:szCs w:val="20"/>
        </w:rPr>
        <w:t xml:space="preserve">Listeria monocytogenes </w:t>
      </w:r>
      <w:r w:rsidRPr="004C72EC">
        <w:rPr>
          <w:rFonts w:cs="Arial"/>
          <w:noProof/>
          <w:color w:val="000000"/>
          <w:sz w:val="20"/>
          <w:szCs w:val="20"/>
        </w:rPr>
        <w:t>in ready-to-eat products in retail and food service environments. Journal of Food Protection 70(9):2172–2198</w:t>
      </w:r>
    </w:p>
    <w:p w14:paraId="0266CBAB" w14:textId="77777777" w:rsidR="00285EF0" w:rsidRPr="006A4234" w:rsidRDefault="00285EF0" w:rsidP="00285EF0">
      <w:pPr>
        <w:tabs>
          <w:tab w:val="left" w:pos="0"/>
        </w:tabs>
        <w:spacing w:after="120"/>
        <w:rPr>
          <w:rFonts w:cs="Arial"/>
          <w:noProof/>
          <w:color w:val="000000"/>
          <w:sz w:val="20"/>
          <w:szCs w:val="20"/>
        </w:rPr>
      </w:pPr>
      <w:r w:rsidRPr="004C72EC">
        <w:rPr>
          <w:rFonts w:cs="Arial"/>
          <w:noProof/>
          <w:color w:val="000000"/>
          <w:sz w:val="20"/>
          <w:szCs w:val="20"/>
        </w:rPr>
        <w:t>Lim E, Lopez L, Borman A, Cressey P, Pirie R (2012) Annual report concerning foodborne disease in New Zealand 2011. Ministry for</w:t>
      </w:r>
      <w:r>
        <w:rPr>
          <w:rFonts w:cs="Arial"/>
          <w:noProof/>
          <w:color w:val="000000"/>
          <w:sz w:val="20"/>
          <w:szCs w:val="20"/>
        </w:rPr>
        <w:t xml:space="preserve"> Primary Industry, New Zealand. </w:t>
      </w:r>
      <w:hyperlink r:id="rId563" w:history="1">
        <w:r w:rsidRPr="004C72EC">
          <w:rPr>
            <w:rStyle w:val="Hyperlink"/>
            <w:rFonts w:cs="Arial"/>
            <w:noProof/>
            <w:color w:val="0000FF"/>
            <w:sz w:val="20"/>
            <w:szCs w:val="20"/>
          </w:rPr>
          <w:t>http://www.foodsafety.govt.nz/science-risk/human-health-surveillance/foodborne-disease-annual-reports.htm</w:t>
        </w:r>
      </w:hyperlink>
      <w:r w:rsidRPr="004C72EC">
        <w:rPr>
          <w:rFonts w:cs="Arial"/>
          <w:noProof/>
          <w:color w:val="000000"/>
          <w:sz w:val="20"/>
          <w:szCs w:val="20"/>
        </w:rPr>
        <w:t>. Accessed 11 April 2013</w:t>
      </w:r>
    </w:p>
    <w:p w14:paraId="3CA00629" w14:textId="755D2F26"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Little CL, Sagoo SK, Gillespie IA, Grant K, McLauchlin J (2009) Prevalance and level of </w:t>
      </w:r>
      <w:r w:rsidR="00DB681B">
        <w:rPr>
          <w:rFonts w:cs="Arial"/>
          <w:i/>
          <w:noProof/>
          <w:color w:val="000000"/>
          <w:sz w:val="20"/>
          <w:szCs w:val="20"/>
        </w:rPr>
        <w:t>Listeria </w:t>
      </w:r>
      <w:r w:rsidRPr="004C72EC">
        <w:rPr>
          <w:rFonts w:cs="Arial"/>
          <w:i/>
          <w:noProof/>
          <w:color w:val="000000"/>
          <w:sz w:val="20"/>
          <w:szCs w:val="20"/>
        </w:rPr>
        <w:t xml:space="preserve">monocytogenes </w:t>
      </w:r>
      <w:r w:rsidRPr="004C72EC">
        <w:rPr>
          <w:rFonts w:cs="Arial"/>
          <w:noProof/>
          <w:color w:val="000000"/>
          <w:sz w:val="20"/>
          <w:szCs w:val="20"/>
        </w:rPr>
        <w:t xml:space="preserve">and other </w:t>
      </w:r>
      <w:r w:rsidRPr="004C72EC">
        <w:rPr>
          <w:rFonts w:cs="Arial"/>
          <w:i/>
          <w:noProof/>
          <w:color w:val="000000"/>
          <w:sz w:val="20"/>
          <w:szCs w:val="20"/>
        </w:rPr>
        <w:t xml:space="preserve">Listeria </w:t>
      </w:r>
      <w:r w:rsidRPr="004C72EC">
        <w:rPr>
          <w:rFonts w:cs="Arial"/>
          <w:noProof/>
          <w:color w:val="000000"/>
          <w:sz w:val="20"/>
          <w:szCs w:val="20"/>
        </w:rPr>
        <w:t>species in selected retail r</w:t>
      </w:r>
      <w:r w:rsidR="00DB681B">
        <w:rPr>
          <w:rFonts w:cs="Arial"/>
          <w:noProof/>
          <w:color w:val="000000"/>
          <w:sz w:val="20"/>
          <w:szCs w:val="20"/>
        </w:rPr>
        <w:t>eady-to-eat foods in the United </w:t>
      </w:r>
      <w:r w:rsidRPr="004C72EC">
        <w:rPr>
          <w:rFonts w:cs="Arial"/>
          <w:noProof/>
          <w:color w:val="000000"/>
          <w:sz w:val="20"/>
          <w:szCs w:val="20"/>
        </w:rPr>
        <w:t>Kingdom. Journal of Food Protection 72(9):1869–1877</w:t>
      </w:r>
    </w:p>
    <w:p w14:paraId="62191EB9" w14:textId="2BB7DC85"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Meldrum RJ, Ellis PW, Mannion PT, Halstead D, Garside J (2010) Prevalence of </w:t>
      </w:r>
      <w:r w:rsidRPr="004C72EC">
        <w:rPr>
          <w:rFonts w:cs="Arial"/>
          <w:noProof/>
          <w:color w:val="000000"/>
          <w:sz w:val="20"/>
          <w:szCs w:val="20"/>
        </w:rPr>
        <w:br/>
      </w:r>
      <w:r w:rsidRPr="004C72EC">
        <w:rPr>
          <w:rFonts w:cs="Arial"/>
          <w:i/>
          <w:noProof/>
          <w:color w:val="000000"/>
          <w:sz w:val="20"/>
          <w:szCs w:val="20"/>
        </w:rPr>
        <w:t xml:space="preserve">Listeria monocytogenes </w:t>
      </w:r>
      <w:r w:rsidRPr="004C72EC">
        <w:rPr>
          <w:rFonts w:cs="Arial"/>
          <w:noProof/>
          <w:color w:val="000000"/>
          <w:sz w:val="20"/>
          <w:szCs w:val="20"/>
        </w:rPr>
        <w:t>in ready-to-eat foods sampled from the point of sale in Wale</w:t>
      </w:r>
      <w:r w:rsidR="00DB681B">
        <w:rPr>
          <w:rFonts w:cs="Arial"/>
          <w:noProof/>
          <w:color w:val="000000"/>
          <w:sz w:val="20"/>
          <w:szCs w:val="20"/>
        </w:rPr>
        <w:t>s, United </w:t>
      </w:r>
      <w:r w:rsidRPr="004C72EC">
        <w:rPr>
          <w:rFonts w:cs="Arial"/>
          <w:noProof/>
          <w:color w:val="000000"/>
          <w:sz w:val="20"/>
          <w:szCs w:val="20"/>
        </w:rPr>
        <w:t>Kingdom. Journal of Food Protection 73(8):1515–1518</w:t>
      </w:r>
    </w:p>
    <w:p w14:paraId="78BC8927" w14:textId="7A8D4F2E"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Montville TJ, Matthews KR (2005) Food </w:t>
      </w:r>
      <w:r w:rsidR="006B32C8">
        <w:rPr>
          <w:rFonts w:cs="Arial"/>
          <w:noProof/>
          <w:color w:val="000000"/>
          <w:sz w:val="20"/>
          <w:szCs w:val="20"/>
        </w:rPr>
        <w:t xml:space="preserve">microbiology: An introduction. </w:t>
      </w:r>
      <w:r w:rsidRPr="004C72EC">
        <w:rPr>
          <w:rFonts w:cs="Arial"/>
          <w:noProof/>
          <w:color w:val="000000"/>
          <w:sz w:val="20"/>
          <w:szCs w:val="20"/>
        </w:rPr>
        <w:t>ASM Press, Washington D.C.</w:t>
      </w:r>
    </w:p>
    <w:p w14:paraId="73E69739" w14:textId="77777777" w:rsidR="00285EF0" w:rsidRPr="006A4234" w:rsidRDefault="00285EF0" w:rsidP="00285EF0">
      <w:pPr>
        <w:tabs>
          <w:tab w:val="left" w:pos="0"/>
        </w:tabs>
        <w:spacing w:after="120"/>
        <w:rPr>
          <w:rFonts w:cs="Arial"/>
          <w:noProof/>
          <w:color w:val="000000"/>
          <w:sz w:val="20"/>
          <w:szCs w:val="20"/>
        </w:rPr>
      </w:pPr>
      <w:r w:rsidRPr="004C72EC">
        <w:rPr>
          <w:rFonts w:cs="Arial"/>
          <w:noProof/>
          <w:color w:val="000000"/>
          <w:sz w:val="20"/>
          <w:szCs w:val="20"/>
        </w:rPr>
        <w:t>NNDSS (2013) Notifications for all disease by State &amp; Territory and year. National Notifiable Disease Surveillance System, Department of Health and Ageing, Canberr</w:t>
      </w:r>
      <w:r>
        <w:rPr>
          <w:rFonts w:cs="Arial"/>
          <w:noProof/>
          <w:color w:val="000000"/>
          <w:sz w:val="20"/>
          <w:szCs w:val="20"/>
        </w:rPr>
        <w:t xml:space="preserve">a. </w:t>
      </w:r>
      <w:hyperlink r:id="rId564" w:history="1">
        <w:r w:rsidRPr="004C72EC">
          <w:rPr>
            <w:rStyle w:val="Hyperlink"/>
            <w:rFonts w:cs="Arial"/>
            <w:noProof/>
            <w:color w:val="0000FF"/>
            <w:sz w:val="20"/>
            <w:szCs w:val="20"/>
          </w:rPr>
          <w:t>http://www9.health.gov.au/cda/source/cda-index.cfm</w:t>
        </w:r>
      </w:hyperlink>
      <w:r w:rsidRPr="004C72EC">
        <w:rPr>
          <w:rFonts w:cs="Arial"/>
          <w:noProof/>
          <w:color w:val="000000"/>
          <w:sz w:val="20"/>
          <w:szCs w:val="20"/>
        </w:rPr>
        <w:t>. Accessed 17 April 2013</w:t>
      </w:r>
    </w:p>
    <w:p w14:paraId="704461DC"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OzFoodNet (2010) Monitoring the incidence and causes of diseases potentially transmitted by food in Australia: Annual report of the OzFoodNet Network, 2009. Communicable Diseases Intelligence 34(4):396–426</w:t>
      </w:r>
    </w:p>
    <w:p w14:paraId="0A6B3461"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OzFoodNet (2012) Monitoring the incidence and causes of diseases potentially transmitted by food in Australia: Annual report of the OzFoodNet Network, 2010. Communicable Diseases Intelligence 36(3):E213–E241</w:t>
      </w:r>
    </w:p>
    <w:p w14:paraId="4DC51FAA"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Painter J, Slutsker L (2007) Listeriosis in humans. Ch 4 In: Ryser ET, Marth EH (eds) </w:t>
      </w:r>
      <w:r w:rsidRPr="004C72EC">
        <w:rPr>
          <w:rFonts w:cs="Arial"/>
          <w:i/>
          <w:noProof/>
          <w:color w:val="000000"/>
          <w:sz w:val="20"/>
          <w:szCs w:val="20"/>
        </w:rPr>
        <w:t>Listeria</w:t>
      </w:r>
      <w:r w:rsidRPr="004C72EC">
        <w:rPr>
          <w:rFonts w:cs="Arial"/>
          <w:noProof/>
          <w:color w:val="000000"/>
          <w:sz w:val="20"/>
          <w:szCs w:val="20"/>
        </w:rPr>
        <w:t>, listeriosis and food safety. 3rd ed, CRC Press Taylor &amp; Francis Group, Boca Raton, p. 85–109</w:t>
      </w:r>
    </w:p>
    <w:p w14:paraId="1E5C9FF7"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Rocourt J, Buchrieser C (2007) The genus </w:t>
      </w:r>
      <w:r w:rsidRPr="004C72EC">
        <w:rPr>
          <w:rFonts w:cs="Arial"/>
          <w:i/>
          <w:noProof/>
          <w:color w:val="000000"/>
          <w:sz w:val="20"/>
          <w:szCs w:val="20"/>
        </w:rPr>
        <w:t>Listeria</w:t>
      </w:r>
      <w:r w:rsidRPr="004C72EC">
        <w:rPr>
          <w:rFonts w:cs="Arial"/>
          <w:noProof/>
          <w:color w:val="000000"/>
          <w:sz w:val="20"/>
          <w:szCs w:val="20"/>
        </w:rPr>
        <w:t xml:space="preserve"> and </w:t>
      </w:r>
      <w:r w:rsidRPr="004C72EC">
        <w:rPr>
          <w:rFonts w:cs="Arial"/>
          <w:i/>
          <w:noProof/>
          <w:color w:val="000000"/>
          <w:sz w:val="20"/>
          <w:szCs w:val="20"/>
        </w:rPr>
        <w:t>Listeria monocytogenes</w:t>
      </w:r>
      <w:r w:rsidRPr="004C72EC">
        <w:rPr>
          <w:rFonts w:cs="Arial"/>
          <w:noProof/>
          <w:color w:val="000000"/>
          <w:sz w:val="20"/>
          <w:szCs w:val="20"/>
        </w:rPr>
        <w:t xml:space="preserve">: Phylogenetic position, taxonomy, and identification. Ch 1 In: Ryser ET, Marth EH (eds) </w:t>
      </w:r>
      <w:r w:rsidRPr="004C72EC">
        <w:rPr>
          <w:rFonts w:cs="Arial"/>
          <w:i/>
          <w:noProof/>
          <w:color w:val="000000"/>
          <w:sz w:val="20"/>
          <w:szCs w:val="20"/>
        </w:rPr>
        <w:t>Listeria</w:t>
      </w:r>
      <w:r w:rsidRPr="004C72EC">
        <w:rPr>
          <w:rFonts w:cs="Arial"/>
          <w:noProof/>
          <w:color w:val="000000"/>
          <w:sz w:val="20"/>
          <w:szCs w:val="20"/>
        </w:rPr>
        <w:t>, listeriosis and food safety. 3rd ed, CRC Press Taylor &amp; Francis Group, Boca Raton, p. 1–20</w:t>
      </w:r>
    </w:p>
    <w:p w14:paraId="62718D16" w14:textId="01B7B8B9"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Severino P, Dussurget O, Vencio RZN, Dumas E, Garrido P, Padilla G</w:t>
      </w:r>
      <w:r w:rsidR="00DB681B">
        <w:rPr>
          <w:rFonts w:cs="Arial"/>
          <w:noProof/>
          <w:color w:val="000000"/>
          <w:sz w:val="20"/>
          <w:szCs w:val="20"/>
        </w:rPr>
        <w:t>, Piveteau P, Lemaitre J, Kunst </w:t>
      </w:r>
      <w:r w:rsidRPr="004C72EC">
        <w:rPr>
          <w:rFonts w:cs="Arial"/>
          <w:noProof/>
          <w:color w:val="000000"/>
          <w:sz w:val="20"/>
          <w:szCs w:val="20"/>
        </w:rPr>
        <w:t xml:space="preserve">F, Glaser P, Buchrieser C (2007) Comparative transcriptome analysis of </w:t>
      </w:r>
      <w:r w:rsidRPr="004C72EC">
        <w:rPr>
          <w:rFonts w:cs="Arial"/>
          <w:noProof/>
          <w:color w:val="000000"/>
          <w:sz w:val="20"/>
          <w:szCs w:val="20"/>
        </w:rPr>
        <w:br/>
      </w:r>
      <w:r w:rsidRPr="004C72EC">
        <w:rPr>
          <w:rFonts w:cs="Arial"/>
          <w:i/>
          <w:noProof/>
          <w:color w:val="000000"/>
          <w:sz w:val="20"/>
          <w:szCs w:val="20"/>
        </w:rPr>
        <w:t xml:space="preserve">Listeria monocytogenes </w:t>
      </w:r>
      <w:r w:rsidRPr="004C72EC">
        <w:rPr>
          <w:rFonts w:cs="Arial"/>
          <w:noProof/>
          <w:color w:val="000000"/>
          <w:sz w:val="20"/>
          <w:szCs w:val="20"/>
        </w:rPr>
        <w:t>strains of the two major lineages reveals differences in virulence, cell wall, and stress response. Applied and Environmental Microbiology 73(19):6078–6088</w:t>
      </w:r>
    </w:p>
    <w:p w14:paraId="393E7456"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Sim J, Hood D, Finnie L, Wilson M, Graham C, Brett M, Hudson JA (2002) Series of incidents of </w:t>
      </w:r>
      <w:r w:rsidRPr="004C72EC">
        <w:rPr>
          <w:rFonts w:cs="Arial"/>
          <w:i/>
          <w:noProof/>
          <w:color w:val="000000"/>
          <w:sz w:val="20"/>
          <w:szCs w:val="20"/>
        </w:rPr>
        <w:t>Listeria monocytogenes</w:t>
      </w:r>
      <w:r w:rsidRPr="004C72EC">
        <w:rPr>
          <w:rFonts w:cs="Arial"/>
          <w:noProof/>
          <w:color w:val="000000"/>
          <w:sz w:val="20"/>
          <w:szCs w:val="20"/>
        </w:rPr>
        <w:t xml:space="preserve"> non-invasive febrile gastroenteritis involving ready-to-eat meats. Letters in Applied Microbiology 35:409–413</w:t>
      </w:r>
    </w:p>
    <w:p w14:paraId="2C01DDF0"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Sutherland PS, Miles DW, Laboyrie DA (2003) </w:t>
      </w:r>
      <w:r w:rsidRPr="004C72EC">
        <w:rPr>
          <w:rFonts w:cs="Arial"/>
          <w:i/>
          <w:noProof/>
          <w:color w:val="000000"/>
          <w:sz w:val="20"/>
          <w:szCs w:val="20"/>
        </w:rPr>
        <w:t>Listeria monocytogenes</w:t>
      </w:r>
      <w:r w:rsidRPr="004C72EC">
        <w:rPr>
          <w:rFonts w:cs="Arial"/>
          <w:noProof/>
          <w:color w:val="000000"/>
          <w:sz w:val="20"/>
          <w:szCs w:val="20"/>
        </w:rPr>
        <w:t xml:space="preserve">. Ch 13 In: </w:t>
      </w:r>
      <w:r w:rsidRPr="004C72EC">
        <w:rPr>
          <w:rFonts w:cs="Arial"/>
          <w:noProof/>
          <w:color w:val="000000"/>
          <w:sz w:val="20"/>
          <w:szCs w:val="20"/>
        </w:rPr>
        <w:br/>
        <w:t>Hocking AD (ed) Foodborne microorganisms of public health significance. 6th ed, Australian Institute of Food Science and Technology (NSW Branch), Sydney, p. 381–443</w:t>
      </w:r>
    </w:p>
    <w:p w14:paraId="5EABF9BB" w14:textId="77777777" w:rsidR="00285EF0" w:rsidRPr="004C72EC" w:rsidRDefault="00285EF0" w:rsidP="00285EF0">
      <w:pPr>
        <w:tabs>
          <w:tab w:val="left" w:pos="0"/>
        </w:tabs>
        <w:spacing w:after="120"/>
        <w:rPr>
          <w:rFonts w:cs="Arial"/>
          <w:noProof/>
          <w:color w:val="000000"/>
          <w:sz w:val="20"/>
          <w:szCs w:val="20"/>
        </w:rPr>
      </w:pPr>
      <w:r w:rsidRPr="004C72EC">
        <w:rPr>
          <w:rFonts w:cs="Arial"/>
          <w:noProof/>
          <w:color w:val="000000"/>
          <w:sz w:val="20"/>
          <w:szCs w:val="20"/>
        </w:rPr>
        <w:t>Swaminathan B, Gerner-Smidt P (2007) The epidemiology of human listeriosis. Microbes and Infection 9:1236–1243</w:t>
      </w:r>
    </w:p>
    <w:p w14:paraId="069867F5" w14:textId="3197A68B" w:rsidR="00285EF0" w:rsidRPr="006A4234" w:rsidRDefault="00285EF0" w:rsidP="00285EF0">
      <w:pPr>
        <w:tabs>
          <w:tab w:val="left" w:pos="0"/>
        </w:tabs>
        <w:spacing w:after="120"/>
        <w:rPr>
          <w:rFonts w:cs="Arial"/>
          <w:noProof/>
          <w:color w:val="000000"/>
          <w:sz w:val="20"/>
          <w:szCs w:val="20"/>
        </w:rPr>
      </w:pPr>
      <w:r w:rsidRPr="004C72EC">
        <w:rPr>
          <w:rFonts w:cs="Arial"/>
          <w:noProof/>
          <w:color w:val="000000"/>
          <w:sz w:val="20"/>
          <w:szCs w:val="20"/>
        </w:rPr>
        <w:t xml:space="preserve">WHO/FAO (2004) Risk assessment of </w:t>
      </w:r>
      <w:r w:rsidRPr="004C72EC">
        <w:rPr>
          <w:rFonts w:cs="Arial"/>
          <w:i/>
          <w:noProof/>
          <w:color w:val="000000"/>
          <w:sz w:val="20"/>
          <w:szCs w:val="20"/>
        </w:rPr>
        <w:t>Listeria monocytogenes</w:t>
      </w:r>
      <w:r w:rsidRPr="004C72EC">
        <w:rPr>
          <w:rFonts w:cs="Arial"/>
          <w:noProof/>
          <w:color w:val="000000"/>
          <w:sz w:val="20"/>
          <w:szCs w:val="20"/>
        </w:rPr>
        <w:t xml:space="preserve"> in r</w:t>
      </w:r>
      <w:r w:rsidR="00DB681B">
        <w:rPr>
          <w:rFonts w:cs="Arial"/>
          <w:noProof/>
          <w:color w:val="000000"/>
          <w:sz w:val="20"/>
          <w:szCs w:val="20"/>
        </w:rPr>
        <w:t>eady-to-eat foods. World Health </w:t>
      </w:r>
      <w:r w:rsidRPr="004C72EC">
        <w:rPr>
          <w:rFonts w:cs="Arial"/>
          <w:noProof/>
          <w:color w:val="000000"/>
          <w:sz w:val="20"/>
          <w:szCs w:val="20"/>
        </w:rPr>
        <w:t>Organization and Food and Agriculture Organization</w:t>
      </w:r>
      <w:r>
        <w:rPr>
          <w:rFonts w:cs="Arial"/>
          <w:noProof/>
          <w:color w:val="000000"/>
          <w:sz w:val="20"/>
          <w:szCs w:val="20"/>
        </w:rPr>
        <w:t xml:space="preserve"> of the United Nations, Geneva. </w:t>
      </w:r>
      <w:hyperlink r:id="rId565" w:history="1">
        <w:r w:rsidRPr="004C72EC">
          <w:rPr>
            <w:rStyle w:val="Hyperlink"/>
            <w:rFonts w:cs="Arial"/>
            <w:noProof/>
            <w:color w:val="0000FF"/>
            <w:sz w:val="20"/>
            <w:szCs w:val="20"/>
          </w:rPr>
          <w:t>http://www.who.int/foodsafety/publications/micro/mra_listeria/en/index.html</w:t>
        </w:r>
      </w:hyperlink>
      <w:r w:rsidR="00DB681B">
        <w:rPr>
          <w:rFonts w:cs="Arial"/>
          <w:noProof/>
          <w:color w:val="000000"/>
          <w:sz w:val="20"/>
          <w:szCs w:val="20"/>
        </w:rPr>
        <w:t>. Accessed 20 January </w:t>
      </w:r>
      <w:r w:rsidRPr="004C72EC">
        <w:rPr>
          <w:rFonts w:cs="Arial"/>
          <w:noProof/>
          <w:color w:val="000000"/>
          <w:sz w:val="20"/>
          <w:szCs w:val="20"/>
        </w:rPr>
        <w:t>2010</w:t>
      </w:r>
    </w:p>
    <w:p w14:paraId="39095CF8" w14:textId="77777777" w:rsidR="00E94ED2" w:rsidRDefault="00E94ED2">
      <w:pPr>
        <w:widowControl/>
        <w:rPr>
          <w:rFonts w:cs="Arial"/>
          <w:noProof/>
          <w:color w:val="000000"/>
          <w:sz w:val="20"/>
          <w:szCs w:val="20"/>
        </w:rPr>
      </w:pPr>
      <w:r>
        <w:rPr>
          <w:rFonts w:cs="Arial"/>
          <w:noProof/>
          <w:color w:val="000000"/>
          <w:sz w:val="20"/>
          <w:szCs w:val="20"/>
        </w:rPr>
        <w:br w:type="page"/>
      </w:r>
    </w:p>
    <w:p w14:paraId="5E292E58" w14:textId="09BD2A38" w:rsidR="00285EF0" w:rsidRDefault="00285EF0" w:rsidP="00DB681B">
      <w:pPr>
        <w:tabs>
          <w:tab w:val="left" w:pos="0"/>
        </w:tabs>
        <w:spacing w:after="120"/>
      </w:pPr>
      <w:r w:rsidRPr="004C72EC">
        <w:rPr>
          <w:rFonts w:cs="Arial"/>
          <w:noProof/>
          <w:color w:val="000000"/>
          <w:sz w:val="20"/>
          <w:szCs w:val="20"/>
        </w:rPr>
        <w:t>Wong TL, Carey-Smith GV, Hollis L, Hudson JA (2005) Microbiological survey of prepackaged pate and ham in New Zealand. Letters in Applied Microbiology 41:106–111</w:t>
      </w:r>
      <w:r>
        <w:br w:type="page"/>
      </w:r>
    </w:p>
    <w:p w14:paraId="6CE3C760" w14:textId="6537D87C" w:rsidR="00285EF0" w:rsidRPr="006A4234" w:rsidRDefault="00354E14" w:rsidP="00285EF0">
      <w:pPr>
        <w:pStyle w:val="Heading2"/>
      </w:pPr>
      <w:bookmarkStart w:id="1154" w:name="_Toc87860119"/>
      <w:r>
        <w:t>Appendix 8</w:t>
      </w:r>
      <w:r w:rsidRPr="00C839B6">
        <w:t xml:space="preserve"> – </w:t>
      </w:r>
      <w:r w:rsidR="00285EF0" w:rsidRPr="007C2474">
        <w:t>Norovirus</w:t>
      </w:r>
      <w:r w:rsidR="00285EF0">
        <w:rPr>
          <w:rStyle w:val="FootnoteReference"/>
        </w:rPr>
        <w:footnoteReference w:id="31"/>
      </w:r>
      <w:bookmarkEnd w:id="1154"/>
    </w:p>
    <w:p w14:paraId="79648CCE" w14:textId="77777777" w:rsidR="00285EF0" w:rsidRPr="002F3191" w:rsidRDefault="00285EF0" w:rsidP="00787E56">
      <w:pPr>
        <w:pStyle w:val="Heading3"/>
      </w:pPr>
      <w:bookmarkStart w:id="1155" w:name="_Toc66881454"/>
      <w:bookmarkStart w:id="1156" w:name="_Toc66883080"/>
      <w:bookmarkStart w:id="1157" w:name="_Toc87614481"/>
      <w:bookmarkStart w:id="1158" w:name="_Toc87860120"/>
      <w:r w:rsidRPr="00C424BA">
        <w:t>Norovirus</w:t>
      </w:r>
      <w:bookmarkEnd w:id="1155"/>
      <w:bookmarkEnd w:id="1156"/>
      <w:bookmarkEnd w:id="1157"/>
      <w:bookmarkEnd w:id="1158"/>
    </w:p>
    <w:p w14:paraId="217AC06F" w14:textId="77777777" w:rsidR="00285EF0" w:rsidRPr="002F3191" w:rsidRDefault="00285EF0" w:rsidP="00285EF0">
      <w:pPr>
        <w:rPr>
          <w:rFonts w:cs="Arial"/>
          <w:szCs w:val="22"/>
        </w:rPr>
      </w:pPr>
      <w:r w:rsidRPr="005B27D5">
        <w:rPr>
          <w:rFonts w:cs="Arial"/>
          <w:szCs w:val="22"/>
        </w:rPr>
        <w:t xml:space="preserve">Norovirus (NoV) is the main cause of viral gastroenteritis in humans worldwide. It is highly contagious due to </w:t>
      </w:r>
      <w:r>
        <w:rPr>
          <w:rFonts w:cs="Arial"/>
          <w:szCs w:val="22"/>
        </w:rPr>
        <w:t>its</w:t>
      </w:r>
      <w:r w:rsidRPr="005B27D5">
        <w:rPr>
          <w:rFonts w:cs="Arial"/>
          <w:szCs w:val="22"/>
        </w:rPr>
        <w:t xml:space="preserve"> very low infectious dose, stability in the environment and resistance to many common disinfectants.</w:t>
      </w:r>
    </w:p>
    <w:p w14:paraId="7D353711" w14:textId="77777777" w:rsidR="00285EF0" w:rsidRPr="002F3191" w:rsidRDefault="00285EF0" w:rsidP="00787E56">
      <w:pPr>
        <w:pStyle w:val="Heading3"/>
      </w:pPr>
      <w:bookmarkStart w:id="1159" w:name="_Toc66881455"/>
      <w:bookmarkStart w:id="1160" w:name="_Toc66883081"/>
      <w:bookmarkStart w:id="1161" w:name="_Toc87614482"/>
      <w:bookmarkStart w:id="1162" w:name="_Toc87860121"/>
      <w:r w:rsidRPr="00C424BA">
        <w:t>Description of the organism</w:t>
      </w:r>
      <w:bookmarkEnd w:id="1159"/>
      <w:bookmarkEnd w:id="1160"/>
      <w:bookmarkEnd w:id="1161"/>
      <w:bookmarkEnd w:id="1162"/>
    </w:p>
    <w:p w14:paraId="7D8E71B8" w14:textId="77777777" w:rsidR="00285EF0" w:rsidRDefault="00285EF0" w:rsidP="00285EF0">
      <w:pPr>
        <w:rPr>
          <w:rFonts w:cs="Arial"/>
          <w:szCs w:val="22"/>
        </w:rPr>
      </w:pPr>
      <w:r w:rsidRPr="005B27D5">
        <w:rPr>
          <w:rFonts w:cs="Arial"/>
          <w:szCs w:val="22"/>
        </w:rPr>
        <w:t xml:space="preserve">NoV </w:t>
      </w:r>
      <w:r>
        <w:rPr>
          <w:rFonts w:cs="Arial"/>
          <w:szCs w:val="22"/>
        </w:rPr>
        <w:t>belongs to</w:t>
      </w:r>
      <w:r w:rsidRPr="005B27D5">
        <w:rPr>
          <w:rFonts w:cs="Arial"/>
          <w:szCs w:val="22"/>
        </w:rPr>
        <w:t xml:space="preserve"> the </w:t>
      </w:r>
      <w:r w:rsidRPr="005B27D5">
        <w:rPr>
          <w:rFonts w:cs="Arial"/>
          <w:i/>
          <w:szCs w:val="22"/>
        </w:rPr>
        <w:t>Caliciviridae</w:t>
      </w:r>
      <w:r w:rsidRPr="005B27D5">
        <w:rPr>
          <w:rFonts w:cs="Arial"/>
          <w:szCs w:val="22"/>
        </w:rPr>
        <w:t xml:space="preserve"> family of viruses. NoV is a non-enveloped virus and has a small (27</w:t>
      </w:r>
      <w:r w:rsidRPr="005B27D5">
        <w:rPr>
          <w:rFonts w:cs="Arial"/>
          <w:szCs w:val="22"/>
        </w:rPr>
        <w:softHyphen/>
      </w:r>
      <w:r>
        <w:rPr>
          <w:rFonts w:cs="Arial"/>
          <w:szCs w:val="22"/>
        </w:rPr>
        <w:t xml:space="preserve"> </w:t>
      </w:r>
      <w:r w:rsidRPr="005B27D5">
        <w:rPr>
          <w:rFonts w:cs="Arial"/>
          <w:szCs w:val="22"/>
        </w:rPr>
        <w:t>–</w:t>
      </w:r>
      <w:r>
        <w:rPr>
          <w:rFonts w:cs="Arial"/>
          <w:szCs w:val="22"/>
        </w:rPr>
        <w:t xml:space="preserve"> </w:t>
      </w:r>
      <w:r w:rsidRPr="005B27D5">
        <w:rPr>
          <w:rFonts w:cs="Arial"/>
          <w:szCs w:val="22"/>
        </w:rPr>
        <w:t xml:space="preserve">40nm) icosahedral shaped capsid that contains </w:t>
      </w:r>
      <w:r>
        <w:rPr>
          <w:rFonts w:cs="Arial"/>
          <w:szCs w:val="22"/>
        </w:rPr>
        <w:t>a</w:t>
      </w:r>
      <w:r w:rsidRPr="005B27D5">
        <w:rPr>
          <w:rFonts w:cs="Arial"/>
          <w:szCs w:val="22"/>
        </w:rPr>
        <w:t xml:space="preserve"> 7.7kb single stranded RNA genome </w:t>
      </w:r>
      <w:r>
        <w:rPr>
          <w:rFonts w:cs="Arial"/>
          <w:noProof/>
          <w:szCs w:val="22"/>
        </w:rPr>
        <w:t>(Richards et al. 2012; Green 2013)</w:t>
      </w:r>
      <w:r>
        <w:rPr>
          <w:rFonts w:cs="Arial"/>
          <w:szCs w:val="22"/>
        </w:rPr>
        <w:t>.</w:t>
      </w:r>
    </w:p>
    <w:p w14:paraId="5CADAB6F" w14:textId="77777777" w:rsidR="00285EF0" w:rsidRDefault="00285EF0" w:rsidP="00285EF0">
      <w:pPr>
        <w:rPr>
          <w:rFonts w:cs="Arial"/>
          <w:szCs w:val="22"/>
        </w:rPr>
      </w:pPr>
    </w:p>
    <w:p w14:paraId="0D96AA74" w14:textId="77777777" w:rsidR="00285EF0" w:rsidRPr="005B27D5" w:rsidRDefault="00285EF0" w:rsidP="00285EF0">
      <w:pPr>
        <w:rPr>
          <w:rFonts w:cs="Arial"/>
          <w:szCs w:val="22"/>
        </w:rPr>
      </w:pPr>
      <w:r w:rsidRPr="005B27D5">
        <w:rPr>
          <w:rFonts w:cs="Arial"/>
          <w:szCs w:val="22"/>
        </w:rPr>
        <w:t xml:space="preserve">A standard NoV classification scheme was established by Zheng et al. </w:t>
      </w:r>
      <w:r w:rsidRPr="005B27D5">
        <w:rPr>
          <w:rFonts w:cs="Arial"/>
          <w:noProof/>
          <w:szCs w:val="22"/>
        </w:rPr>
        <w:t>(2006)</w:t>
      </w:r>
      <w:r w:rsidRPr="005B27D5">
        <w:rPr>
          <w:rFonts w:cs="Arial"/>
          <w:szCs w:val="22"/>
        </w:rPr>
        <w:t xml:space="preserve"> which divides NoV sequentially into genogroups, genoclusters and strains. The genogroups and genoclusters are designated numerically, with the genogroup indicated first in roman numerals followed by the genocluster number </w:t>
      </w:r>
      <w:r w:rsidRPr="005B27D5">
        <w:rPr>
          <w:rFonts w:cs="Arial"/>
          <w:noProof/>
          <w:szCs w:val="22"/>
        </w:rPr>
        <w:t>(Zheng et al. 2006; Donaldson et al. 2008)</w:t>
      </w:r>
      <w:r w:rsidRPr="005B27D5">
        <w:rPr>
          <w:rFonts w:cs="Arial"/>
          <w:szCs w:val="22"/>
        </w:rPr>
        <w:t xml:space="preserve">. NoV is </w:t>
      </w:r>
      <w:r>
        <w:rPr>
          <w:rFonts w:cs="Arial"/>
          <w:szCs w:val="22"/>
        </w:rPr>
        <w:t>classified into five genogroups:</w:t>
      </w:r>
      <w:r w:rsidRPr="005B27D5">
        <w:rPr>
          <w:rFonts w:cs="Arial"/>
          <w:szCs w:val="22"/>
        </w:rPr>
        <w:t xml:space="preserve"> GI – GV. Human NoVs belong to genogroups GI, GII and GIV; </w:t>
      </w:r>
      <w:r>
        <w:rPr>
          <w:rFonts w:cs="Arial"/>
          <w:szCs w:val="22"/>
        </w:rPr>
        <w:t>the former two</w:t>
      </w:r>
      <w:r w:rsidRPr="005B27D5">
        <w:rPr>
          <w:rFonts w:cs="Arial"/>
          <w:szCs w:val="22"/>
        </w:rPr>
        <w:t xml:space="preserve"> caus</w:t>
      </w:r>
      <w:r>
        <w:rPr>
          <w:rFonts w:cs="Arial"/>
          <w:szCs w:val="22"/>
        </w:rPr>
        <w:t>e</w:t>
      </w:r>
      <w:r w:rsidRPr="005B27D5">
        <w:rPr>
          <w:rFonts w:cs="Arial"/>
          <w:szCs w:val="22"/>
        </w:rPr>
        <w:t xml:space="preserve"> the majority of human infections. The genogroup and genocluster information are combined to generate the genotype, for example GII genocluster 4 is designated as the GII.4 genotype. </w:t>
      </w:r>
      <w:r>
        <w:rPr>
          <w:rFonts w:cs="Arial"/>
          <w:szCs w:val="22"/>
        </w:rPr>
        <w:t>In humans t</w:t>
      </w:r>
      <w:r w:rsidRPr="005B27D5">
        <w:rPr>
          <w:rFonts w:cs="Arial"/>
          <w:szCs w:val="22"/>
        </w:rPr>
        <w:t xml:space="preserve">he GII.4 </w:t>
      </w:r>
      <w:r>
        <w:rPr>
          <w:rFonts w:cs="Arial"/>
          <w:szCs w:val="22"/>
        </w:rPr>
        <w:t>gen</w:t>
      </w:r>
      <w:r w:rsidRPr="005B27D5">
        <w:rPr>
          <w:rFonts w:cs="Arial"/>
          <w:szCs w:val="22"/>
        </w:rPr>
        <w:t>otype is most common</w:t>
      </w:r>
      <w:r>
        <w:rPr>
          <w:rFonts w:cs="Arial"/>
          <w:szCs w:val="22"/>
        </w:rPr>
        <w:t>ly</w:t>
      </w:r>
      <w:r w:rsidRPr="005B27D5">
        <w:rPr>
          <w:rFonts w:cs="Arial"/>
          <w:szCs w:val="22"/>
        </w:rPr>
        <w:t xml:space="preserve"> found</w:t>
      </w:r>
      <w:r>
        <w:rPr>
          <w:rFonts w:cs="Arial"/>
          <w:szCs w:val="22"/>
        </w:rPr>
        <w:t>,</w:t>
      </w:r>
      <w:r w:rsidRPr="005B27D5">
        <w:rPr>
          <w:rFonts w:cs="Arial"/>
          <w:szCs w:val="22"/>
        </w:rPr>
        <w:t xml:space="preserve"> causing </w:t>
      </w:r>
      <w:r>
        <w:rPr>
          <w:rFonts w:cs="Arial"/>
          <w:szCs w:val="22"/>
        </w:rPr>
        <w:t xml:space="preserve">the majority of outbreaks and </w:t>
      </w:r>
      <w:r w:rsidRPr="005B27D5">
        <w:rPr>
          <w:rFonts w:cs="Arial"/>
          <w:szCs w:val="22"/>
        </w:rPr>
        <w:t xml:space="preserve">approximately 80% of infections </w:t>
      </w:r>
      <w:r w:rsidRPr="005B27D5">
        <w:rPr>
          <w:rFonts w:cs="Arial"/>
          <w:noProof/>
          <w:szCs w:val="22"/>
        </w:rPr>
        <w:t>(Donaldson et al. 2008; Sharps et al. 2012)</w:t>
      </w:r>
      <w:r w:rsidRPr="005B27D5">
        <w:rPr>
          <w:rFonts w:cs="Arial"/>
          <w:szCs w:val="22"/>
        </w:rPr>
        <w:t>. Human NoV strains are typically named after the location of the outbreak where they w</w:t>
      </w:r>
      <w:r>
        <w:rPr>
          <w:rFonts w:cs="Arial"/>
          <w:szCs w:val="22"/>
        </w:rPr>
        <w:t>ere first isolated, for example</w:t>
      </w:r>
      <w:r w:rsidRPr="005B27D5">
        <w:rPr>
          <w:rFonts w:cs="Arial"/>
          <w:szCs w:val="22"/>
        </w:rPr>
        <w:t xml:space="preserve"> Norwalk virus</w:t>
      </w:r>
      <w:r>
        <w:rPr>
          <w:rFonts w:cs="Arial"/>
          <w:szCs w:val="22"/>
        </w:rPr>
        <w:t>,</w:t>
      </w:r>
      <w:r w:rsidRPr="005B27D5">
        <w:rPr>
          <w:rFonts w:cs="Arial"/>
          <w:szCs w:val="22"/>
        </w:rPr>
        <w:t xml:space="preserve"> Hawaii virus and the </w:t>
      </w:r>
      <w:r>
        <w:rPr>
          <w:rFonts w:cs="Arial"/>
          <w:szCs w:val="22"/>
        </w:rPr>
        <w:t xml:space="preserve">NoV GII.4 </w:t>
      </w:r>
      <w:r w:rsidRPr="005B27D5">
        <w:rPr>
          <w:rFonts w:cs="Arial"/>
          <w:szCs w:val="22"/>
        </w:rPr>
        <w:t xml:space="preserve">Sydney 2012 strain </w:t>
      </w:r>
      <w:r w:rsidRPr="005B27D5">
        <w:rPr>
          <w:rFonts w:cs="Arial"/>
          <w:noProof/>
          <w:szCs w:val="22"/>
        </w:rPr>
        <w:t>(Green 2013; van Beek et al. 2013)</w:t>
      </w:r>
      <w:r w:rsidRPr="005B27D5">
        <w:rPr>
          <w:rFonts w:cs="Arial"/>
          <w:szCs w:val="22"/>
        </w:rPr>
        <w:t>.</w:t>
      </w:r>
    </w:p>
    <w:p w14:paraId="6815D18C" w14:textId="77777777" w:rsidR="00285EF0" w:rsidRPr="005B27D5" w:rsidRDefault="00285EF0" w:rsidP="00285EF0">
      <w:pPr>
        <w:rPr>
          <w:rFonts w:cs="Arial"/>
          <w:szCs w:val="22"/>
        </w:rPr>
      </w:pPr>
    </w:p>
    <w:p w14:paraId="2814C48C" w14:textId="77777777" w:rsidR="00285EF0" w:rsidRPr="005B27D5" w:rsidRDefault="00285EF0" w:rsidP="00285EF0">
      <w:pPr>
        <w:rPr>
          <w:rFonts w:cs="Arial"/>
          <w:szCs w:val="22"/>
        </w:rPr>
      </w:pPr>
      <w:r>
        <w:rPr>
          <w:rFonts w:cs="Arial"/>
          <w:szCs w:val="22"/>
        </w:rPr>
        <w:t xml:space="preserve">NoV has also been isolated from animals, with </w:t>
      </w:r>
      <w:r w:rsidRPr="005B27D5">
        <w:rPr>
          <w:rFonts w:cs="Arial"/>
          <w:szCs w:val="22"/>
        </w:rPr>
        <w:t>GIII NoVs detected in cattle and GV NoV detected in mice. GII NoV</w:t>
      </w:r>
      <w:r>
        <w:rPr>
          <w:rFonts w:cs="Arial"/>
          <w:szCs w:val="22"/>
        </w:rPr>
        <w:t>s</w:t>
      </w:r>
      <w:r w:rsidRPr="005B27D5">
        <w:rPr>
          <w:rFonts w:cs="Arial"/>
          <w:szCs w:val="22"/>
        </w:rPr>
        <w:t xml:space="preserve"> </w:t>
      </w:r>
      <w:r>
        <w:rPr>
          <w:rFonts w:cs="Arial"/>
          <w:szCs w:val="22"/>
        </w:rPr>
        <w:t>have been found in pigs</w:t>
      </w:r>
      <w:r w:rsidRPr="005B27D5">
        <w:rPr>
          <w:rFonts w:cs="Arial"/>
          <w:szCs w:val="22"/>
        </w:rPr>
        <w:t xml:space="preserve"> and GIV NoV detected in a dog and lion cub. However, the animal genotypes are different to those found in humans </w:t>
      </w:r>
      <w:r>
        <w:rPr>
          <w:rFonts w:cs="Arial"/>
          <w:noProof/>
          <w:szCs w:val="22"/>
        </w:rPr>
        <w:t>(Martella et al. 2008; Bank-Wolf et al. 2010)</w:t>
      </w:r>
      <w:r w:rsidRPr="005B27D5">
        <w:rPr>
          <w:rFonts w:cs="Arial"/>
          <w:szCs w:val="22"/>
        </w:rPr>
        <w:t>.</w:t>
      </w:r>
    </w:p>
    <w:p w14:paraId="3FC4FCC9" w14:textId="77777777" w:rsidR="00285EF0" w:rsidRPr="00C424BA" w:rsidRDefault="00285EF0" w:rsidP="00787E56">
      <w:pPr>
        <w:pStyle w:val="Heading3"/>
      </w:pPr>
      <w:bookmarkStart w:id="1163" w:name="_Toc66881456"/>
      <w:bookmarkStart w:id="1164" w:name="_Toc66883082"/>
      <w:bookmarkStart w:id="1165" w:name="_Toc87614483"/>
      <w:bookmarkStart w:id="1166" w:name="_Toc87860122"/>
      <w:r w:rsidRPr="00C424BA">
        <w:t>Growth and survival characteristics</w:t>
      </w:r>
      <w:bookmarkEnd w:id="1163"/>
      <w:bookmarkEnd w:id="1164"/>
      <w:bookmarkEnd w:id="1165"/>
      <w:bookmarkEnd w:id="1166"/>
    </w:p>
    <w:p w14:paraId="03228144" w14:textId="77777777" w:rsidR="00285EF0" w:rsidRPr="004D58FA" w:rsidRDefault="00285EF0" w:rsidP="00285EF0">
      <w:pPr>
        <w:rPr>
          <w:rFonts w:cs="Arial"/>
          <w:i/>
          <w:szCs w:val="22"/>
        </w:rPr>
      </w:pPr>
      <w:r w:rsidRPr="004D58FA">
        <w:rPr>
          <w:rFonts w:cs="Arial"/>
          <w:szCs w:val="22"/>
        </w:rPr>
        <w:t xml:space="preserve">NoV requires host specific living cells in order to replicate. As viruses cannot grow in food, the level of NoV contamination cannot increase due to viral replication during processing or storage of food </w:t>
      </w:r>
      <w:r w:rsidRPr="004D58FA">
        <w:rPr>
          <w:rFonts w:cs="Arial"/>
          <w:noProof/>
          <w:szCs w:val="22"/>
        </w:rPr>
        <w:t>(Zainazor et al. 2010; Green 2013)</w:t>
      </w:r>
      <w:r w:rsidRPr="004D58FA">
        <w:rPr>
          <w:rFonts w:cs="Arial"/>
          <w:szCs w:val="22"/>
        </w:rPr>
        <w:t xml:space="preserve">. The environmental spread of NoV is influenced by factors such as pH, temperature and how readily it attaches to the surfaces of fomites </w:t>
      </w:r>
      <w:r w:rsidRPr="004D58FA">
        <w:rPr>
          <w:rFonts w:cs="Arial"/>
          <w:noProof/>
          <w:szCs w:val="22"/>
        </w:rPr>
        <w:t>(Girard et al. 2010)</w:t>
      </w:r>
      <w:r w:rsidRPr="004D58FA">
        <w:rPr>
          <w:rFonts w:cs="Arial"/>
          <w:szCs w:val="22"/>
        </w:rPr>
        <w:t xml:space="preserve">. </w:t>
      </w:r>
    </w:p>
    <w:p w14:paraId="5DC5C3CD" w14:textId="77777777" w:rsidR="00285EF0" w:rsidRDefault="00285EF0" w:rsidP="00285EF0">
      <w:pPr>
        <w:rPr>
          <w:rFonts w:cs="Arial"/>
          <w:szCs w:val="22"/>
        </w:rPr>
      </w:pPr>
    </w:p>
    <w:p w14:paraId="06F56EDD" w14:textId="77777777" w:rsidR="00285EF0" w:rsidRPr="005B27D5" w:rsidRDefault="00285EF0" w:rsidP="00285EF0">
      <w:pPr>
        <w:rPr>
          <w:rFonts w:cs="Arial"/>
          <w:szCs w:val="22"/>
        </w:rPr>
      </w:pPr>
      <w:r w:rsidRPr="005B27D5">
        <w:rPr>
          <w:rFonts w:cs="Arial"/>
          <w:szCs w:val="22"/>
        </w:rPr>
        <w:t xml:space="preserve">NoV is stable in the environment. D’Souza et al. </w:t>
      </w:r>
      <w:r w:rsidRPr="005B27D5">
        <w:rPr>
          <w:rFonts w:cs="Arial"/>
          <w:noProof/>
          <w:szCs w:val="22"/>
        </w:rPr>
        <w:t>(2006)</w:t>
      </w:r>
      <w:r w:rsidRPr="005B27D5">
        <w:rPr>
          <w:rFonts w:cs="Arial"/>
          <w:szCs w:val="22"/>
        </w:rPr>
        <w:t xml:space="preserve"> demonstrated that when NoV was artificially transferred onto formica, stainless steel or ceramic surfaces</w:t>
      </w:r>
      <w:r>
        <w:rPr>
          <w:rFonts w:cs="Arial"/>
          <w:szCs w:val="22"/>
        </w:rPr>
        <w:t>,</w:t>
      </w:r>
      <w:r w:rsidRPr="005B27D5">
        <w:rPr>
          <w:rFonts w:cs="Arial"/>
          <w:szCs w:val="22"/>
        </w:rPr>
        <w:t xml:space="preserve"> the virus could be detected on th</w:t>
      </w:r>
      <w:r>
        <w:rPr>
          <w:rFonts w:cs="Arial"/>
          <w:szCs w:val="22"/>
        </w:rPr>
        <w:t>o</w:t>
      </w:r>
      <w:r w:rsidRPr="005B27D5">
        <w:rPr>
          <w:rFonts w:cs="Arial"/>
          <w:szCs w:val="22"/>
        </w:rPr>
        <w:t xml:space="preserve">se surfaces for </w:t>
      </w:r>
      <w:r>
        <w:rPr>
          <w:rFonts w:cs="Arial"/>
          <w:szCs w:val="22"/>
        </w:rPr>
        <w:t>seven</w:t>
      </w:r>
      <w:r w:rsidRPr="005B27D5">
        <w:rPr>
          <w:rFonts w:cs="Arial"/>
          <w:szCs w:val="22"/>
        </w:rPr>
        <w:t xml:space="preserve"> days (study duration). NoV has been shown to persist in groundwater for at least </w:t>
      </w:r>
      <w:r>
        <w:rPr>
          <w:rFonts w:cs="Arial"/>
          <w:szCs w:val="22"/>
        </w:rPr>
        <w:t>three</w:t>
      </w:r>
      <w:r w:rsidRPr="005B27D5">
        <w:rPr>
          <w:rFonts w:cs="Arial"/>
          <w:szCs w:val="22"/>
        </w:rPr>
        <w:t xml:space="preserve"> years and remains infectious in groundwater for at lea</w:t>
      </w:r>
      <w:r>
        <w:rPr>
          <w:rFonts w:cs="Arial"/>
          <w:szCs w:val="22"/>
        </w:rPr>
        <w:t>st 61 </w:t>
      </w:r>
      <w:r w:rsidRPr="005B27D5">
        <w:rPr>
          <w:rFonts w:cs="Arial"/>
          <w:szCs w:val="22"/>
        </w:rPr>
        <w:t>day</w:t>
      </w:r>
      <w:r>
        <w:rPr>
          <w:rFonts w:cs="Arial"/>
          <w:szCs w:val="22"/>
        </w:rPr>
        <w:t xml:space="preserve">s </w:t>
      </w:r>
      <w:r w:rsidRPr="005B27D5">
        <w:rPr>
          <w:rFonts w:cs="Arial"/>
          <w:noProof/>
          <w:szCs w:val="22"/>
        </w:rPr>
        <w:t>(Seitz et al. 2011)</w:t>
      </w:r>
      <w:r w:rsidRPr="005B27D5">
        <w:rPr>
          <w:rFonts w:cs="Arial"/>
          <w:szCs w:val="22"/>
        </w:rPr>
        <w:t>.</w:t>
      </w:r>
    </w:p>
    <w:p w14:paraId="10AAC12C" w14:textId="77777777" w:rsidR="00285EF0" w:rsidRPr="005B27D5" w:rsidRDefault="00285EF0" w:rsidP="00285EF0">
      <w:pPr>
        <w:rPr>
          <w:rFonts w:cs="Arial"/>
          <w:szCs w:val="22"/>
        </w:rPr>
      </w:pPr>
    </w:p>
    <w:p w14:paraId="01C160E5" w14:textId="77777777" w:rsidR="00285EF0" w:rsidRPr="005B27D5" w:rsidRDefault="00285EF0" w:rsidP="00285EF0">
      <w:pPr>
        <w:rPr>
          <w:rFonts w:cs="Arial"/>
          <w:szCs w:val="22"/>
        </w:rPr>
      </w:pPr>
      <w:r w:rsidRPr="005B27D5">
        <w:rPr>
          <w:rFonts w:cs="Arial"/>
          <w:szCs w:val="22"/>
        </w:rPr>
        <w:t xml:space="preserve">Freezing has little effect on NoV survival. Richards et al. </w:t>
      </w:r>
      <w:r w:rsidRPr="005B27D5">
        <w:rPr>
          <w:rFonts w:cs="Arial"/>
          <w:noProof/>
          <w:szCs w:val="22"/>
        </w:rPr>
        <w:t>(2012)</w:t>
      </w:r>
      <w:r w:rsidRPr="005B27D5">
        <w:rPr>
          <w:rFonts w:cs="Arial"/>
          <w:szCs w:val="22"/>
        </w:rPr>
        <w:t xml:space="preserve"> used NoV positive stool samples to show that freezing at -80°C for 120 days or performing up to 14 freeze/thaw cycles (-80°C/+22°C) did not affect capsid integrity, viral RNA titres or viral infectivity. A study by Butot et al. </w:t>
      </w:r>
      <w:r w:rsidRPr="005B27D5">
        <w:rPr>
          <w:rFonts w:cs="Arial"/>
          <w:noProof/>
          <w:szCs w:val="22"/>
        </w:rPr>
        <w:t>(2008)</w:t>
      </w:r>
      <w:r w:rsidRPr="005B27D5">
        <w:rPr>
          <w:rFonts w:cs="Arial"/>
          <w:szCs w:val="22"/>
        </w:rPr>
        <w:t xml:space="preserve"> demonstrated that the NoV titre in artificially inoculated blueberries was reduced by less than 1 log</w:t>
      </w:r>
      <w:r w:rsidRPr="005B27D5">
        <w:rPr>
          <w:rFonts w:cs="Arial"/>
          <w:szCs w:val="22"/>
          <w:vertAlign w:val="subscript"/>
        </w:rPr>
        <w:t>10</w:t>
      </w:r>
      <w:r w:rsidRPr="005B27D5">
        <w:rPr>
          <w:rFonts w:cs="Arial"/>
          <w:szCs w:val="22"/>
        </w:rPr>
        <w:t xml:space="preserve"> after 2 days and 2.3 log</w:t>
      </w:r>
      <w:r w:rsidRPr="005B27D5">
        <w:rPr>
          <w:rFonts w:cs="Arial"/>
          <w:szCs w:val="22"/>
          <w:vertAlign w:val="subscript"/>
        </w:rPr>
        <w:t>10</w:t>
      </w:r>
      <w:r w:rsidRPr="005B27D5">
        <w:rPr>
          <w:rFonts w:cs="Arial"/>
          <w:szCs w:val="22"/>
        </w:rPr>
        <w:t xml:space="preserve"> after 90 days storage at -20°C. </w:t>
      </w:r>
    </w:p>
    <w:p w14:paraId="3D10E891" w14:textId="77777777" w:rsidR="00285EF0" w:rsidRPr="00D82B47" w:rsidRDefault="00285EF0" w:rsidP="00285EF0">
      <w:pPr>
        <w:rPr>
          <w:rFonts w:cs="Arial"/>
          <w:szCs w:val="22"/>
        </w:rPr>
      </w:pPr>
      <w:r w:rsidRPr="00D82B47">
        <w:rPr>
          <w:rFonts w:cs="Arial"/>
          <w:szCs w:val="22"/>
        </w:rPr>
        <w:t xml:space="preserve">The effect of heat treatment on NoV </w:t>
      </w:r>
      <w:r w:rsidRPr="00D82B47">
        <w:rPr>
          <w:rFonts w:cs="Arial"/>
          <w:szCs w:val="22"/>
          <w:lang w:val="en-US" w:eastAsia="en-AU"/>
        </w:rPr>
        <w:t>is variable and highly dependent on the initial level of contamination, time and temperature of heating, virus strain, and type of food matrix</w:t>
      </w:r>
      <w:r>
        <w:rPr>
          <w:rFonts w:cs="Arial"/>
          <w:szCs w:val="22"/>
          <w:lang w:val="en-US" w:eastAsia="en-AU"/>
        </w:rPr>
        <w:t xml:space="preserve"> </w:t>
      </w:r>
      <w:r>
        <w:rPr>
          <w:rFonts w:cs="Arial"/>
          <w:noProof/>
          <w:szCs w:val="22"/>
          <w:lang w:val="en-US" w:eastAsia="en-AU"/>
        </w:rPr>
        <w:t>(Codex 2012)</w:t>
      </w:r>
      <w:r>
        <w:rPr>
          <w:rFonts w:cs="Arial"/>
          <w:szCs w:val="22"/>
        </w:rPr>
        <w:t xml:space="preserve">. </w:t>
      </w:r>
      <w:r w:rsidRPr="005B27D5">
        <w:rPr>
          <w:rFonts w:cs="Arial"/>
          <w:szCs w:val="22"/>
        </w:rPr>
        <w:t>Studies performed using artificially inoculated foods showed that consumer practices</w:t>
      </w:r>
      <w:r>
        <w:rPr>
          <w:rFonts w:cs="Arial"/>
          <w:szCs w:val="22"/>
        </w:rPr>
        <w:t>,</w:t>
      </w:r>
      <w:r w:rsidRPr="005B27D5">
        <w:rPr>
          <w:rFonts w:cs="Arial"/>
          <w:szCs w:val="22"/>
        </w:rPr>
        <w:t xml:space="preserve"> such as baking </w:t>
      </w:r>
      <w:r>
        <w:rPr>
          <w:rFonts w:cs="Arial"/>
          <w:szCs w:val="22"/>
        </w:rPr>
        <w:t xml:space="preserve">(inoculated) </w:t>
      </w:r>
      <w:r w:rsidRPr="005B27D5">
        <w:rPr>
          <w:rFonts w:cs="Arial"/>
          <w:szCs w:val="22"/>
        </w:rPr>
        <w:t>pizza at 200°C for 12 minutes</w:t>
      </w:r>
      <w:r>
        <w:rPr>
          <w:rFonts w:cs="Arial"/>
          <w:szCs w:val="22"/>
        </w:rPr>
        <w:t>,</w:t>
      </w:r>
      <w:r w:rsidRPr="005B27D5">
        <w:rPr>
          <w:rFonts w:cs="Arial"/>
          <w:szCs w:val="22"/>
        </w:rPr>
        <w:t xml:space="preserve"> </w:t>
      </w:r>
      <w:r>
        <w:rPr>
          <w:rFonts w:cs="Arial"/>
          <w:szCs w:val="22"/>
        </w:rPr>
        <w:t>le</w:t>
      </w:r>
      <w:r w:rsidRPr="005B27D5">
        <w:rPr>
          <w:rFonts w:cs="Arial"/>
          <w:szCs w:val="22"/>
        </w:rPr>
        <w:t xml:space="preserve">d to </w:t>
      </w:r>
      <w:r>
        <w:rPr>
          <w:rFonts w:cs="Arial"/>
          <w:szCs w:val="22"/>
        </w:rPr>
        <w:t xml:space="preserve">a </w:t>
      </w:r>
      <w:r w:rsidRPr="005B27D5">
        <w:rPr>
          <w:rFonts w:cs="Arial"/>
          <w:szCs w:val="22"/>
        </w:rPr>
        <w:t xml:space="preserve">significant reduction in NoV titres. However, </w:t>
      </w:r>
      <w:r>
        <w:rPr>
          <w:rFonts w:cs="Arial"/>
          <w:szCs w:val="22"/>
        </w:rPr>
        <w:t>pasteurising</w:t>
      </w:r>
      <w:r w:rsidRPr="005B27D5">
        <w:rPr>
          <w:rFonts w:cs="Arial"/>
          <w:szCs w:val="22"/>
        </w:rPr>
        <w:t xml:space="preserve"> spiced tomato sauce </w:t>
      </w:r>
      <w:r>
        <w:rPr>
          <w:rFonts w:cs="Arial"/>
          <w:szCs w:val="22"/>
        </w:rPr>
        <w:t>at</w:t>
      </w:r>
      <w:r w:rsidRPr="005B27D5">
        <w:rPr>
          <w:rFonts w:cs="Arial"/>
          <w:szCs w:val="22"/>
        </w:rPr>
        <w:t xml:space="preserve"> 72°C for 1 minute </w:t>
      </w:r>
      <w:r>
        <w:rPr>
          <w:rFonts w:cs="Arial"/>
          <w:szCs w:val="22"/>
        </w:rPr>
        <w:t>or heating</w:t>
      </w:r>
      <w:r w:rsidRPr="005B27D5">
        <w:rPr>
          <w:rFonts w:cs="Arial"/>
          <w:szCs w:val="22"/>
        </w:rPr>
        <w:t xml:space="preserve"> mussels to 80°C for 15 min</w:t>
      </w:r>
      <w:r>
        <w:rPr>
          <w:rFonts w:cs="Arial"/>
          <w:szCs w:val="22"/>
        </w:rPr>
        <w:t xml:space="preserve"> did not result in a</w:t>
      </w:r>
      <w:r w:rsidRPr="005B27D5">
        <w:rPr>
          <w:rFonts w:cs="Arial"/>
          <w:szCs w:val="22"/>
        </w:rPr>
        <w:t xml:space="preserve"> significant reduction in NoV titre </w:t>
      </w:r>
      <w:r w:rsidRPr="005B27D5">
        <w:rPr>
          <w:rFonts w:cs="Arial"/>
          <w:noProof/>
          <w:szCs w:val="22"/>
        </w:rPr>
        <w:t>(Mormann et al. 2010; Croci et al. 2012)</w:t>
      </w:r>
      <w:r w:rsidRPr="005B27D5">
        <w:rPr>
          <w:rFonts w:cs="Arial"/>
          <w:szCs w:val="22"/>
        </w:rPr>
        <w:t xml:space="preserve">. </w:t>
      </w:r>
      <w:r>
        <w:rPr>
          <w:rFonts w:cs="Arial"/>
          <w:szCs w:val="22"/>
        </w:rPr>
        <w:t>Heating to an internal temperature of at least 9</w:t>
      </w:r>
      <w:r w:rsidRPr="005B27D5">
        <w:rPr>
          <w:rFonts w:cs="Arial"/>
          <w:szCs w:val="22"/>
        </w:rPr>
        <w:t xml:space="preserve">0°C for </w:t>
      </w:r>
      <w:r>
        <w:rPr>
          <w:rFonts w:cs="Arial"/>
          <w:szCs w:val="22"/>
        </w:rPr>
        <w:t xml:space="preserve">90 seconds is considered adequate to destroy viral infectivity in most foods </w:t>
      </w:r>
      <w:r>
        <w:rPr>
          <w:rFonts w:cs="Arial"/>
          <w:noProof/>
          <w:szCs w:val="22"/>
        </w:rPr>
        <w:t>(Codex 2012)</w:t>
      </w:r>
      <w:r>
        <w:rPr>
          <w:rFonts w:cs="Arial"/>
          <w:szCs w:val="22"/>
        </w:rPr>
        <w:t>.</w:t>
      </w:r>
    </w:p>
    <w:p w14:paraId="4CB6E881" w14:textId="77777777" w:rsidR="00285EF0" w:rsidRPr="005B27D5" w:rsidRDefault="00285EF0" w:rsidP="00285EF0">
      <w:pPr>
        <w:rPr>
          <w:rFonts w:cs="Arial"/>
          <w:szCs w:val="22"/>
        </w:rPr>
      </w:pPr>
    </w:p>
    <w:p w14:paraId="200270EF" w14:textId="77777777" w:rsidR="00285EF0" w:rsidRPr="005B27D5" w:rsidRDefault="00285EF0" w:rsidP="00285EF0">
      <w:pPr>
        <w:rPr>
          <w:rFonts w:cs="Arial"/>
          <w:szCs w:val="22"/>
        </w:rPr>
      </w:pPr>
      <w:r w:rsidRPr="005B27D5">
        <w:rPr>
          <w:rFonts w:cs="Arial"/>
          <w:szCs w:val="22"/>
        </w:rPr>
        <w:t xml:space="preserve">NoV is able to survive acidic conditions. A study by Mormann et al. </w:t>
      </w:r>
      <w:r w:rsidRPr="005B27D5">
        <w:rPr>
          <w:rFonts w:cs="Arial"/>
          <w:noProof/>
          <w:szCs w:val="22"/>
        </w:rPr>
        <w:t>(2010)</w:t>
      </w:r>
      <w:r w:rsidRPr="005B27D5">
        <w:rPr>
          <w:rFonts w:cs="Arial"/>
          <w:szCs w:val="22"/>
        </w:rPr>
        <w:t xml:space="preserve"> showed that there was no significant reduction in NoV titre in tomato ketchup stored at pH 4.5 for 58 days at 6°C. Also, Dolin et al. </w:t>
      </w:r>
      <w:r w:rsidRPr="005B27D5">
        <w:rPr>
          <w:rFonts w:cs="Arial"/>
          <w:noProof/>
          <w:szCs w:val="22"/>
        </w:rPr>
        <w:t>(1972)</w:t>
      </w:r>
      <w:r w:rsidRPr="005B27D5">
        <w:rPr>
          <w:rFonts w:cs="Arial"/>
          <w:szCs w:val="22"/>
        </w:rPr>
        <w:t xml:space="preserve"> demonstrated that </w:t>
      </w:r>
      <w:r>
        <w:rPr>
          <w:rFonts w:cs="Arial"/>
          <w:szCs w:val="22"/>
        </w:rPr>
        <w:t>NoV</w:t>
      </w:r>
      <w:r w:rsidRPr="005B27D5">
        <w:rPr>
          <w:rFonts w:cs="Arial"/>
          <w:szCs w:val="22"/>
        </w:rPr>
        <w:t xml:space="preserve"> stored at pH 2.7 for 3 hours retained the ability to cause illness.</w:t>
      </w:r>
    </w:p>
    <w:p w14:paraId="18B35306" w14:textId="77777777" w:rsidR="00285EF0" w:rsidRPr="005B27D5" w:rsidRDefault="00285EF0" w:rsidP="00285EF0"/>
    <w:p w14:paraId="3284CA9F" w14:textId="77777777" w:rsidR="00285EF0" w:rsidRPr="002F3191" w:rsidRDefault="00285EF0" w:rsidP="00285EF0">
      <w:pPr>
        <w:rPr>
          <w:rFonts w:cs="Arial"/>
          <w:i/>
          <w:szCs w:val="22"/>
        </w:rPr>
      </w:pPr>
      <w:r w:rsidRPr="004D58FA">
        <w:rPr>
          <w:rFonts w:cs="Arial"/>
          <w:szCs w:val="22"/>
        </w:rPr>
        <w:t xml:space="preserve">NoV is generally resistant to detergents and ethanol-based reagents used to clean environmental surfaces and fomites, so additional chemical disinfection is required. Disinfectants effective against NoV include hypochlorite, hydrogen peroxide and phenolic-based cleaners </w:t>
      </w:r>
      <w:r w:rsidRPr="004D58FA">
        <w:rPr>
          <w:rFonts w:cs="Arial"/>
          <w:noProof/>
          <w:szCs w:val="22"/>
        </w:rPr>
        <w:t>(Green 2013)</w:t>
      </w:r>
      <w:r w:rsidRPr="004D58FA">
        <w:rPr>
          <w:rFonts w:cs="Arial"/>
          <w:szCs w:val="22"/>
        </w:rPr>
        <w:t xml:space="preserve">. Studies have shown that full inactivation of NoV on stainless steel requires 10 minutes contact time with sodium hypochlorite-based disinfectant, with only a 2-log reduction occurring after 5 minutes of exposure </w:t>
      </w:r>
      <w:r w:rsidRPr="004D58FA">
        <w:rPr>
          <w:rFonts w:cs="Arial"/>
          <w:noProof/>
          <w:szCs w:val="22"/>
        </w:rPr>
        <w:t>(Girard et al. 2010)</w:t>
      </w:r>
      <w:r w:rsidRPr="004D58FA">
        <w:rPr>
          <w:rFonts w:cs="Arial"/>
          <w:szCs w:val="22"/>
        </w:rPr>
        <w:t>.</w:t>
      </w:r>
    </w:p>
    <w:p w14:paraId="2B5E0D81" w14:textId="77777777" w:rsidR="00285EF0" w:rsidRPr="002F3191" w:rsidRDefault="00285EF0" w:rsidP="00787E56">
      <w:pPr>
        <w:pStyle w:val="Heading3"/>
        <w:rPr>
          <w:sz w:val="28"/>
        </w:rPr>
      </w:pPr>
      <w:bookmarkStart w:id="1167" w:name="_Toc66881457"/>
      <w:bookmarkStart w:id="1168" w:name="_Toc66883083"/>
      <w:bookmarkStart w:id="1169" w:name="_Toc87614484"/>
      <w:bookmarkStart w:id="1170" w:name="_Toc87860123"/>
      <w:r w:rsidRPr="00C424BA">
        <w:t>Symptoms of disease</w:t>
      </w:r>
      <w:bookmarkEnd w:id="1167"/>
      <w:bookmarkEnd w:id="1168"/>
      <w:bookmarkEnd w:id="1169"/>
      <w:bookmarkEnd w:id="1170"/>
    </w:p>
    <w:p w14:paraId="5238DC3D" w14:textId="77777777" w:rsidR="00285EF0" w:rsidRPr="005B27D5" w:rsidRDefault="00285EF0" w:rsidP="00285EF0">
      <w:pPr>
        <w:rPr>
          <w:rFonts w:cs="Arial"/>
          <w:szCs w:val="22"/>
        </w:rPr>
      </w:pPr>
      <w:r w:rsidRPr="005B27D5">
        <w:rPr>
          <w:rFonts w:cs="Arial"/>
          <w:szCs w:val="22"/>
          <w:lang w:val="en-US"/>
        </w:rPr>
        <w:t>Infection with NoV generally leads to symptoms of gastroenteritis, although asymptomatic infection can also occur. Explosive or projectile vomiting is usually the first sign of illness and is often used to characterise the illness. Other symptoms of NoV infection include diarrhoea, abdominal cramps, nausea, headache, low grade fever, chills, muscle aches and lethargy. The incubation period before onset of disease is usually 24</w:t>
      </w:r>
      <w:r>
        <w:rPr>
          <w:rFonts w:cs="Arial"/>
          <w:szCs w:val="22"/>
          <w:lang w:val="en-US"/>
        </w:rPr>
        <w:t xml:space="preserve"> </w:t>
      </w:r>
      <w:r w:rsidRPr="005B27D5">
        <w:rPr>
          <w:rFonts w:cs="Arial"/>
          <w:szCs w:val="22"/>
          <w:lang w:val="en-US"/>
        </w:rPr>
        <w:t>–</w:t>
      </w:r>
      <w:r>
        <w:rPr>
          <w:rFonts w:cs="Arial"/>
          <w:szCs w:val="22"/>
          <w:lang w:val="en-US"/>
        </w:rPr>
        <w:t xml:space="preserve"> 48 hours</w:t>
      </w:r>
      <w:r w:rsidRPr="005B27D5">
        <w:rPr>
          <w:rFonts w:cs="Arial"/>
          <w:szCs w:val="22"/>
          <w:lang w:val="en-US"/>
        </w:rPr>
        <w:t xml:space="preserve"> but may be as short as 12 hours. The illness generally lasts for 12</w:t>
      </w:r>
      <w:r>
        <w:rPr>
          <w:rFonts w:cs="Arial"/>
          <w:szCs w:val="22"/>
          <w:lang w:val="en-US"/>
        </w:rPr>
        <w:t xml:space="preserve"> – </w:t>
      </w:r>
      <w:r w:rsidRPr="005B27D5">
        <w:rPr>
          <w:rFonts w:cs="Arial"/>
          <w:szCs w:val="22"/>
          <w:lang w:val="en-US"/>
        </w:rPr>
        <w:t xml:space="preserve">60 hours </w:t>
      </w:r>
      <w:r w:rsidRPr="005B27D5">
        <w:rPr>
          <w:rFonts w:cs="Arial"/>
          <w:noProof/>
          <w:szCs w:val="22"/>
          <w:lang w:val="en-US"/>
        </w:rPr>
        <w:t>(Karst 2010; FDA 2012; Sharps et al. 2012)</w:t>
      </w:r>
      <w:r w:rsidRPr="005B27D5">
        <w:rPr>
          <w:rFonts w:cs="Arial"/>
          <w:szCs w:val="22"/>
          <w:lang w:val="en-US"/>
        </w:rPr>
        <w:t xml:space="preserve">. </w:t>
      </w:r>
      <w:r w:rsidRPr="005B27D5">
        <w:rPr>
          <w:rFonts w:cs="Arial"/>
          <w:szCs w:val="22"/>
        </w:rPr>
        <w:t xml:space="preserve">NoV may be shed in the faeces of infected individuals before the onset of any clinical symptom (from 18 hours after </w:t>
      </w:r>
      <w:r>
        <w:rPr>
          <w:rFonts w:cs="Arial"/>
          <w:szCs w:val="22"/>
        </w:rPr>
        <w:t>infection</w:t>
      </w:r>
      <w:r w:rsidRPr="005B27D5">
        <w:rPr>
          <w:rFonts w:cs="Arial"/>
          <w:szCs w:val="22"/>
        </w:rPr>
        <w:t xml:space="preserve">). Viral shedding continues for a median </w:t>
      </w:r>
      <w:r>
        <w:rPr>
          <w:rFonts w:cs="Arial"/>
          <w:szCs w:val="22"/>
        </w:rPr>
        <w:t xml:space="preserve">period </w:t>
      </w:r>
      <w:r w:rsidRPr="005B27D5">
        <w:rPr>
          <w:rFonts w:cs="Arial"/>
          <w:szCs w:val="22"/>
        </w:rPr>
        <w:t xml:space="preserve">of four weeks and can continue for at least eight weeks </w:t>
      </w:r>
      <w:r w:rsidRPr="005B27D5">
        <w:rPr>
          <w:rFonts w:cs="Arial"/>
          <w:noProof/>
          <w:szCs w:val="22"/>
        </w:rPr>
        <w:t>(Atmar et al. 2008)</w:t>
      </w:r>
      <w:r w:rsidRPr="005B27D5">
        <w:rPr>
          <w:rFonts w:cs="Arial"/>
          <w:szCs w:val="22"/>
        </w:rPr>
        <w:t>.</w:t>
      </w:r>
    </w:p>
    <w:p w14:paraId="6A65E9D9" w14:textId="77777777" w:rsidR="00285EF0" w:rsidRPr="005B27D5" w:rsidRDefault="00285EF0" w:rsidP="00285EF0">
      <w:pPr>
        <w:rPr>
          <w:rFonts w:cs="Arial"/>
          <w:szCs w:val="22"/>
          <w:lang w:val="en-US"/>
        </w:rPr>
      </w:pPr>
    </w:p>
    <w:p w14:paraId="62C913EE" w14:textId="77777777" w:rsidR="00285EF0" w:rsidRPr="005B27D5" w:rsidRDefault="00285EF0" w:rsidP="00285EF0">
      <w:pPr>
        <w:rPr>
          <w:rFonts w:cs="Arial"/>
          <w:szCs w:val="22"/>
          <w:lang w:val="en-US"/>
        </w:rPr>
      </w:pPr>
      <w:r w:rsidRPr="005B27D5">
        <w:rPr>
          <w:rFonts w:cs="Arial"/>
          <w:szCs w:val="22"/>
          <w:lang w:val="en-US"/>
        </w:rPr>
        <w:t xml:space="preserve">In immunocompromised individuals the duration of disease can be prolonged and it can develop into a chronic infection with recurrent episodes </w:t>
      </w:r>
      <w:r w:rsidRPr="005B27D5">
        <w:rPr>
          <w:rFonts w:cs="Arial"/>
          <w:noProof/>
          <w:szCs w:val="22"/>
          <w:lang w:val="en-US"/>
        </w:rPr>
        <w:t>(Westhoff et al. 2009)</w:t>
      </w:r>
      <w:r w:rsidRPr="005B27D5">
        <w:rPr>
          <w:rFonts w:cs="Arial"/>
          <w:szCs w:val="22"/>
          <w:lang w:val="en-US"/>
        </w:rPr>
        <w:t>. Most patients show complete recovery</w:t>
      </w:r>
      <w:r>
        <w:rPr>
          <w:rFonts w:cs="Arial"/>
          <w:szCs w:val="22"/>
          <w:lang w:val="en-US"/>
        </w:rPr>
        <w:t>.</w:t>
      </w:r>
      <w:r w:rsidRPr="005B27D5">
        <w:rPr>
          <w:rFonts w:cs="Arial"/>
          <w:szCs w:val="22"/>
          <w:lang w:val="en-US"/>
        </w:rPr>
        <w:t xml:space="preserve"> </w:t>
      </w:r>
      <w:r>
        <w:rPr>
          <w:rFonts w:cs="Arial"/>
          <w:szCs w:val="22"/>
          <w:lang w:val="en-US"/>
        </w:rPr>
        <w:t>H</w:t>
      </w:r>
      <w:r w:rsidRPr="005B27D5">
        <w:rPr>
          <w:rFonts w:cs="Arial"/>
          <w:szCs w:val="22"/>
          <w:lang w:val="en-US"/>
        </w:rPr>
        <w:t xml:space="preserve">owever, if severe dehydration occurs due to fluid loss the infection can be fatal </w:t>
      </w:r>
      <w:r w:rsidRPr="005B27D5">
        <w:rPr>
          <w:rFonts w:cs="Arial"/>
          <w:noProof/>
          <w:szCs w:val="22"/>
          <w:lang w:val="en-US"/>
        </w:rPr>
        <w:t>(Sharps et al. 2012)</w:t>
      </w:r>
      <w:r w:rsidRPr="005B27D5">
        <w:rPr>
          <w:rFonts w:cs="Arial"/>
          <w:szCs w:val="22"/>
          <w:lang w:val="en-US"/>
        </w:rPr>
        <w:t xml:space="preserve">. </w:t>
      </w:r>
    </w:p>
    <w:p w14:paraId="570E7317" w14:textId="77777777" w:rsidR="00285EF0" w:rsidRPr="005B27D5" w:rsidRDefault="00285EF0" w:rsidP="00285EF0">
      <w:pPr>
        <w:rPr>
          <w:rFonts w:cs="Arial"/>
          <w:szCs w:val="22"/>
        </w:rPr>
      </w:pPr>
    </w:p>
    <w:p w14:paraId="60622D31" w14:textId="77777777" w:rsidR="00285EF0" w:rsidRPr="005B27D5" w:rsidRDefault="00285EF0" w:rsidP="00285EF0">
      <w:pPr>
        <w:rPr>
          <w:rFonts w:cs="Arial"/>
          <w:szCs w:val="22"/>
          <w:lang w:val="en-US"/>
        </w:rPr>
      </w:pPr>
      <w:r w:rsidRPr="005B27D5">
        <w:rPr>
          <w:rFonts w:cs="Arial"/>
          <w:szCs w:val="22"/>
          <w:lang w:val="en-US"/>
        </w:rPr>
        <w:t xml:space="preserve">A systematic review of the international literature performed by Desai et al </w:t>
      </w:r>
      <w:r w:rsidRPr="005B27D5">
        <w:rPr>
          <w:rFonts w:cs="Arial"/>
          <w:noProof/>
          <w:szCs w:val="22"/>
          <w:lang w:val="en-US"/>
        </w:rPr>
        <w:t>(2012)</w:t>
      </w:r>
      <w:r w:rsidRPr="005B27D5">
        <w:rPr>
          <w:rFonts w:cs="Arial"/>
          <w:szCs w:val="22"/>
          <w:lang w:val="en-US"/>
        </w:rPr>
        <w:t xml:space="preserve"> estimated the NoV hospitalisation rate </w:t>
      </w:r>
      <w:r>
        <w:rPr>
          <w:rFonts w:cs="Arial"/>
          <w:szCs w:val="22"/>
          <w:lang w:val="en-US"/>
        </w:rPr>
        <w:t xml:space="preserve">to be </w:t>
      </w:r>
      <w:r w:rsidRPr="005B27D5">
        <w:rPr>
          <w:rFonts w:cs="Arial"/>
          <w:szCs w:val="22"/>
          <w:lang w:val="en-US"/>
        </w:rPr>
        <w:t>70 per 10,000 cases and</w:t>
      </w:r>
      <w:r>
        <w:rPr>
          <w:rFonts w:cs="Arial"/>
          <w:szCs w:val="22"/>
          <w:lang w:val="en-US"/>
        </w:rPr>
        <w:t xml:space="preserve"> the fatality rate 7 per 10,000 </w:t>
      </w:r>
      <w:r w:rsidRPr="005B27D5">
        <w:rPr>
          <w:rFonts w:cs="Arial"/>
          <w:szCs w:val="22"/>
          <w:lang w:val="en-US"/>
        </w:rPr>
        <w:t xml:space="preserve">cases </w:t>
      </w:r>
      <w:r>
        <w:rPr>
          <w:rFonts w:cs="Arial"/>
          <w:szCs w:val="22"/>
          <w:lang w:val="en-US"/>
        </w:rPr>
        <w:t xml:space="preserve">when </w:t>
      </w:r>
      <w:r w:rsidRPr="005B27D5">
        <w:rPr>
          <w:rFonts w:cs="Arial"/>
          <w:szCs w:val="22"/>
          <w:lang w:val="en-US"/>
        </w:rPr>
        <w:t>NoV outbreaks</w:t>
      </w:r>
      <w:r>
        <w:rPr>
          <w:rFonts w:cs="Arial"/>
          <w:szCs w:val="22"/>
          <w:lang w:val="en-US"/>
        </w:rPr>
        <w:t xml:space="preserve"> were analysed</w:t>
      </w:r>
      <w:r w:rsidRPr="005B27D5">
        <w:rPr>
          <w:rFonts w:cs="Arial"/>
          <w:szCs w:val="22"/>
          <w:lang w:val="en-US"/>
        </w:rPr>
        <w:t>.</w:t>
      </w:r>
    </w:p>
    <w:p w14:paraId="316CA9F6" w14:textId="77777777" w:rsidR="00285EF0" w:rsidRPr="002F3191" w:rsidRDefault="00285EF0" w:rsidP="00787E56">
      <w:pPr>
        <w:pStyle w:val="Heading3"/>
        <w:rPr>
          <w:sz w:val="28"/>
        </w:rPr>
      </w:pPr>
      <w:bookmarkStart w:id="1171" w:name="_Toc66881458"/>
      <w:bookmarkStart w:id="1172" w:name="_Toc66883084"/>
      <w:bookmarkStart w:id="1173" w:name="_Toc87614485"/>
      <w:bookmarkStart w:id="1174" w:name="_Toc87860124"/>
      <w:r w:rsidRPr="00C424BA">
        <w:t>Virulence and infectivity</w:t>
      </w:r>
      <w:bookmarkEnd w:id="1171"/>
      <w:bookmarkEnd w:id="1172"/>
      <w:bookmarkEnd w:id="1173"/>
      <w:bookmarkEnd w:id="1174"/>
    </w:p>
    <w:p w14:paraId="30C11131" w14:textId="77777777" w:rsidR="00285EF0" w:rsidRPr="005B27D5" w:rsidRDefault="00285EF0" w:rsidP="00285EF0">
      <w:pPr>
        <w:rPr>
          <w:rFonts w:cs="Arial"/>
          <w:szCs w:val="22"/>
        </w:rPr>
      </w:pPr>
      <w:r w:rsidRPr="005B27D5">
        <w:rPr>
          <w:rFonts w:cs="Arial"/>
          <w:szCs w:val="22"/>
        </w:rPr>
        <w:t xml:space="preserve">NoV virions are acid stable and survive passage through the stomach. The primary site of viral replication is thought to be the upper intestinal tract. It has been proposed that nausea and vomiting associated with NoV may result from abnormal gastric motor function, and diarrhoea may result from both epithelial barrier and secretory pathway dysfunction </w:t>
      </w:r>
      <w:r w:rsidRPr="005B27D5">
        <w:rPr>
          <w:rFonts w:cs="Arial"/>
          <w:noProof/>
          <w:szCs w:val="22"/>
        </w:rPr>
        <w:t>(Meeroff et al. 1980; Green 2013)</w:t>
      </w:r>
      <w:r w:rsidRPr="005B27D5">
        <w:rPr>
          <w:rFonts w:cs="Arial"/>
          <w:szCs w:val="22"/>
        </w:rPr>
        <w:t xml:space="preserve">. </w:t>
      </w:r>
    </w:p>
    <w:p w14:paraId="79BD61EF" w14:textId="77777777" w:rsidR="00285EF0" w:rsidRPr="005B27D5" w:rsidRDefault="00285EF0" w:rsidP="00285EF0">
      <w:pPr>
        <w:rPr>
          <w:rFonts w:cs="Arial"/>
          <w:szCs w:val="22"/>
        </w:rPr>
      </w:pPr>
    </w:p>
    <w:p w14:paraId="7163058F" w14:textId="06A8BEE0" w:rsidR="00285EF0" w:rsidRPr="005B27D5" w:rsidRDefault="00285EF0" w:rsidP="00285EF0">
      <w:pPr>
        <w:rPr>
          <w:rFonts w:cs="Arial"/>
          <w:szCs w:val="22"/>
        </w:rPr>
      </w:pPr>
      <w:r>
        <w:rPr>
          <w:rFonts w:cs="Arial"/>
          <w:szCs w:val="22"/>
        </w:rPr>
        <w:t xml:space="preserve">The infectivity of NoV is linked to the ability of the viral capsid to bind to receptors on host cells and subsequently to enter the host cell. </w:t>
      </w:r>
      <w:r w:rsidRPr="005B27D5">
        <w:rPr>
          <w:rFonts w:cs="Arial"/>
          <w:szCs w:val="22"/>
        </w:rPr>
        <w:t xml:space="preserve">The NoV capsid is predominantly constructed </w:t>
      </w:r>
      <w:r>
        <w:rPr>
          <w:rFonts w:cs="Arial"/>
          <w:szCs w:val="22"/>
        </w:rPr>
        <w:t>of a major structural protein,</w:t>
      </w:r>
      <w:r w:rsidRPr="005B27D5">
        <w:rPr>
          <w:rFonts w:cs="Arial"/>
          <w:szCs w:val="22"/>
        </w:rPr>
        <w:t xml:space="preserve"> VP1. Part of the VP1 protein protrudes from the capsid surface and has a role in binding to the ABO histo-blood group antigen receptor of host cells </w:t>
      </w:r>
      <w:r w:rsidRPr="005B27D5">
        <w:rPr>
          <w:rFonts w:cs="Arial"/>
          <w:noProof/>
          <w:szCs w:val="22"/>
        </w:rPr>
        <w:t>(Mattison 2011; Green 2013)</w:t>
      </w:r>
      <w:r w:rsidRPr="005B27D5">
        <w:rPr>
          <w:rFonts w:cs="Arial"/>
          <w:szCs w:val="22"/>
        </w:rPr>
        <w:t>.</w:t>
      </w:r>
      <w:r>
        <w:rPr>
          <w:rFonts w:cs="Arial"/>
          <w:szCs w:val="22"/>
        </w:rPr>
        <w:t xml:space="preserve"> The “</w:t>
      </w:r>
      <w:r>
        <w:rPr>
          <w:rFonts w:cs="Arial"/>
          <w:i/>
          <w:szCs w:val="22"/>
        </w:rPr>
        <w:t xml:space="preserve">host factors that influence disease” </w:t>
      </w:r>
      <w:r>
        <w:rPr>
          <w:rFonts w:cs="Arial"/>
          <w:szCs w:val="22"/>
        </w:rPr>
        <w:t>section presents further information on the role of histo-blood group antigens.</w:t>
      </w:r>
      <w:r w:rsidRPr="005B27D5">
        <w:rPr>
          <w:rFonts w:cs="Arial"/>
          <w:szCs w:val="22"/>
        </w:rPr>
        <w:t xml:space="preserve"> Mutations </w:t>
      </w:r>
      <w:r w:rsidRPr="005B27D5">
        <w:rPr>
          <w:rFonts w:cs="Arial"/>
          <w:szCs w:val="22"/>
          <w:lang w:val="en-US"/>
        </w:rPr>
        <w:t>in or near the viral receptor binding domain</w:t>
      </w:r>
      <w:r>
        <w:rPr>
          <w:rFonts w:cs="Arial"/>
          <w:szCs w:val="22"/>
          <w:lang w:val="en-US"/>
        </w:rPr>
        <w:t xml:space="preserve"> may </w:t>
      </w:r>
      <w:r w:rsidRPr="005B27D5">
        <w:rPr>
          <w:rFonts w:cs="Arial"/>
          <w:szCs w:val="22"/>
          <w:lang w:val="en-US"/>
        </w:rPr>
        <w:t>result in a newly evolved NoV strain that can bind to different host receptors</w:t>
      </w:r>
      <w:r>
        <w:rPr>
          <w:rFonts w:cs="Arial"/>
          <w:szCs w:val="22"/>
          <w:lang w:val="en-US"/>
        </w:rPr>
        <w:t>. This could enable</w:t>
      </w:r>
      <w:r w:rsidRPr="005B27D5">
        <w:rPr>
          <w:rFonts w:cs="Arial"/>
          <w:szCs w:val="22"/>
          <w:lang w:val="en-US"/>
        </w:rPr>
        <w:t xml:space="preserve"> the virus to infect a new subset of the population</w:t>
      </w:r>
      <w:r>
        <w:rPr>
          <w:rFonts w:cs="Arial"/>
          <w:szCs w:val="22"/>
          <w:lang w:val="en-US"/>
        </w:rPr>
        <w:t xml:space="preserve"> with a different ABO blood type</w:t>
      </w:r>
      <w:r w:rsidRPr="005B27D5">
        <w:rPr>
          <w:rFonts w:cs="Arial"/>
          <w:szCs w:val="22"/>
          <w:lang w:val="en-US"/>
        </w:rPr>
        <w:t xml:space="preserve">. </w:t>
      </w:r>
      <w:r>
        <w:rPr>
          <w:rFonts w:cs="Arial"/>
          <w:szCs w:val="22"/>
          <w:lang w:val="en-US"/>
        </w:rPr>
        <w:t>Mutations</w:t>
      </w:r>
      <w:r w:rsidRPr="005B27D5">
        <w:rPr>
          <w:rFonts w:cs="Arial"/>
          <w:szCs w:val="22"/>
          <w:lang w:val="en-US"/>
        </w:rPr>
        <w:t xml:space="preserve"> may also </w:t>
      </w:r>
      <w:r>
        <w:rPr>
          <w:rFonts w:cs="Arial"/>
          <w:szCs w:val="22"/>
          <w:lang w:val="en-US"/>
        </w:rPr>
        <w:t>inhibit</w:t>
      </w:r>
      <w:r w:rsidRPr="005B27D5">
        <w:rPr>
          <w:rFonts w:cs="Arial"/>
          <w:szCs w:val="22"/>
          <w:lang w:val="en-US"/>
        </w:rPr>
        <w:t xml:space="preserve"> the ability of host antibodies to bind </w:t>
      </w:r>
      <w:r>
        <w:rPr>
          <w:rFonts w:cs="Arial"/>
          <w:szCs w:val="22"/>
          <w:lang w:val="en-US"/>
        </w:rPr>
        <w:t xml:space="preserve">to </w:t>
      </w:r>
      <w:r w:rsidRPr="005B27D5">
        <w:rPr>
          <w:rFonts w:cs="Arial"/>
          <w:szCs w:val="22"/>
          <w:lang w:val="en-US"/>
        </w:rPr>
        <w:t>the new NoV variant strain, and so assist the virus to evade the host immune response. This evolution could be associated with the continued prevalence and emergence of new GII.4 strains worldwide</w:t>
      </w:r>
      <w:r>
        <w:rPr>
          <w:rFonts w:cs="Arial"/>
          <w:szCs w:val="22"/>
          <w:lang w:val="en-US"/>
        </w:rPr>
        <w:t>.</w:t>
      </w:r>
      <w:r w:rsidRPr="005B27D5">
        <w:rPr>
          <w:rFonts w:cs="Arial"/>
          <w:szCs w:val="22"/>
          <w:lang w:val="en-US"/>
        </w:rPr>
        <w:t xml:space="preserve"> </w:t>
      </w:r>
      <w:r>
        <w:rPr>
          <w:rFonts w:cs="Arial"/>
          <w:szCs w:val="22"/>
        </w:rPr>
        <w:t>V</w:t>
      </w:r>
      <w:r w:rsidRPr="005B27D5">
        <w:rPr>
          <w:rFonts w:cs="Arial"/>
          <w:szCs w:val="22"/>
        </w:rPr>
        <w:t>ari</w:t>
      </w:r>
      <w:r>
        <w:rPr>
          <w:rFonts w:cs="Arial"/>
          <w:szCs w:val="22"/>
        </w:rPr>
        <w:t>ant strains of GII.4 NoV emerge</w:t>
      </w:r>
      <w:r w:rsidRPr="005B27D5">
        <w:rPr>
          <w:rFonts w:cs="Arial"/>
          <w:szCs w:val="22"/>
        </w:rPr>
        <w:t xml:space="preserve"> every 2</w:t>
      </w:r>
      <w:r>
        <w:rPr>
          <w:rFonts w:cs="Arial"/>
          <w:szCs w:val="22"/>
        </w:rPr>
        <w:t xml:space="preserve"> </w:t>
      </w:r>
      <w:r w:rsidRPr="005B27D5">
        <w:rPr>
          <w:rFonts w:cs="Arial"/>
          <w:szCs w:val="22"/>
        </w:rPr>
        <w:t>–</w:t>
      </w:r>
      <w:r>
        <w:rPr>
          <w:rFonts w:cs="Arial"/>
          <w:szCs w:val="22"/>
        </w:rPr>
        <w:t xml:space="preserve"> </w:t>
      </w:r>
      <w:r w:rsidRPr="005B27D5">
        <w:rPr>
          <w:rFonts w:cs="Arial"/>
          <w:szCs w:val="22"/>
        </w:rPr>
        <w:t xml:space="preserve">10 years and </w:t>
      </w:r>
      <w:r>
        <w:rPr>
          <w:rFonts w:cs="Arial"/>
          <w:szCs w:val="22"/>
        </w:rPr>
        <w:t>have been</w:t>
      </w:r>
      <w:r w:rsidRPr="005B27D5">
        <w:rPr>
          <w:rFonts w:cs="Arial"/>
          <w:szCs w:val="22"/>
        </w:rPr>
        <w:t xml:space="preserve"> responsible for several pandemics </w:t>
      </w:r>
      <w:r>
        <w:rPr>
          <w:rFonts w:cs="Arial"/>
          <w:noProof/>
          <w:szCs w:val="22"/>
          <w:lang w:val="en-US"/>
        </w:rPr>
        <w:t>(Donaldson et al. 2008; Li</w:t>
      </w:r>
      <w:r w:rsidR="00DB681B">
        <w:rPr>
          <w:rFonts w:cs="Arial"/>
          <w:noProof/>
          <w:szCs w:val="22"/>
          <w:lang w:val="en-US"/>
        </w:rPr>
        <w:t>ndesmith et al. 2008; Sharps et </w:t>
      </w:r>
      <w:r>
        <w:rPr>
          <w:rFonts w:cs="Arial"/>
          <w:noProof/>
          <w:szCs w:val="22"/>
          <w:lang w:val="en-US"/>
        </w:rPr>
        <w:t>al. 2012; van Beek et al. 2013)</w:t>
      </w:r>
      <w:r w:rsidRPr="005B27D5">
        <w:rPr>
          <w:rFonts w:cs="Arial"/>
          <w:szCs w:val="22"/>
        </w:rPr>
        <w:t>.</w:t>
      </w:r>
    </w:p>
    <w:p w14:paraId="7ED922FA" w14:textId="77777777" w:rsidR="00285EF0" w:rsidRPr="002F3191" w:rsidRDefault="00285EF0" w:rsidP="00787E56">
      <w:pPr>
        <w:pStyle w:val="Heading3"/>
      </w:pPr>
      <w:bookmarkStart w:id="1175" w:name="_Toc66881459"/>
      <w:bookmarkStart w:id="1176" w:name="_Toc66883085"/>
      <w:bookmarkStart w:id="1177" w:name="_Toc87614486"/>
      <w:bookmarkStart w:id="1178" w:name="_Toc87860125"/>
      <w:r w:rsidRPr="00C424BA">
        <w:t>Mode of transmission</w:t>
      </w:r>
      <w:bookmarkEnd w:id="1175"/>
      <w:bookmarkEnd w:id="1176"/>
      <w:bookmarkEnd w:id="1177"/>
      <w:bookmarkEnd w:id="1178"/>
    </w:p>
    <w:p w14:paraId="6B1FBD8A" w14:textId="77777777" w:rsidR="00285EF0" w:rsidRPr="005B27D5" w:rsidRDefault="00285EF0" w:rsidP="00285EF0">
      <w:pPr>
        <w:rPr>
          <w:rFonts w:cs="Arial"/>
          <w:szCs w:val="22"/>
        </w:rPr>
      </w:pPr>
      <w:r w:rsidRPr="005B27D5">
        <w:rPr>
          <w:rFonts w:cs="Arial"/>
          <w:szCs w:val="22"/>
        </w:rPr>
        <w:t xml:space="preserve">NoV can be transmitted via the consumption of contaminated food or water, person-to-person contact, aerosolised vomit particles or contaminated surfaces. NoV is highly contagious and outbreaks frequently occur in semi-closed communities such as nursing homes, military settings, schools, hospitals and cruise ships </w:t>
      </w:r>
      <w:r w:rsidRPr="005B27D5">
        <w:rPr>
          <w:rFonts w:cs="Arial"/>
          <w:noProof/>
          <w:szCs w:val="22"/>
        </w:rPr>
        <w:t>(Karst 2010; Tuladhar et al. 2013)</w:t>
      </w:r>
      <w:r w:rsidRPr="005B27D5">
        <w:rPr>
          <w:rFonts w:cs="Arial"/>
          <w:szCs w:val="22"/>
        </w:rPr>
        <w:t xml:space="preserve">. Asymptomatic individuals can be involved in ‘silent’ transmission of the virus as both symptomatic and asymptomatic individuals shed similar quantities of NoV in their faeces </w:t>
      </w:r>
      <w:r w:rsidRPr="005B27D5">
        <w:rPr>
          <w:rFonts w:cs="Arial"/>
          <w:noProof/>
          <w:szCs w:val="22"/>
        </w:rPr>
        <w:t>(Ozawa et al. 2007)</w:t>
      </w:r>
      <w:r w:rsidRPr="005B27D5">
        <w:rPr>
          <w:rFonts w:cs="Arial"/>
          <w:szCs w:val="22"/>
        </w:rPr>
        <w:t>.</w:t>
      </w:r>
    </w:p>
    <w:p w14:paraId="3BB7468D" w14:textId="77777777" w:rsidR="00285EF0" w:rsidRPr="005B27D5" w:rsidRDefault="00285EF0" w:rsidP="00285EF0">
      <w:pPr>
        <w:rPr>
          <w:rFonts w:cs="Arial"/>
          <w:b/>
          <w:szCs w:val="22"/>
        </w:rPr>
      </w:pPr>
    </w:p>
    <w:p w14:paraId="011A6CF6" w14:textId="77777777" w:rsidR="00285EF0" w:rsidRPr="005B27D5" w:rsidRDefault="00285EF0" w:rsidP="00285EF0">
      <w:pPr>
        <w:rPr>
          <w:rFonts w:cs="Arial"/>
          <w:szCs w:val="22"/>
        </w:rPr>
      </w:pPr>
      <w:r w:rsidRPr="005B27D5">
        <w:rPr>
          <w:rFonts w:cs="Arial"/>
          <w:szCs w:val="22"/>
        </w:rPr>
        <w:t>Zoonotic transmission of NoV cannot be completely discounted</w:t>
      </w:r>
      <w:r>
        <w:rPr>
          <w:rFonts w:cs="Arial"/>
          <w:szCs w:val="22"/>
        </w:rPr>
        <w:t>; however</w:t>
      </w:r>
      <w:r w:rsidRPr="005B27D5">
        <w:rPr>
          <w:rFonts w:cs="Arial"/>
          <w:szCs w:val="22"/>
        </w:rPr>
        <w:t xml:space="preserve"> no animal NoV strains have been detected in human samples </w:t>
      </w:r>
      <w:r w:rsidRPr="005B27D5">
        <w:rPr>
          <w:rFonts w:cs="Arial"/>
          <w:noProof/>
          <w:szCs w:val="22"/>
        </w:rPr>
        <w:t>(Bank-Wolf et al. 2010)</w:t>
      </w:r>
      <w:r w:rsidRPr="005B27D5">
        <w:rPr>
          <w:rFonts w:cs="Arial"/>
          <w:szCs w:val="22"/>
        </w:rPr>
        <w:t xml:space="preserve">. </w:t>
      </w:r>
    </w:p>
    <w:p w14:paraId="6DD2D5C2" w14:textId="77777777" w:rsidR="00285EF0" w:rsidRPr="005B27D5" w:rsidRDefault="00285EF0" w:rsidP="00285EF0">
      <w:pPr>
        <w:rPr>
          <w:rFonts w:cs="Arial"/>
          <w:szCs w:val="22"/>
        </w:rPr>
      </w:pPr>
    </w:p>
    <w:p w14:paraId="4C5F5CC0" w14:textId="77777777" w:rsidR="00285EF0" w:rsidRPr="005B27D5" w:rsidRDefault="00285EF0" w:rsidP="00285EF0">
      <w:pPr>
        <w:rPr>
          <w:rFonts w:cs="Arial"/>
          <w:szCs w:val="22"/>
        </w:rPr>
      </w:pPr>
      <w:r w:rsidRPr="005B27D5">
        <w:rPr>
          <w:rFonts w:cs="Arial"/>
          <w:szCs w:val="22"/>
        </w:rPr>
        <w:t xml:space="preserve">NoV can be transferred between fomites, hands and food. Sharps et al. </w:t>
      </w:r>
      <w:r w:rsidRPr="005B27D5">
        <w:rPr>
          <w:rFonts w:cs="Arial"/>
          <w:noProof/>
          <w:szCs w:val="22"/>
        </w:rPr>
        <w:t>(2012)</w:t>
      </w:r>
      <w:r w:rsidRPr="005B27D5">
        <w:rPr>
          <w:rFonts w:cs="Arial"/>
          <w:szCs w:val="22"/>
        </w:rPr>
        <w:t xml:space="preserve"> </w:t>
      </w:r>
      <w:r>
        <w:rPr>
          <w:rFonts w:cs="Arial"/>
          <w:szCs w:val="22"/>
        </w:rPr>
        <w:t>showed that 58% of</w:t>
      </w:r>
      <w:r w:rsidRPr="005B27D5">
        <w:rPr>
          <w:rFonts w:cs="Arial"/>
          <w:szCs w:val="22"/>
        </w:rPr>
        <w:t xml:space="preserve"> NoV </w:t>
      </w:r>
      <w:r>
        <w:rPr>
          <w:rFonts w:cs="Arial"/>
          <w:szCs w:val="22"/>
        </w:rPr>
        <w:t xml:space="preserve">was </w:t>
      </w:r>
      <w:r w:rsidRPr="005B27D5">
        <w:rPr>
          <w:rFonts w:cs="Arial"/>
          <w:szCs w:val="22"/>
        </w:rPr>
        <w:t xml:space="preserve">transferred from artificially inoculated gloved fingertips to </w:t>
      </w:r>
      <w:r>
        <w:rPr>
          <w:rFonts w:cs="Arial"/>
          <w:szCs w:val="22"/>
        </w:rPr>
        <w:t>food contact surfaces (</w:t>
      </w:r>
      <w:r w:rsidRPr="005B27D5">
        <w:rPr>
          <w:rFonts w:cs="Arial"/>
          <w:szCs w:val="22"/>
        </w:rPr>
        <w:t>stainless steel</w:t>
      </w:r>
      <w:r>
        <w:rPr>
          <w:rFonts w:cs="Arial"/>
          <w:szCs w:val="22"/>
        </w:rPr>
        <w:t xml:space="preserve">) under wet conditions. </w:t>
      </w:r>
      <w:r w:rsidRPr="005B27D5">
        <w:rPr>
          <w:rFonts w:cs="Arial"/>
          <w:szCs w:val="22"/>
        </w:rPr>
        <w:t xml:space="preserve">Conversely, Tuladhar et al. </w:t>
      </w:r>
      <w:r w:rsidRPr="005B27D5">
        <w:rPr>
          <w:rFonts w:cs="Arial"/>
          <w:noProof/>
          <w:szCs w:val="22"/>
        </w:rPr>
        <w:t>(2013)</w:t>
      </w:r>
      <w:r w:rsidRPr="005B27D5">
        <w:rPr>
          <w:rFonts w:cs="Arial"/>
          <w:szCs w:val="22"/>
        </w:rPr>
        <w:t xml:space="preserve"> demonstrated that when clean finger pads were pressed onto artificially inoculated stainless steel 4.2% of GI.4 NoV strain and 3.5% of GII.4 NoV strain </w:t>
      </w:r>
      <w:r>
        <w:rPr>
          <w:rFonts w:cs="Arial"/>
          <w:szCs w:val="22"/>
        </w:rPr>
        <w:t>were</w:t>
      </w:r>
      <w:r w:rsidRPr="005B27D5">
        <w:rPr>
          <w:rFonts w:cs="Arial"/>
          <w:szCs w:val="22"/>
        </w:rPr>
        <w:t xml:space="preserve"> transferred from the stainless steel to the finger pads.</w:t>
      </w:r>
    </w:p>
    <w:p w14:paraId="01761F13" w14:textId="77777777" w:rsidR="00285EF0" w:rsidRPr="005B27D5" w:rsidRDefault="00285EF0" w:rsidP="00285EF0">
      <w:pPr>
        <w:rPr>
          <w:rFonts w:cs="Arial"/>
          <w:szCs w:val="22"/>
        </w:rPr>
      </w:pPr>
    </w:p>
    <w:p w14:paraId="2B92CFE7" w14:textId="77777777" w:rsidR="00285EF0" w:rsidRPr="005B27D5" w:rsidRDefault="00285EF0" w:rsidP="00285EF0">
      <w:pPr>
        <w:rPr>
          <w:rFonts w:cs="Arial"/>
          <w:szCs w:val="22"/>
        </w:rPr>
      </w:pPr>
      <w:r w:rsidRPr="005B27D5">
        <w:rPr>
          <w:rFonts w:cs="Arial"/>
          <w:szCs w:val="22"/>
        </w:rPr>
        <w:t>The level of NoV transfer is reduced when the virus is left to dry</w:t>
      </w:r>
      <w:r>
        <w:rPr>
          <w:rFonts w:cs="Arial"/>
          <w:szCs w:val="22"/>
        </w:rPr>
        <w:t>,</w:t>
      </w:r>
      <w:r w:rsidRPr="005B27D5">
        <w:rPr>
          <w:rFonts w:cs="Arial"/>
          <w:szCs w:val="22"/>
        </w:rPr>
        <w:t xml:space="preserve"> compared to a freshly inoculated surface. For example, D’Souza et al. </w:t>
      </w:r>
      <w:r w:rsidRPr="005B27D5">
        <w:rPr>
          <w:rFonts w:cs="Arial"/>
          <w:noProof/>
          <w:szCs w:val="22"/>
        </w:rPr>
        <w:t>(2006)</w:t>
      </w:r>
      <w:r w:rsidRPr="005B27D5">
        <w:rPr>
          <w:rFonts w:cs="Arial"/>
          <w:szCs w:val="22"/>
        </w:rPr>
        <w:t xml:space="preserve"> showed that when lettuce samples were place</w:t>
      </w:r>
      <w:r>
        <w:rPr>
          <w:rFonts w:cs="Arial"/>
          <w:szCs w:val="22"/>
        </w:rPr>
        <w:t>d</w:t>
      </w:r>
      <w:r w:rsidRPr="005B27D5">
        <w:rPr>
          <w:rFonts w:cs="Arial"/>
          <w:szCs w:val="22"/>
        </w:rPr>
        <w:t xml:space="preserve"> onto freshly </w:t>
      </w:r>
      <w:r>
        <w:rPr>
          <w:rFonts w:cs="Arial"/>
          <w:szCs w:val="22"/>
        </w:rPr>
        <w:t>inoculated stainless steel,</w:t>
      </w:r>
      <w:r w:rsidRPr="005B27D5">
        <w:rPr>
          <w:rFonts w:cs="Arial"/>
          <w:szCs w:val="22"/>
        </w:rPr>
        <w:t xml:space="preserve"> NoV was transferred to 94% of lettuce samples (n=18). However, when NoV was dried onto the stainless steel for at least 30 </w:t>
      </w:r>
      <w:r>
        <w:rPr>
          <w:rFonts w:cs="Arial"/>
          <w:szCs w:val="22"/>
        </w:rPr>
        <w:t>minutes prior to application,</w:t>
      </w:r>
      <w:r w:rsidRPr="005B27D5">
        <w:rPr>
          <w:rFonts w:cs="Arial"/>
          <w:szCs w:val="22"/>
        </w:rPr>
        <w:t xml:space="preserve"> NoV only transferred to 72% of wet lettuce samples (n=18) and no transfer occurred for dry lettuce samples (n=18). </w:t>
      </w:r>
    </w:p>
    <w:p w14:paraId="3A3EAD02" w14:textId="77777777" w:rsidR="00285EF0" w:rsidRPr="005B27D5" w:rsidRDefault="00285EF0" w:rsidP="00285EF0">
      <w:pPr>
        <w:rPr>
          <w:rFonts w:cs="Arial"/>
          <w:szCs w:val="22"/>
        </w:rPr>
      </w:pPr>
    </w:p>
    <w:p w14:paraId="117FEDC6" w14:textId="77777777" w:rsidR="00285EF0" w:rsidRDefault="00285EF0" w:rsidP="00285EF0">
      <w:pPr>
        <w:rPr>
          <w:rFonts w:cs="Arial"/>
          <w:szCs w:val="22"/>
        </w:rPr>
      </w:pPr>
      <w:r w:rsidRPr="005B27D5">
        <w:rPr>
          <w:rFonts w:cs="Arial"/>
          <w:szCs w:val="22"/>
        </w:rPr>
        <w:t xml:space="preserve">Infected food handlers have been associated with NoV outbreaks. For example, Boxman et al. </w:t>
      </w:r>
      <w:r w:rsidRPr="005B27D5">
        <w:rPr>
          <w:rFonts w:cs="Arial"/>
          <w:noProof/>
          <w:szCs w:val="22"/>
        </w:rPr>
        <w:t>(2009)</w:t>
      </w:r>
      <w:r w:rsidRPr="005B27D5">
        <w:rPr>
          <w:rFonts w:cs="Arial"/>
          <w:szCs w:val="22"/>
        </w:rPr>
        <w:t xml:space="preserve"> described an outbreak where GI.6 NoV was detected on the hands of a food handler working in a restaurant associated with the outbreak. GI.6 NoV is a rare strain and matched the virus isolated from stools of people who became ill and environmental swabs of the restaurant’s kitchen and bathroom surfaces.</w:t>
      </w:r>
    </w:p>
    <w:p w14:paraId="73D17E06" w14:textId="77777777" w:rsidR="00285EF0" w:rsidRDefault="00285EF0" w:rsidP="00285EF0">
      <w:pPr>
        <w:rPr>
          <w:rFonts w:cs="Arial"/>
          <w:szCs w:val="22"/>
        </w:rPr>
      </w:pPr>
    </w:p>
    <w:p w14:paraId="46DC95C1" w14:textId="77777777" w:rsidR="00285EF0" w:rsidRPr="005B27D5" w:rsidRDefault="00285EF0" w:rsidP="00285EF0">
      <w:pPr>
        <w:rPr>
          <w:rFonts w:cs="Arial"/>
          <w:szCs w:val="22"/>
        </w:rPr>
      </w:pPr>
      <w:r w:rsidRPr="005B27D5">
        <w:rPr>
          <w:rFonts w:cs="Arial"/>
          <w:szCs w:val="22"/>
        </w:rPr>
        <w:t xml:space="preserve">There have been multiple NoV outbreaks associated with asymptomatic food handlers who shed NoV in their stools yet had no gastrointestinal symptoms </w:t>
      </w:r>
      <w:r w:rsidRPr="005B27D5">
        <w:rPr>
          <w:rFonts w:cs="Arial"/>
          <w:noProof/>
          <w:szCs w:val="22"/>
        </w:rPr>
        <w:t>(Barrabeig et al. 2010; Nicolay et al. 2011)</w:t>
      </w:r>
      <w:r>
        <w:rPr>
          <w:rFonts w:cs="Arial"/>
          <w:szCs w:val="22"/>
        </w:rPr>
        <w:t>. F</w:t>
      </w:r>
      <w:r w:rsidRPr="005B27D5">
        <w:rPr>
          <w:rFonts w:cs="Arial"/>
          <w:szCs w:val="22"/>
        </w:rPr>
        <w:t xml:space="preserve">ood handlers with asymptomatic NoV infection not associated with </w:t>
      </w:r>
      <w:r>
        <w:rPr>
          <w:rFonts w:cs="Arial"/>
          <w:szCs w:val="22"/>
        </w:rPr>
        <w:t xml:space="preserve">transmitting disease during an outbreak have been reported at low prevalence: </w:t>
      </w:r>
      <w:r w:rsidRPr="005B27D5">
        <w:rPr>
          <w:rFonts w:cs="Arial"/>
          <w:szCs w:val="22"/>
        </w:rPr>
        <w:t>1.0% in food catering facilities in South</w:t>
      </w:r>
      <w:r>
        <w:rPr>
          <w:rFonts w:cs="Arial"/>
          <w:szCs w:val="22"/>
        </w:rPr>
        <w:t xml:space="preserve"> Korea (n=6,441) </w:t>
      </w:r>
      <w:r w:rsidRPr="005B27D5">
        <w:rPr>
          <w:rFonts w:cs="Arial"/>
          <w:noProof/>
          <w:szCs w:val="22"/>
        </w:rPr>
        <w:t>(Jeong et al. 2012)</w:t>
      </w:r>
      <w:r w:rsidRPr="005B27D5">
        <w:rPr>
          <w:rFonts w:cs="Arial"/>
          <w:szCs w:val="22"/>
        </w:rPr>
        <w:t>, 3.4% in elem</w:t>
      </w:r>
      <w:r>
        <w:rPr>
          <w:rFonts w:cs="Arial"/>
          <w:szCs w:val="22"/>
        </w:rPr>
        <w:t xml:space="preserve">entary schools in Korea (n=776) </w:t>
      </w:r>
      <w:r w:rsidRPr="005B27D5">
        <w:rPr>
          <w:rFonts w:cs="Arial"/>
          <w:noProof/>
          <w:szCs w:val="22"/>
        </w:rPr>
        <w:t>(Yu et al. 2011)</w:t>
      </w:r>
      <w:r w:rsidRPr="005B27D5">
        <w:rPr>
          <w:rFonts w:cs="Arial"/>
          <w:szCs w:val="22"/>
        </w:rPr>
        <w:t xml:space="preserve"> </w:t>
      </w:r>
      <w:r>
        <w:rPr>
          <w:rFonts w:cs="Arial"/>
          <w:szCs w:val="22"/>
        </w:rPr>
        <w:t xml:space="preserve">and </w:t>
      </w:r>
      <w:r w:rsidRPr="005B27D5">
        <w:rPr>
          <w:rFonts w:cs="Arial"/>
          <w:szCs w:val="22"/>
        </w:rPr>
        <w:t>11.9% at a catering facility in Japan (n=159)</w:t>
      </w:r>
      <w:r>
        <w:rPr>
          <w:rFonts w:cs="Arial"/>
          <w:szCs w:val="22"/>
        </w:rPr>
        <w:t xml:space="preserve"> </w:t>
      </w:r>
      <w:r w:rsidRPr="005B27D5">
        <w:rPr>
          <w:rFonts w:cs="Arial"/>
          <w:noProof/>
          <w:szCs w:val="22"/>
        </w:rPr>
        <w:t>(Okabayashi et al. 2008)</w:t>
      </w:r>
      <w:r w:rsidRPr="005B27D5">
        <w:rPr>
          <w:rFonts w:cs="Arial"/>
          <w:szCs w:val="22"/>
        </w:rPr>
        <w:t>.</w:t>
      </w:r>
    </w:p>
    <w:p w14:paraId="1769E468" w14:textId="77777777" w:rsidR="00285EF0" w:rsidRPr="005B27D5" w:rsidRDefault="00285EF0" w:rsidP="00285EF0">
      <w:pPr>
        <w:rPr>
          <w:rFonts w:cs="Arial"/>
          <w:szCs w:val="22"/>
        </w:rPr>
      </w:pPr>
    </w:p>
    <w:p w14:paraId="692B8C82" w14:textId="77777777" w:rsidR="00E94ED2" w:rsidRDefault="00E94ED2">
      <w:pPr>
        <w:widowControl/>
        <w:rPr>
          <w:rFonts w:cs="Arial"/>
          <w:szCs w:val="22"/>
        </w:rPr>
      </w:pPr>
      <w:r>
        <w:rPr>
          <w:rFonts w:cs="Arial"/>
          <w:szCs w:val="22"/>
        </w:rPr>
        <w:br w:type="page"/>
      </w:r>
    </w:p>
    <w:p w14:paraId="546C34B5" w14:textId="2C23817E" w:rsidR="00285EF0" w:rsidRPr="005B27D5" w:rsidRDefault="00285EF0" w:rsidP="00285EF0">
      <w:pPr>
        <w:rPr>
          <w:rFonts w:cs="Arial"/>
          <w:szCs w:val="22"/>
        </w:rPr>
      </w:pPr>
      <w:r>
        <w:rPr>
          <w:rFonts w:cs="Arial"/>
          <w:szCs w:val="22"/>
        </w:rPr>
        <w:t>Therefore, a</w:t>
      </w:r>
      <w:r w:rsidRPr="005B27D5">
        <w:rPr>
          <w:rFonts w:cs="Arial"/>
          <w:szCs w:val="22"/>
        </w:rPr>
        <w:t xml:space="preserve">ppropriate hand hygiene is very important in order to control transmission </w:t>
      </w:r>
      <w:r>
        <w:rPr>
          <w:rFonts w:cs="Arial"/>
          <w:szCs w:val="22"/>
        </w:rPr>
        <w:t xml:space="preserve">and </w:t>
      </w:r>
      <w:r w:rsidRPr="005B27D5">
        <w:rPr>
          <w:rFonts w:cs="Arial"/>
          <w:szCs w:val="22"/>
        </w:rPr>
        <w:t xml:space="preserve">prevent NoV infection. A study by Liu </w:t>
      </w:r>
      <w:r w:rsidRPr="005B27D5">
        <w:rPr>
          <w:rFonts w:cs="Arial"/>
          <w:noProof/>
          <w:szCs w:val="22"/>
        </w:rPr>
        <w:t>(2010)</w:t>
      </w:r>
      <w:r w:rsidRPr="005B27D5">
        <w:rPr>
          <w:rFonts w:cs="Arial"/>
          <w:szCs w:val="22"/>
        </w:rPr>
        <w:t xml:space="preserve"> demonstrated that liquid soap treatment or rinsing with water yielded the greatest reduction in the level of </w:t>
      </w:r>
      <w:r>
        <w:rPr>
          <w:rFonts w:cs="Arial"/>
          <w:szCs w:val="22"/>
        </w:rPr>
        <w:t>NoV</w:t>
      </w:r>
      <w:r w:rsidRPr="005B27D5">
        <w:rPr>
          <w:rFonts w:cs="Arial"/>
          <w:szCs w:val="22"/>
        </w:rPr>
        <w:t xml:space="preserve"> contamination on hands. The alcohol based hand sanitiser was relatively ineffective against the non-enveloped </w:t>
      </w:r>
      <w:r>
        <w:rPr>
          <w:rFonts w:cs="Arial"/>
          <w:szCs w:val="22"/>
        </w:rPr>
        <w:t>NoV</w:t>
      </w:r>
      <w:r w:rsidRPr="005B27D5">
        <w:rPr>
          <w:rFonts w:cs="Arial"/>
          <w:szCs w:val="22"/>
        </w:rPr>
        <w:t xml:space="preserve"> (ethanol based hand sanitisers are more effective against enveloped viruses such as influenza and herpes simplex viruses). As such</w:t>
      </w:r>
      <w:r>
        <w:rPr>
          <w:rFonts w:cs="Arial"/>
          <w:szCs w:val="22"/>
        </w:rPr>
        <w:t>,</w:t>
      </w:r>
      <w:r w:rsidRPr="005B27D5">
        <w:rPr>
          <w:rFonts w:cs="Arial"/>
          <w:szCs w:val="22"/>
        </w:rPr>
        <w:t xml:space="preserve"> the CDC </w:t>
      </w:r>
      <w:r w:rsidRPr="005B27D5">
        <w:rPr>
          <w:rFonts w:cs="Arial"/>
          <w:noProof/>
          <w:szCs w:val="22"/>
        </w:rPr>
        <w:t>(2011)</w:t>
      </w:r>
      <w:r w:rsidRPr="005B27D5">
        <w:rPr>
          <w:rFonts w:cs="Arial"/>
          <w:szCs w:val="22"/>
        </w:rPr>
        <w:t xml:space="preserve"> recommends thorough handwashing with running water and soap as the best method to remove NoV from hands.</w:t>
      </w:r>
    </w:p>
    <w:p w14:paraId="562EF62B" w14:textId="77777777" w:rsidR="00285EF0" w:rsidRPr="002F3191" w:rsidRDefault="00285EF0" w:rsidP="00787E56">
      <w:pPr>
        <w:pStyle w:val="Heading3"/>
      </w:pPr>
      <w:bookmarkStart w:id="1179" w:name="_Toc66881460"/>
      <w:bookmarkStart w:id="1180" w:name="_Toc66883086"/>
      <w:bookmarkStart w:id="1181" w:name="_Toc87614487"/>
      <w:bookmarkStart w:id="1182" w:name="_Toc87860126"/>
      <w:r w:rsidRPr="00C424BA">
        <w:t>Incidence of illness and outbreak data</w:t>
      </w:r>
      <w:bookmarkEnd w:id="1179"/>
      <w:bookmarkEnd w:id="1180"/>
      <w:bookmarkEnd w:id="1181"/>
      <w:bookmarkEnd w:id="1182"/>
      <w:r w:rsidRPr="00C424BA">
        <w:rPr>
          <w:color w:val="008080"/>
        </w:rPr>
        <w:tab/>
      </w:r>
    </w:p>
    <w:p w14:paraId="62A6B778" w14:textId="77777777" w:rsidR="00285EF0" w:rsidRDefault="00285EF0" w:rsidP="00285EF0">
      <w:pPr>
        <w:rPr>
          <w:rFonts w:cs="Arial"/>
          <w:szCs w:val="22"/>
        </w:rPr>
      </w:pPr>
      <w:r w:rsidRPr="0058363C">
        <w:rPr>
          <w:rFonts w:cs="Arial"/>
          <w:szCs w:val="22"/>
        </w:rPr>
        <w:t xml:space="preserve">NoV is not a notifiable disease in Australia. It has been estimated that </w:t>
      </w:r>
      <w:r>
        <w:rPr>
          <w:rFonts w:cs="Arial"/>
          <w:szCs w:val="22"/>
        </w:rPr>
        <w:t>18% of NoV infections in Australia are foodborne, with</w:t>
      </w:r>
      <w:r w:rsidRPr="0058363C">
        <w:rPr>
          <w:rFonts w:cs="Arial"/>
          <w:szCs w:val="22"/>
        </w:rPr>
        <w:t xml:space="preserve"> 276,000 cases of foodborne gastroenteritis associated with NoV annually in Australia</w:t>
      </w:r>
      <w:r>
        <w:rPr>
          <w:rFonts w:cs="Arial"/>
          <w:szCs w:val="22"/>
        </w:rPr>
        <w:t>. This</w:t>
      </w:r>
      <w:r w:rsidRPr="0058363C">
        <w:rPr>
          <w:rFonts w:cs="Arial"/>
          <w:szCs w:val="22"/>
        </w:rPr>
        <w:t xml:space="preserve"> </w:t>
      </w:r>
      <w:r>
        <w:rPr>
          <w:rFonts w:cs="Arial"/>
          <w:szCs w:val="22"/>
        </w:rPr>
        <w:t>comprises</w:t>
      </w:r>
      <w:r w:rsidRPr="0058363C">
        <w:rPr>
          <w:rFonts w:cs="Arial"/>
          <w:szCs w:val="22"/>
        </w:rPr>
        <w:t xml:space="preserve"> approximately a third of </w:t>
      </w:r>
      <w:r>
        <w:rPr>
          <w:rFonts w:cs="Arial"/>
          <w:szCs w:val="22"/>
        </w:rPr>
        <w:t xml:space="preserve">the cases of </w:t>
      </w:r>
      <w:r w:rsidRPr="0058363C">
        <w:rPr>
          <w:rFonts w:cs="Arial"/>
          <w:szCs w:val="22"/>
        </w:rPr>
        <w:t>foodborne illness caused by known pathogens</w:t>
      </w:r>
      <w:r>
        <w:rPr>
          <w:rFonts w:cs="Arial"/>
          <w:szCs w:val="22"/>
        </w:rPr>
        <w:t xml:space="preserve"> </w:t>
      </w:r>
      <w:r w:rsidRPr="0058363C">
        <w:rPr>
          <w:rFonts w:cs="Arial"/>
          <w:noProof/>
          <w:szCs w:val="22"/>
        </w:rPr>
        <w:t>(Kirk et al. 2014)</w:t>
      </w:r>
      <w:r w:rsidRPr="0058363C">
        <w:rPr>
          <w:rFonts w:cs="Arial"/>
          <w:szCs w:val="22"/>
        </w:rPr>
        <w:t xml:space="preserve">. </w:t>
      </w:r>
      <w:r>
        <w:rPr>
          <w:rFonts w:cs="Arial"/>
          <w:szCs w:val="22"/>
        </w:rPr>
        <w:t xml:space="preserve">In New Zealand, NoV caused 23% and 16.5% of foodborne outbreaks reported in 2015 and 2014, respectively </w:t>
      </w:r>
      <w:r>
        <w:rPr>
          <w:rFonts w:cs="Arial"/>
          <w:noProof/>
          <w:szCs w:val="22"/>
        </w:rPr>
        <w:t>(Horn et al. 2015; Lopez et al. 2016)</w:t>
      </w:r>
      <w:r>
        <w:rPr>
          <w:rFonts w:cs="Arial"/>
          <w:szCs w:val="22"/>
        </w:rPr>
        <w:t>.</w:t>
      </w:r>
    </w:p>
    <w:p w14:paraId="30D96D5B" w14:textId="77777777" w:rsidR="00285EF0" w:rsidRPr="0058363C" w:rsidRDefault="00285EF0" w:rsidP="00285EF0">
      <w:pPr>
        <w:rPr>
          <w:rFonts w:cs="Arial"/>
          <w:szCs w:val="22"/>
        </w:rPr>
      </w:pPr>
    </w:p>
    <w:p w14:paraId="20451214" w14:textId="4F5DC8C6" w:rsidR="00285EF0" w:rsidRPr="005B27D5" w:rsidRDefault="00285EF0" w:rsidP="00285EF0">
      <w:pPr>
        <w:rPr>
          <w:rFonts w:cs="Arial"/>
          <w:szCs w:val="22"/>
        </w:rPr>
      </w:pPr>
      <w:r>
        <w:rPr>
          <w:rFonts w:cs="Arial"/>
          <w:szCs w:val="22"/>
        </w:rPr>
        <w:t xml:space="preserve">In Europe in 2015, NoV caused 9% of foodborne outbreaks and 26.6% of cases of illness associated with foodborne outbreaks where a link to the implicated food could be established based on strong evidence. This was similar to 2014 when NoV caused 13% of foodborne outbreaks and 28.9% of cases of illness associated with foodborne outbreaks supported by strong evidence </w:t>
      </w:r>
      <w:r>
        <w:rPr>
          <w:rFonts w:cs="Arial"/>
          <w:noProof/>
          <w:szCs w:val="22"/>
        </w:rPr>
        <w:t>(EFSA 2015; EFSA 2016)</w:t>
      </w:r>
      <w:r>
        <w:rPr>
          <w:rFonts w:cs="Arial"/>
          <w:szCs w:val="22"/>
        </w:rPr>
        <w:t xml:space="preserve">. </w:t>
      </w:r>
      <w:r w:rsidRPr="005B27D5">
        <w:rPr>
          <w:rFonts w:cs="Arial"/>
          <w:szCs w:val="22"/>
        </w:rPr>
        <w:t xml:space="preserve">In the Netherlands it has been estimated that in 2009 there were 662 gastroenteritis cases </w:t>
      </w:r>
      <w:r w:rsidR="00DB681B">
        <w:rPr>
          <w:rFonts w:cs="Arial"/>
          <w:szCs w:val="22"/>
        </w:rPr>
        <w:t>per 100,000 population and 0.07 </w:t>
      </w:r>
      <w:r w:rsidRPr="005B27D5">
        <w:rPr>
          <w:rFonts w:cs="Arial"/>
          <w:szCs w:val="22"/>
        </w:rPr>
        <w:t>fatalitie</w:t>
      </w:r>
      <w:r>
        <w:rPr>
          <w:rFonts w:cs="Arial"/>
          <w:szCs w:val="22"/>
        </w:rPr>
        <w:t>s per 100,000 </w:t>
      </w:r>
      <w:r w:rsidRPr="005B27D5">
        <w:rPr>
          <w:rFonts w:cs="Arial"/>
          <w:szCs w:val="22"/>
        </w:rPr>
        <w:t xml:space="preserve">population attributed to foodborne NoV infection </w:t>
      </w:r>
      <w:r w:rsidRPr="005B27D5">
        <w:rPr>
          <w:rFonts w:cs="Arial"/>
          <w:noProof/>
          <w:szCs w:val="22"/>
        </w:rPr>
        <w:t>(Verhoef et al. 2013)</w:t>
      </w:r>
      <w:r w:rsidRPr="005B27D5">
        <w:rPr>
          <w:rFonts w:cs="Arial"/>
          <w:szCs w:val="22"/>
        </w:rPr>
        <w:t>.</w:t>
      </w:r>
    </w:p>
    <w:p w14:paraId="14D350D3" w14:textId="77777777" w:rsidR="00285EF0" w:rsidRPr="005B27D5" w:rsidRDefault="00285EF0" w:rsidP="00285EF0">
      <w:pPr>
        <w:rPr>
          <w:rFonts w:cs="Arial"/>
          <w:szCs w:val="22"/>
        </w:rPr>
      </w:pPr>
    </w:p>
    <w:p w14:paraId="09D0740A" w14:textId="0BEA0204" w:rsidR="00285EF0" w:rsidRPr="005B27D5" w:rsidRDefault="00285EF0" w:rsidP="00285EF0">
      <w:pPr>
        <w:rPr>
          <w:rFonts w:cs="Arial"/>
          <w:szCs w:val="22"/>
        </w:rPr>
      </w:pPr>
      <w:r w:rsidRPr="005B27D5">
        <w:rPr>
          <w:rFonts w:cs="Arial"/>
          <w:szCs w:val="22"/>
        </w:rPr>
        <w:t xml:space="preserve">In the United States (US) it </w:t>
      </w:r>
      <w:r>
        <w:rPr>
          <w:rFonts w:cs="Arial"/>
          <w:szCs w:val="22"/>
        </w:rPr>
        <w:t>was</w:t>
      </w:r>
      <w:r w:rsidRPr="005B27D5">
        <w:rPr>
          <w:rFonts w:cs="Arial"/>
          <w:szCs w:val="22"/>
        </w:rPr>
        <w:t xml:space="preserve"> estimated that NoV accounts for 58% of </w:t>
      </w:r>
      <w:r>
        <w:rPr>
          <w:rFonts w:cs="Arial"/>
          <w:szCs w:val="22"/>
        </w:rPr>
        <w:t xml:space="preserve">cases of </w:t>
      </w:r>
      <w:r w:rsidRPr="005B27D5">
        <w:rPr>
          <w:rFonts w:cs="Arial"/>
          <w:szCs w:val="22"/>
        </w:rPr>
        <w:t>foodborne illness</w:t>
      </w:r>
      <w:r>
        <w:rPr>
          <w:rFonts w:cs="Arial"/>
          <w:szCs w:val="22"/>
        </w:rPr>
        <w:t xml:space="preserve"> </w:t>
      </w:r>
      <w:r w:rsidRPr="005B27D5">
        <w:rPr>
          <w:rFonts w:cs="Arial"/>
          <w:szCs w:val="22"/>
        </w:rPr>
        <w:t xml:space="preserve">caused by 31 major pathogens </w:t>
      </w:r>
      <w:r w:rsidRPr="005B27D5">
        <w:rPr>
          <w:rFonts w:cs="Arial"/>
          <w:noProof/>
          <w:szCs w:val="22"/>
        </w:rPr>
        <w:t>(Scallan et al. 2011)</w:t>
      </w:r>
      <w:r w:rsidRPr="005B27D5">
        <w:rPr>
          <w:rFonts w:cs="Arial"/>
          <w:szCs w:val="22"/>
        </w:rPr>
        <w:t xml:space="preserve">. In 2009–2010 NoV was detected in 21% of children under the age of five </w:t>
      </w:r>
      <w:r>
        <w:rPr>
          <w:rFonts w:cs="Arial"/>
          <w:szCs w:val="22"/>
        </w:rPr>
        <w:t xml:space="preserve">who sought </w:t>
      </w:r>
      <w:r w:rsidRPr="005B27D5">
        <w:rPr>
          <w:rFonts w:cs="Arial"/>
          <w:szCs w:val="22"/>
        </w:rPr>
        <w:t xml:space="preserve">medical attention for acute gastroenteritis (n=1295), although this included both foodborne and non-foodborne cases </w:t>
      </w:r>
      <w:r w:rsidRPr="005B27D5">
        <w:rPr>
          <w:rFonts w:cs="Arial"/>
          <w:noProof/>
          <w:szCs w:val="22"/>
        </w:rPr>
        <w:t>(Payne et al. 2013)</w:t>
      </w:r>
      <w:r w:rsidRPr="005B27D5">
        <w:rPr>
          <w:rFonts w:cs="Arial"/>
          <w:szCs w:val="22"/>
        </w:rPr>
        <w:t>.</w:t>
      </w:r>
    </w:p>
    <w:p w14:paraId="1D005EC1" w14:textId="77777777" w:rsidR="00285EF0" w:rsidRPr="005B27D5" w:rsidRDefault="00285EF0" w:rsidP="00285EF0">
      <w:pPr>
        <w:rPr>
          <w:rFonts w:cs="Arial"/>
          <w:szCs w:val="22"/>
        </w:rPr>
      </w:pPr>
    </w:p>
    <w:p w14:paraId="323FD1A7" w14:textId="77777777" w:rsidR="00285EF0" w:rsidRPr="005B27D5" w:rsidRDefault="00285EF0" w:rsidP="00285EF0">
      <w:pPr>
        <w:rPr>
          <w:rFonts w:cs="Arial"/>
          <w:szCs w:val="22"/>
        </w:rPr>
      </w:pPr>
      <w:r w:rsidRPr="005B27D5">
        <w:rPr>
          <w:rFonts w:cs="Arial"/>
          <w:szCs w:val="22"/>
        </w:rPr>
        <w:t xml:space="preserve">NoV infection occurs throughout the year, however, it is most prevalent in the winter season in temperate climates </w:t>
      </w:r>
      <w:r w:rsidRPr="005B27D5">
        <w:rPr>
          <w:rFonts w:cs="Arial"/>
          <w:noProof/>
          <w:szCs w:val="22"/>
        </w:rPr>
        <w:t>(van Beek et al. 2013)</w:t>
      </w:r>
      <w:r w:rsidRPr="005B27D5">
        <w:rPr>
          <w:rFonts w:cs="Arial"/>
          <w:szCs w:val="22"/>
        </w:rPr>
        <w:t xml:space="preserve">. The seasonal occurrence of NoV outbreaks associated with oysters can be attributed to several environmental factors including increased humidity, low temperatures, reduced solar inactivation, low salinity and heavy rains </w:t>
      </w:r>
      <w:r w:rsidRPr="005B27D5">
        <w:rPr>
          <w:rFonts w:cs="Arial"/>
          <w:noProof/>
          <w:szCs w:val="22"/>
        </w:rPr>
        <w:t>(Wang and Deng 2012)</w:t>
      </w:r>
      <w:r w:rsidRPr="005B27D5">
        <w:rPr>
          <w:rFonts w:cs="Arial"/>
          <w:szCs w:val="22"/>
        </w:rPr>
        <w:t xml:space="preserve">. A study by Lowther et al. </w:t>
      </w:r>
      <w:r w:rsidRPr="005B27D5">
        <w:rPr>
          <w:rFonts w:cs="Arial"/>
          <w:noProof/>
          <w:szCs w:val="22"/>
        </w:rPr>
        <w:t>(2008)</w:t>
      </w:r>
      <w:r w:rsidRPr="005B27D5">
        <w:rPr>
          <w:rFonts w:cs="Arial"/>
          <w:szCs w:val="22"/>
        </w:rPr>
        <w:t xml:space="preserve"> demonstrated that in the British Isles during 2004</w:t>
      </w:r>
      <w:r>
        <w:rPr>
          <w:rFonts w:cs="Arial"/>
          <w:szCs w:val="22"/>
        </w:rPr>
        <w:t xml:space="preserve"> </w:t>
      </w:r>
      <w:r w:rsidRPr="005B27D5">
        <w:rPr>
          <w:rFonts w:cs="Arial"/>
          <w:szCs w:val="22"/>
        </w:rPr>
        <w:t>–</w:t>
      </w:r>
      <w:r>
        <w:rPr>
          <w:rFonts w:cs="Arial"/>
          <w:szCs w:val="22"/>
        </w:rPr>
        <w:t xml:space="preserve"> </w:t>
      </w:r>
      <w:r w:rsidRPr="005B27D5">
        <w:rPr>
          <w:rFonts w:cs="Arial"/>
          <w:szCs w:val="22"/>
        </w:rPr>
        <w:t xml:space="preserve">2006 the overall level of NoV was 17-fold higher in oysters harvested in the winter compared to the summer (this increase in NoV level took into account the number of NoV positive samples and the </w:t>
      </w:r>
      <w:r>
        <w:rPr>
          <w:rFonts w:cs="Arial"/>
          <w:szCs w:val="22"/>
        </w:rPr>
        <w:t>level</w:t>
      </w:r>
      <w:r w:rsidRPr="005B27D5">
        <w:rPr>
          <w:rFonts w:cs="Arial"/>
          <w:szCs w:val="22"/>
        </w:rPr>
        <w:t xml:space="preserve"> of NoV contamination).</w:t>
      </w:r>
    </w:p>
    <w:p w14:paraId="555ACEB4" w14:textId="77777777" w:rsidR="00285EF0" w:rsidRPr="005B27D5" w:rsidRDefault="00285EF0" w:rsidP="00285EF0">
      <w:pPr>
        <w:rPr>
          <w:rFonts w:cs="Arial"/>
          <w:szCs w:val="22"/>
        </w:rPr>
      </w:pPr>
    </w:p>
    <w:p w14:paraId="17B8C3D5" w14:textId="77777777" w:rsidR="00285EF0" w:rsidRPr="005B27D5" w:rsidRDefault="00285EF0" w:rsidP="00285EF0">
      <w:pPr>
        <w:rPr>
          <w:rFonts w:cs="Arial"/>
          <w:szCs w:val="22"/>
        </w:rPr>
      </w:pPr>
      <w:r w:rsidRPr="005B27D5">
        <w:rPr>
          <w:rFonts w:cs="Arial"/>
          <w:szCs w:val="22"/>
        </w:rPr>
        <w:t xml:space="preserve">Outbreaks of NoV have frequently been associated with shellfish, as well as fruit and vegetables and ready-to-eat foods that are typically consumed without additional heat treatment </w:t>
      </w:r>
      <w:r w:rsidRPr="005B27D5">
        <w:rPr>
          <w:rFonts w:cs="Arial"/>
          <w:noProof/>
          <w:szCs w:val="22"/>
        </w:rPr>
        <w:t>(Zainazor et al. 2010; FDA 2012)</w:t>
      </w:r>
      <w:r w:rsidRPr="005B27D5">
        <w:rPr>
          <w:rFonts w:cs="Arial"/>
          <w:szCs w:val="22"/>
        </w:rPr>
        <w:t>.</w:t>
      </w:r>
      <w:r>
        <w:rPr>
          <w:rFonts w:cs="Arial"/>
          <w:szCs w:val="22"/>
        </w:rPr>
        <w:t xml:space="preserve"> </w:t>
      </w:r>
    </w:p>
    <w:p w14:paraId="365E7BF6" w14:textId="77777777" w:rsidR="00E94ED2" w:rsidRDefault="00E94ED2">
      <w:pPr>
        <w:widowControl/>
        <w:rPr>
          <w:b/>
          <w:bCs/>
          <w:color w:val="000000" w:themeColor="text1"/>
          <w:lang w:eastAsia="en-AU" w:bidi="ar-SA"/>
        </w:rPr>
      </w:pPr>
      <w:bookmarkStart w:id="1183" w:name="_Toc66881461"/>
      <w:bookmarkStart w:id="1184" w:name="_Toc66883087"/>
      <w:r>
        <w:br w:type="page"/>
      </w:r>
    </w:p>
    <w:p w14:paraId="263D8032" w14:textId="65137438" w:rsidR="00285EF0" w:rsidRPr="002F3191" w:rsidRDefault="00285EF0" w:rsidP="00787E56">
      <w:pPr>
        <w:pStyle w:val="Heading3"/>
        <w:rPr>
          <w:sz w:val="28"/>
        </w:rPr>
      </w:pPr>
      <w:bookmarkStart w:id="1185" w:name="_Toc87614488"/>
      <w:bookmarkStart w:id="1186" w:name="_Toc87860127"/>
      <w:r w:rsidRPr="00C424BA">
        <w:t>Occurrence in food</w:t>
      </w:r>
      <w:bookmarkEnd w:id="1183"/>
      <w:bookmarkEnd w:id="1184"/>
      <w:bookmarkEnd w:id="1185"/>
      <w:bookmarkEnd w:id="1186"/>
    </w:p>
    <w:p w14:paraId="206BD263" w14:textId="77777777" w:rsidR="00285EF0" w:rsidRPr="005D05D1" w:rsidRDefault="00285EF0" w:rsidP="00285EF0">
      <w:pPr>
        <w:rPr>
          <w:rFonts w:cs="Arial"/>
          <w:i/>
          <w:szCs w:val="22"/>
        </w:rPr>
      </w:pPr>
      <w:r w:rsidRPr="005D05D1">
        <w:rPr>
          <w:rFonts w:cs="Arial"/>
          <w:i/>
          <w:szCs w:val="22"/>
        </w:rPr>
        <w:t>Seafood</w:t>
      </w:r>
    </w:p>
    <w:p w14:paraId="6372D9BC" w14:textId="77777777" w:rsidR="00285EF0" w:rsidRPr="005B27D5" w:rsidRDefault="00285EF0" w:rsidP="00285EF0">
      <w:pPr>
        <w:tabs>
          <w:tab w:val="left" w:pos="3544"/>
        </w:tabs>
        <w:rPr>
          <w:rFonts w:cs="Arial"/>
          <w:szCs w:val="22"/>
        </w:rPr>
      </w:pPr>
      <w:r w:rsidRPr="005B27D5">
        <w:rPr>
          <w:rFonts w:cs="Arial"/>
          <w:szCs w:val="22"/>
        </w:rPr>
        <w:t>Seafood such as oysters can be contaminated with</w:t>
      </w:r>
      <w:r>
        <w:rPr>
          <w:rFonts w:cs="Arial"/>
          <w:szCs w:val="22"/>
        </w:rPr>
        <w:t xml:space="preserve"> NoV in the marine environment. O</w:t>
      </w:r>
      <w:r w:rsidRPr="005B27D5">
        <w:rPr>
          <w:rFonts w:cs="Arial"/>
          <w:szCs w:val="22"/>
        </w:rPr>
        <w:t xml:space="preserve">ysters are filter feeders </w:t>
      </w:r>
      <w:r>
        <w:rPr>
          <w:rFonts w:cs="Arial"/>
          <w:szCs w:val="22"/>
        </w:rPr>
        <w:t>and</w:t>
      </w:r>
      <w:r w:rsidRPr="005B27D5">
        <w:rPr>
          <w:rFonts w:cs="Arial"/>
          <w:szCs w:val="22"/>
        </w:rPr>
        <w:t xml:space="preserve"> filter large </w:t>
      </w:r>
      <w:r>
        <w:rPr>
          <w:rFonts w:cs="Arial"/>
          <w:szCs w:val="22"/>
        </w:rPr>
        <w:t>volumes</w:t>
      </w:r>
      <w:r w:rsidRPr="005B27D5">
        <w:rPr>
          <w:rFonts w:cs="Arial"/>
          <w:szCs w:val="22"/>
        </w:rPr>
        <w:t xml:space="preserve"> of water through their gills</w:t>
      </w:r>
      <w:r>
        <w:rPr>
          <w:rFonts w:cs="Arial"/>
          <w:szCs w:val="22"/>
        </w:rPr>
        <w:t xml:space="preserve">. As such, </w:t>
      </w:r>
      <w:r w:rsidRPr="005B27D5">
        <w:rPr>
          <w:rFonts w:cs="Arial"/>
          <w:szCs w:val="22"/>
        </w:rPr>
        <w:t xml:space="preserve">oysters grown in faecally contaminated waters </w:t>
      </w:r>
      <w:r>
        <w:rPr>
          <w:rFonts w:cs="Arial"/>
          <w:szCs w:val="22"/>
        </w:rPr>
        <w:t>can accumulate</w:t>
      </w:r>
      <w:r w:rsidRPr="005B27D5">
        <w:rPr>
          <w:rFonts w:cs="Arial"/>
          <w:szCs w:val="22"/>
        </w:rPr>
        <w:t xml:space="preserve"> </w:t>
      </w:r>
      <w:r>
        <w:rPr>
          <w:rFonts w:cs="Arial"/>
          <w:szCs w:val="22"/>
        </w:rPr>
        <w:t xml:space="preserve">NoV </w:t>
      </w:r>
      <w:r w:rsidRPr="005B27D5">
        <w:rPr>
          <w:rFonts w:cs="Arial"/>
          <w:szCs w:val="22"/>
        </w:rPr>
        <w:t>within the</w:t>
      </w:r>
      <w:r>
        <w:rPr>
          <w:rFonts w:cs="Arial"/>
          <w:szCs w:val="22"/>
        </w:rPr>
        <w:t>ir</w:t>
      </w:r>
      <w:r w:rsidRPr="005B27D5">
        <w:rPr>
          <w:rFonts w:cs="Arial"/>
          <w:szCs w:val="22"/>
        </w:rPr>
        <w:t xml:space="preserve"> </w:t>
      </w:r>
      <w:r>
        <w:rPr>
          <w:rFonts w:cs="Arial"/>
          <w:szCs w:val="22"/>
        </w:rPr>
        <w:t>tissues</w:t>
      </w:r>
      <w:r w:rsidRPr="005B27D5">
        <w:rPr>
          <w:rFonts w:cs="Arial"/>
          <w:szCs w:val="22"/>
        </w:rPr>
        <w:t xml:space="preserve"> </w:t>
      </w:r>
      <w:r>
        <w:rPr>
          <w:rFonts w:cs="Arial"/>
          <w:noProof/>
          <w:szCs w:val="22"/>
        </w:rPr>
        <w:t>(Noda et al. 2008; Wang and Deng 2012)</w:t>
      </w:r>
      <w:r w:rsidRPr="005B27D5">
        <w:rPr>
          <w:rFonts w:cs="Arial"/>
          <w:szCs w:val="22"/>
        </w:rPr>
        <w:t xml:space="preserve">. Burkhardt and Calci </w:t>
      </w:r>
      <w:r w:rsidRPr="005B27D5">
        <w:rPr>
          <w:rFonts w:cs="Arial"/>
          <w:noProof/>
          <w:szCs w:val="22"/>
        </w:rPr>
        <w:t>(2000)</w:t>
      </w:r>
      <w:r w:rsidRPr="005B27D5">
        <w:rPr>
          <w:rFonts w:cs="Arial"/>
          <w:szCs w:val="22"/>
        </w:rPr>
        <w:t xml:space="preserve"> used a viral indicator and demonstrated that oysters can accumulate up to 99-fold higher levels of virus than the surrounding estuarine waters. NoV binds strongly to oyster tissue and so remains present in the oyster when consumed. Ueki et al. </w:t>
      </w:r>
      <w:r w:rsidRPr="005B27D5">
        <w:rPr>
          <w:rFonts w:cs="Arial"/>
          <w:noProof/>
          <w:szCs w:val="22"/>
        </w:rPr>
        <w:t>(2007)</w:t>
      </w:r>
      <w:r w:rsidRPr="005B27D5">
        <w:rPr>
          <w:rFonts w:cs="Arial"/>
          <w:szCs w:val="22"/>
        </w:rPr>
        <w:t xml:space="preserve"> performed a study which involved artificially contaminating oysters with NoV and then subjecting these oysters to a depuration process. Depuration </w:t>
      </w:r>
      <w:r>
        <w:rPr>
          <w:rFonts w:cs="Arial"/>
          <w:szCs w:val="22"/>
        </w:rPr>
        <w:t xml:space="preserve">involves </w:t>
      </w:r>
      <w:r w:rsidRPr="005B27D5">
        <w:rPr>
          <w:rFonts w:cs="Arial"/>
          <w:szCs w:val="22"/>
        </w:rPr>
        <w:t>moving oysters to clean water for several days</w:t>
      </w:r>
      <w:r>
        <w:rPr>
          <w:rFonts w:cs="Arial"/>
          <w:szCs w:val="22"/>
        </w:rPr>
        <w:t xml:space="preserve"> to allow the oyster to purge pathogens</w:t>
      </w:r>
      <w:r w:rsidRPr="005B27D5">
        <w:rPr>
          <w:rFonts w:cs="Arial"/>
          <w:szCs w:val="22"/>
        </w:rPr>
        <w:t>. The average NoV concentration did not sig</w:t>
      </w:r>
      <w:r>
        <w:rPr>
          <w:rFonts w:cs="Arial"/>
          <w:szCs w:val="22"/>
        </w:rPr>
        <w:t>nificantly decrease over the 10 </w:t>
      </w:r>
      <w:r w:rsidRPr="005B27D5">
        <w:rPr>
          <w:rFonts w:cs="Arial"/>
          <w:szCs w:val="22"/>
        </w:rPr>
        <w:t xml:space="preserve">day depuration. NoV is difficult to eliminate from contaminated oysters due to the specific viral attachment to oyster tissues such as gills and digestive glands. As such, depuration is a relatively ineffective method of removing accumulated NoV from oysters </w:t>
      </w:r>
      <w:r w:rsidRPr="005B27D5">
        <w:rPr>
          <w:rFonts w:cs="Arial"/>
          <w:noProof/>
          <w:szCs w:val="22"/>
        </w:rPr>
        <w:t>(Wang and Deng 2012; Smith et al. 2012)</w:t>
      </w:r>
      <w:r w:rsidRPr="005B27D5">
        <w:rPr>
          <w:rFonts w:cs="Arial"/>
          <w:szCs w:val="22"/>
        </w:rPr>
        <w:t xml:space="preserve">. </w:t>
      </w:r>
    </w:p>
    <w:p w14:paraId="4817DCDC" w14:textId="77777777" w:rsidR="00285EF0" w:rsidRPr="005B27D5" w:rsidRDefault="00285EF0" w:rsidP="00285EF0">
      <w:pPr>
        <w:tabs>
          <w:tab w:val="left" w:pos="3544"/>
        </w:tabs>
        <w:rPr>
          <w:rFonts w:cs="Arial"/>
          <w:szCs w:val="22"/>
        </w:rPr>
      </w:pPr>
    </w:p>
    <w:p w14:paraId="5680BC69" w14:textId="424FB757" w:rsidR="00285EF0" w:rsidRPr="005B27D5" w:rsidRDefault="00285EF0" w:rsidP="00285EF0">
      <w:pPr>
        <w:tabs>
          <w:tab w:val="left" w:pos="3544"/>
        </w:tabs>
        <w:rPr>
          <w:rFonts w:cs="Arial"/>
          <w:szCs w:val="22"/>
        </w:rPr>
      </w:pPr>
      <w:r w:rsidRPr="005B27D5">
        <w:rPr>
          <w:rFonts w:cs="Arial"/>
          <w:szCs w:val="22"/>
        </w:rPr>
        <w:t xml:space="preserve">NoV has been isolated from shellfish in many international studies. The </w:t>
      </w:r>
      <w:r>
        <w:rPr>
          <w:rFonts w:cs="Arial"/>
          <w:szCs w:val="22"/>
        </w:rPr>
        <w:t xml:space="preserve">prevalence of NoV </w:t>
      </w:r>
      <w:r w:rsidRPr="005B27D5">
        <w:rPr>
          <w:rFonts w:cs="Arial"/>
          <w:szCs w:val="22"/>
        </w:rPr>
        <w:t xml:space="preserve">in samples collected from harvesting areas was found to </w:t>
      </w:r>
      <w:r>
        <w:rPr>
          <w:rFonts w:cs="Arial"/>
          <w:szCs w:val="22"/>
        </w:rPr>
        <w:t xml:space="preserve">be: &lt;2% in oysters across Australia (n=300) </w:t>
      </w:r>
      <w:r>
        <w:rPr>
          <w:rFonts w:cs="Arial"/>
          <w:noProof/>
          <w:szCs w:val="22"/>
        </w:rPr>
        <w:t>(Torok et al. 2018)</w:t>
      </w:r>
      <w:r>
        <w:rPr>
          <w:rFonts w:cs="Arial"/>
          <w:szCs w:val="22"/>
        </w:rPr>
        <w:t xml:space="preserve">, </w:t>
      </w:r>
      <w:r w:rsidRPr="005B27D5">
        <w:rPr>
          <w:rFonts w:cs="Arial"/>
          <w:szCs w:val="22"/>
        </w:rPr>
        <w:t xml:space="preserve">37% of shellfish batches </w:t>
      </w:r>
      <w:r>
        <w:rPr>
          <w:rFonts w:cs="Arial"/>
          <w:szCs w:val="22"/>
        </w:rPr>
        <w:t xml:space="preserve">in Portugal (n=49) </w:t>
      </w:r>
      <w:r w:rsidRPr="005B27D5">
        <w:rPr>
          <w:rFonts w:cs="Arial"/>
          <w:noProof/>
          <w:szCs w:val="22"/>
        </w:rPr>
        <w:t>(Mesquita et al. 2011)</w:t>
      </w:r>
      <w:r w:rsidRPr="005B27D5">
        <w:rPr>
          <w:rFonts w:cs="Arial"/>
          <w:szCs w:val="22"/>
        </w:rPr>
        <w:t xml:space="preserve">, 49.4% </w:t>
      </w:r>
      <w:r>
        <w:rPr>
          <w:rFonts w:cs="Arial"/>
          <w:szCs w:val="22"/>
        </w:rPr>
        <w:t xml:space="preserve">in </w:t>
      </w:r>
      <w:r w:rsidRPr="005B27D5">
        <w:rPr>
          <w:rFonts w:cs="Arial"/>
          <w:szCs w:val="22"/>
        </w:rPr>
        <w:t xml:space="preserve">mussels </w:t>
      </w:r>
      <w:r>
        <w:rPr>
          <w:rFonts w:cs="Arial"/>
          <w:szCs w:val="22"/>
        </w:rPr>
        <w:t xml:space="preserve">from </w:t>
      </w:r>
      <w:r w:rsidRPr="005B27D5">
        <w:rPr>
          <w:rFonts w:cs="Arial"/>
          <w:szCs w:val="22"/>
        </w:rPr>
        <w:t>Spain (n=81</w:t>
      </w:r>
      <w:r>
        <w:rPr>
          <w:rFonts w:cs="Arial"/>
          <w:szCs w:val="22"/>
        </w:rPr>
        <w:t xml:space="preserve">) </w:t>
      </w:r>
      <w:r w:rsidRPr="005B27D5">
        <w:rPr>
          <w:rFonts w:cs="Arial"/>
          <w:noProof/>
          <w:szCs w:val="22"/>
        </w:rPr>
        <w:t>(Manso and Romalde 2013)</w:t>
      </w:r>
      <w:r w:rsidRPr="005B27D5">
        <w:rPr>
          <w:rFonts w:cs="Arial"/>
          <w:szCs w:val="22"/>
        </w:rPr>
        <w:t xml:space="preserve"> </w:t>
      </w:r>
      <w:r>
        <w:rPr>
          <w:rFonts w:cs="Arial"/>
          <w:szCs w:val="22"/>
        </w:rPr>
        <w:t>and</w:t>
      </w:r>
      <w:r w:rsidRPr="005B27D5">
        <w:rPr>
          <w:rFonts w:cs="Arial"/>
          <w:szCs w:val="22"/>
        </w:rPr>
        <w:t xml:space="preserve"> 76.2% in oysters </w:t>
      </w:r>
      <w:r>
        <w:rPr>
          <w:rFonts w:cs="Arial"/>
          <w:szCs w:val="22"/>
        </w:rPr>
        <w:t xml:space="preserve">from </w:t>
      </w:r>
      <w:r w:rsidRPr="005B27D5">
        <w:rPr>
          <w:rFonts w:cs="Arial"/>
          <w:szCs w:val="22"/>
        </w:rPr>
        <w:t>the United Kingdom</w:t>
      </w:r>
      <w:r>
        <w:rPr>
          <w:rFonts w:cs="Arial"/>
          <w:szCs w:val="22"/>
        </w:rPr>
        <w:t xml:space="preserve"> (n=844) </w:t>
      </w:r>
      <w:r w:rsidRPr="005B27D5">
        <w:rPr>
          <w:rFonts w:cs="Arial"/>
          <w:noProof/>
          <w:szCs w:val="22"/>
        </w:rPr>
        <w:t>(Lowther et al. 2012)</w:t>
      </w:r>
      <w:r w:rsidRPr="005B27D5">
        <w:rPr>
          <w:rFonts w:cs="Arial"/>
          <w:szCs w:val="22"/>
        </w:rPr>
        <w:t xml:space="preserve">. </w:t>
      </w:r>
      <w:r>
        <w:rPr>
          <w:rFonts w:cs="Arial"/>
          <w:szCs w:val="22"/>
        </w:rPr>
        <w:t>The prevalence</w:t>
      </w:r>
      <w:r w:rsidRPr="005B27D5">
        <w:rPr>
          <w:rFonts w:cs="Arial"/>
          <w:szCs w:val="22"/>
        </w:rPr>
        <w:t xml:space="preserve"> of NoV in samples collected at retail </w:t>
      </w:r>
      <w:r>
        <w:rPr>
          <w:rFonts w:cs="Arial"/>
          <w:szCs w:val="22"/>
        </w:rPr>
        <w:t xml:space="preserve">was </w:t>
      </w:r>
      <w:r w:rsidRPr="005B27D5">
        <w:rPr>
          <w:rFonts w:cs="Arial"/>
          <w:szCs w:val="22"/>
        </w:rPr>
        <w:t>3.</w:t>
      </w:r>
      <w:r>
        <w:rPr>
          <w:rFonts w:cs="Arial"/>
          <w:szCs w:val="22"/>
        </w:rPr>
        <w:t xml:space="preserve">9% in oysters sampled in the US (n=388) </w:t>
      </w:r>
      <w:r w:rsidR="00DB681B">
        <w:rPr>
          <w:rFonts w:cs="Arial"/>
          <w:noProof/>
          <w:szCs w:val="22"/>
        </w:rPr>
        <w:t>(DePaola et al. </w:t>
      </w:r>
      <w:r w:rsidRPr="005B27D5">
        <w:rPr>
          <w:rFonts w:cs="Arial"/>
          <w:noProof/>
          <w:szCs w:val="22"/>
        </w:rPr>
        <w:t>2010)</w:t>
      </w:r>
      <w:r w:rsidRPr="005B27D5">
        <w:rPr>
          <w:rFonts w:cs="Arial"/>
          <w:szCs w:val="22"/>
        </w:rPr>
        <w:t xml:space="preserve">, 14.1% of oysters </w:t>
      </w:r>
      <w:r>
        <w:rPr>
          <w:rFonts w:cs="Arial"/>
          <w:szCs w:val="22"/>
        </w:rPr>
        <w:t xml:space="preserve">in Korea (n=156) </w:t>
      </w:r>
      <w:r w:rsidRPr="005B27D5">
        <w:rPr>
          <w:rFonts w:cs="Arial"/>
          <w:noProof/>
          <w:szCs w:val="22"/>
        </w:rPr>
        <w:t>(Moon et al. 2011)</w:t>
      </w:r>
      <w:r w:rsidRPr="005B27D5">
        <w:rPr>
          <w:rFonts w:cs="Arial"/>
          <w:szCs w:val="22"/>
        </w:rPr>
        <w:t xml:space="preserve"> </w:t>
      </w:r>
      <w:r>
        <w:rPr>
          <w:rFonts w:cs="Arial"/>
          <w:szCs w:val="22"/>
        </w:rPr>
        <w:t>and</w:t>
      </w:r>
      <w:r w:rsidRPr="005B27D5">
        <w:rPr>
          <w:rFonts w:cs="Arial"/>
          <w:szCs w:val="22"/>
        </w:rPr>
        <w:t xml:space="preserve"> 73.9% </w:t>
      </w:r>
      <w:r>
        <w:rPr>
          <w:rFonts w:cs="Arial"/>
          <w:szCs w:val="22"/>
        </w:rPr>
        <w:t xml:space="preserve">in </w:t>
      </w:r>
      <w:r w:rsidRPr="005B27D5">
        <w:rPr>
          <w:rFonts w:cs="Arial"/>
          <w:szCs w:val="22"/>
        </w:rPr>
        <w:t>shellfish col</w:t>
      </w:r>
      <w:r>
        <w:rPr>
          <w:rFonts w:cs="Arial"/>
          <w:szCs w:val="22"/>
        </w:rPr>
        <w:t xml:space="preserve">lected from southern Italy (n=46) </w:t>
      </w:r>
      <w:r w:rsidRPr="005B27D5">
        <w:rPr>
          <w:rFonts w:cs="Arial"/>
          <w:noProof/>
          <w:szCs w:val="22"/>
        </w:rPr>
        <w:t>(Pepe et al. 2012)</w:t>
      </w:r>
      <w:r w:rsidRPr="005B27D5">
        <w:rPr>
          <w:rFonts w:cs="Arial"/>
          <w:szCs w:val="22"/>
        </w:rPr>
        <w:t xml:space="preserve">. </w:t>
      </w:r>
      <w:r>
        <w:rPr>
          <w:rFonts w:cs="Arial"/>
          <w:szCs w:val="22"/>
        </w:rPr>
        <w:t>The dominant NoV genotypes isolated were GI or GII, with s</w:t>
      </w:r>
      <w:r w:rsidRPr="005B27D5">
        <w:rPr>
          <w:rFonts w:cs="Arial"/>
          <w:szCs w:val="22"/>
        </w:rPr>
        <w:t xml:space="preserve">ome samples </w:t>
      </w:r>
      <w:r>
        <w:rPr>
          <w:rFonts w:cs="Arial"/>
          <w:szCs w:val="22"/>
        </w:rPr>
        <w:t>positive for both GI and GII</w:t>
      </w:r>
      <w:r w:rsidRPr="005B27D5">
        <w:rPr>
          <w:rFonts w:cs="Arial"/>
          <w:szCs w:val="22"/>
        </w:rPr>
        <w:t xml:space="preserve">. The difference in </w:t>
      </w:r>
      <w:r>
        <w:rPr>
          <w:rFonts w:cs="Arial"/>
          <w:szCs w:val="22"/>
        </w:rPr>
        <w:t xml:space="preserve">geneotype </w:t>
      </w:r>
      <w:r w:rsidRPr="005B27D5">
        <w:rPr>
          <w:rFonts w:cs="Arial"/>
          <w:szCs w:val="22"/>
        </w:rPr>
        <w:t xml:space="preserve">prevalence may be attributed to factors such as season, location, virus extraction method, molecular test employed, and the sensitivity and specificity of the assay </w:t>
      </w:r>
      <w:r w:rsidRPr="005B27D5">
        <w:rPr>
          <w:rFonts w:cs="Arial"/>
          <w:noProof/>
          <w:szCs w:val="22"/>
        </w:rPr>
        <w:t>(DePaola et al. 2010; Moon et al. 2011)</w:t>
      </w:r>
      <w:r w:rsidRPr="005B27D5">
        <w:rPr>
          <w:rFonts w:cs="Arial"/>
          <w:szCs w:val="22"/>
        </w:rPr>
        <w:t xml:space="preserve">. Also, the </w:t>
      </w:r>
      <w:r>
        <w:rPr>
          <w:rFonts w:cs="Arial"/>
          <w:szCs w:val="22"/>
        </w:rPr>
        <w:t xml:space="preserve">water </w:t>
      </w:r>
      <w:r w:rsidRPr="005B27D5">
        <w:rPr>
          <w:rFonts w:cs="Arial"/>
          <w:szCs w:val="22"/>
        </w:rPr>
        <w:t>quality of the harvesting area in regard to potential effluent contamination and good hygienic practices throughout the supply chain can influence the prevalence of NoV.</w:t>
      </w:r>
    </w:p>
    <w:p w14:paraId="23C8F5D7" w14:textId="77777777" w:rsidR="00285EF0" w:rsidRPr="005B27D5" w:rsidRDefault="00285EF0" w:rsidP="00285EF0">
      <w:pPr>
        <w:tabs>
          <w:tab w:val="left" w:pos="3544"/>
        </w:tabs>
        <w:rPr>
          <w:rFonts w:cs="Arial"/>
          <w:szCs w:val="22"/>
        </w:rPr>
      </w:pPr>
    </w:p>
    <w:p w14:paraId="6F8C0FF2" w14:textId="60908F64" w:rsidR="00285EF0" w:rsidRDefault="00285EF0" w:rsidP="00285EF0">
      <w:pPr>
        <w:tabs>
          <w:tab w:val="left" w:pos="3544"/>
        </w:tabs>
        <w:rPr>
          <w:rFonts w:cs="Arial"/>
          <w:szCs w:val="22"/>
        </w:rPr>
      </w:pPr>
      <w:r w:rsidRPr="005B27D5">
        <w:rPr>
          <w:rFonts w:cs="Arial"/>
          <w:szCs w:val="22"/>
        </w:rPr>
        <w:t>The magnitude of NoV accumulation in oysters varies between strains.</w:t>
      </w:r>
      <w:r>
        <w:rPr>
          <w:rFonts w:cs="Arial"/>
          <w:szCs w:val="22"/>
        </w:rPr>
        <w:t xml:space="preserve"> The GI.1 strain is efficiently concentrated in oysters and accumulates in the midgut and digestive tissues. GII.3 and GII.4 bind to digestive tissues, gills and mantle. GII.3 is moderately accumulated, while GII.4 is poorly accumulated.</w:t>
      </w:r>
      <w:r w:rsidRPr="005B27D5">
        <w:rPr>
          <w:rFonts w:cs="Arial"/>
          <w:szCs w:val="22"/>
        </w:rPr>
        <w:t xml:space="preserve"> </w:t>
      </w:r>
      <w:r>
        <w:rPr>
          <w:rFonts w:cs="Arial"/>
          <w:szCs w:val="22"/>
        </w:rPr>
        <w:t xml:space="preserve">This </w:t>
      </w:r>
      <w:r w:rsidRPr="005B27D5">
        <w:rPr>
          <w:rFonts w:cs="Arial"/>
          <w:szCs w:val="22"/>
        </w:rPr>
        <w:t>matches with outbreak data, as oyster related outbreaks are often associated with GI and GII.3 NoV strains (that accumulate in oysters) but rarely with GII.4 strains. The variation between strains appears to be linked to the binding affinity of particular NoV strains for carbohydrate receptors within different oyster tissues</w:t>
      </w:r>
      <w:r>
        <w:rPr>
          <w:rFonts w:cs="Arial"/>
          <w:szCs w:val="22"/>
        </w:rPr>
        <w:t xml:space="preserve"> </w:t>
      </w:r>
      <w:r w:rsidR="00DB681B">
        <w:rPr>
          <w:rFonts w:cs="Arial"/>
          <w:noProof/>
          <w:szCs w:val="22"/>
        </w:rPr>
        <w:t>(Maalouf et </w:t>
      </w:r>
      <w:r>
        <w:rPr>
          <w:rFonts w:cs="Arial"/>
          <w:noProof/>
          <w:szCs w:val="22"/>
        </w:rPr>
        <w:t>al. 2011; le Guyader et al. 2012)</w:t>
      </w:r>
      <w:r w:rsidRPr="005B27D5">
        <w:rPr>
          <w:rFonts w:cs="Arial"/>
          <w:szCs w:val="22"/>
        </w:rPr>
        <w:t>.</w:t>
      </w:r>
    </w:p>
    <w:p w14:paraId="6B4CA4C2" w14:textId="77777777" w:rsidR="00285EF0" w:rsidRDefault="00285EF0" w:rsidP="00285EF0">
      <w:pPr>
        <w:rPr>
          <w:rFonts w:cs="Arial"/>
          <w:szCs w:val="22"/>
        </w:rPr>
      </w:pPr>
    </w:p>
    <w:p w14:paraId="76598B67" w14:textId="77777777" w:rsidR="00285EF0" w:rsidRPr="005D05D1" w:rsidRDefault="00285EF0" w:rsidP="00285EF0">
      <w:pPr>
        <w:rPr>
          <w:rFonts w:cs="Arial"/>
          <w:i/>
          <w:szCs w:val="22"/>
        </w:rPr>
      </w:pPr>
      <w:r w:rsidRPr="005D05D1">
        <w:rPr>
          <w:rFonts w:cs="Arial"/>
          <w:i/>
          <w:szCs w:val="22"/>
        </w:rPr>
        <w:t>Fresh produce</w:t>
      </w:r>
    </w:p>
    <w:p w14:paraId="6445E208" w14:textId="49B3A3D4" w:rsidR="00285EF0" w:rsidRPr="005B27D5" w:rsidRDefault="00285EF0" w:rsidP="00285EF0">
      <w:pPr>
        <w:rPr>
          <w:rFonts w:cs="Arial"/>
          <w:szCs w:val="22"/>
        </w:rPr>
      </w:pPr>
      <w:r w:rsidRPr="005B27D5">
        <w:rPr>
          <w:rFonts w:cs="Arial"/>
          <w:szCs w:val="22"/>
        </w:rPr>
        <w:t>Sewage polluted water can introduce NoV contamination during the growing of fresh produce in the field or during processing</w:t>
      </w:r>
      <w:r>
        <w:rPr>
          <w:rFonts w:cs="Arial"/>
          <w:szCs w:val="22"/>
        </w:rPr>
        <w:t>,</w:t>
      </w:r>
      <w:r w:rsidRPr="005B27D5">
        <w:rPr>
          <w:rFonts w:cs="Arial"/>
          <w:szCs w:val="22"/>
        </w:rPr>
        <w:t xml:space="preserve"> if used. Picking, packing or preparation of fresh produce by hand is another potential NoV contamination source.</w:t>
      </w:r>
      <w:r>
        <w:rPr>
          <w:rFonts w:cs="Arial"/>
          <w:szCs w:val="22"/>
        </w:rPr>
        <w:t xml:space="preserve"> This is because produce can be</w:t>
      </w:r>
      <w:r w:rsidRPr="005B27D5">
        <w:rPr>
          <w:rFonts w:cs="Arial"/>
          <w:szCs w:val="22"/>
        </w:rPr>
        <w:t xml:space="preserve"> contaminated directly by ill or asymptomatic fo</w:t>
      </w:r>
      <w:r>
        <w:rPr>
          <w:rFonts w:cs="Arial"/>
          <w:szCs w:val="22"/>
        </w:rPr>
        <w:softHyphen/>
      </w:r>
      <w:r>
        <w:rPr>
          <w:rFonts w:cs="Arial"/>
          <w:szCs w:val="22"/>
        </w:rPr>
        <w:softHyphen/>
      </w:r>
      <w:r w:rsidRPr="005B27D5">
        <w:rPr>
          <w:rFonts w:cs="Arial"/>
          <w:szCs w:val="22"/>
        </w:rPr>
        <w:t xml:space="preserve">od handlers practicing inadequate hand hygiene or indirectly after a healthy worker touches a contaminated surface </w:t>
      </w:r>
      <w:r w:rsidR="00DB681B">
        <w:rPr>
          <w:rFonts w:cs="Arial"/>
          <w:noProof/>
          <w:szCs w:val="22"/>
        </w:rPr>
        <w:t>(Baert et </w:t>
      </w:r>
      <w:r w:rsidRPr="005B27D5">
        <w:rPr>
          <w:rFonts w:cs="Arial"/>
          <w:noProof/>
          <w:szCs w:val="22"/>
        </w:rPr>
        <w:t>al. 2011; Sharps et al. 2012)</w:t>
      </w:r>
      <w:r w:rsidRPr="005B27D5">
        <w:rPr>
          <w:rFonts w:cs="Arial"/>
          <w:szCs w:val="22"/>
        </w:rPr>
        <w:t>.</w:t>
      </w:r>
    </w:p>
    <w:p w14:paraId="67FD313C" w14:textId="77777777" w:rsidR="00285EF0" w:rsidRPr="005B27D5" w:rsidRDefault="00285EF0" w:rsidP="00285EF0">
      <w:pPr>
        <w:rPr>
          <w:rFonts w:cs="Arial"/>
          <w:szCs w:val="22"/>
        </w:rPr>
      </w:pPr>
    </w:p>
    <w:p w14:paraId="01ECC7AB" w14:textId="77777777" w:rsidR="00E94ED2" w:rsidRDefault="00E94ED2">
      <w:pPr>
        <w:widowControl/>
        <w:rPr>
          <w:rFonts w:cs="Arial"/>
          <w:szCs w:val="22"/>
        </w:rPr>
      </w:pPr>
      <w:r>
        <w:rPr>
          <w:rFonts w:cs="Arial"/>
          <w:szCs w:val="22"/>
        </w:rPr>
        <w:br w:type="page"/>
      </w:r>
    </w:p>
    <w:p w14:paraId="7756ACF3" w14:textId="21B6EE9D" w:rsidR="00285EF0" w:rsidRPr="005B27D5" w:rsidRDefault="00285EF0" w:rsidP="00285EF0">
      <w:pPr>
        <w:rPr>
          <w:rFonts w:cs="Arial"/>
          <w:szCs w:val="22"/>
        </w:rPr>
      </w:pPr>
      <w:r w:rsidRPr="005B27D5">
        <w:rPr>
          <w:rFonts w:cs="Arial"/>
          <w:szCs w:val="22"/>
        </w:rPr>
        <w:t>In surveys of fresh produce collected during 2009</w:t>
      </w:r>
      <w:r>
        <w:rPr>
          <w:rFonts w:cs="Arial"/>
          <w:szCs w:val="22"/>
        </w:rPr>
        <w:t xml:space="preserve"> </w:t>
      </w:r>
      <w:r w:rsidRPr="005B27D5">
        <w:rPr>
          <w:rFonts w:cs="Arial"/>
          <w:szCs w:val="22"/>
        </w:rPr>
        <w:t>–</w:t>
      </w:r>
      <w:r>
        <w:rPr>
          <w:rFonts w:cs="Arial"/>
          <w:szCs w:val="22"/>
        </w:rPr>
        <w:t xml:space="preserve"> </w:t>
      </w:r>
      <w:r w:rsidRPr="005B27D5">
        <w:rPr>
          <w:rFonts w:cs="Arial"/>
          <w:szCs w:val="22"/>
        </w:rPr>
        <w:t xml:space="preserve">2010 in Belgium, Canada and France, NoV was detected on 33% (n=6), 28% (n=641) and 50% (n=6) of individual leafy green samples collected in each country, respectively. NoV was also detected on 34% (n=29) and 7% (n=150) of individual berry samples collected in Belgium and France, respectively. The fresh produce samples were positive for either or both GI NoV and GII NoV strains </w:t>
      </w:r>
      <w:r w:rsidR="00DB681B">
        <w:rPr>
          <w:rFonts w:cs="Arial"/>
          <w:noProof/>
          <w:szCs w:val="22"/>
        </w:rPr>
        <w:t>(Baert et </w:t>
      </w:r>
      <w:r w:rsidRPr="005B27D5">
        <w:rPr>
          <w:rFonts w:cs="Arial"/>
          <w:noProof/>
          <w:szCs w:val="22"/>
        </w:rPr>
        <w:t>al. 2011)</w:t>
      </w:r>
      <w:r w:rsidRPr="005B27D5">
        <w:rPr>
          <w:rFonts w:cs="Arial"/>
          <w:szCs w:val="22"/>
        </w:rPr>
        <w:t>.</w:t>
      </w:r>
    </w:p>
    <w:p w14:paraId="5335E488" w14:textId="77777777" w:rsidR="00285EF0" w:rsidRPr="002F3191" w:rsidRDefault="00285EF0" w:rsidP="00787E56">
      <w:pPr>
        <w:pStyle w:val="Heading3"/>
        <w:rPr>
          <w:sz w:val="28"/>
        </w:rPr>
      </w:pPr>
      <w:bookmarkStart w:id="1187" w:name="_Toc66881462"/>
      <w:bookmarkStart w:id="1188" w:name="_Toc66883088"/>
      <w:bookmarkStart w:id="1189" w:name="_Toc87614489"/>
      <w:bookmarkStart w:id="1190" w:name="_Toc87860128"/>
      <w:r w:rsidRPr="00C424BA">
        <w:t>Host factors that influence disease</w:t>
      </w:r>
      <w:bookmarkEnd w:id="1187"/>
      <w:bookmarkEnd w:id="1188"/>
      <w:bookmarkEnd w:id="1189"/>
      <w:bookmarkEnd w:id="1190"/>
    </w:p>
    <w:p w14:paraId="558D11CB" w14:textId="77777777" w:rsidR="00285EF0" w:rsidRPr="005B27D5" w:rsidRDefault="00285EF0" w:rsidP="00285EF0">
      <w:pPr>
        <w:rPr>
          <w:rFonts w:cs="Arial"/>
          <w:szCs w:val="22"/>
          <w:lang w:val="en-US"/>
        </w:rPr>
      </w:pPr>
      <w:r w:rsidRPr="005B27D5">
        <w:rPr>
          <w:rFonts w:cs="Arial"/>
          <w:szCs w:val="22"/>
        </w:rPr>
        <w:t xml:space="preserve">People of all ages are susceptible to NoV infection, however infants, the elderly and immunocompromised individuals can have more severe symptoms </w:t>
      </w:r>
      <w:r w:rsidRPr="005B27D5">
        <w:rPr>
          <w:rFonts w:cs="Arial"/>
          <w:noProof/>
          <w:szCs w:val="22"/>
        </w:rPr>
        <w:t>(Karst 2010)</w:t>
      </w:r>
      <w:r w:rsidRPr="005B27D5">
        <w:rPr>
          <w:rFonts w:cs="Arial"/>
          <w:szCs w:val="22"/>
        </w:rPr>
        <w:t xml:space="preserve">. There is a small risk that </w:t>
      </w:r>
      <w:r w:rsidRPr="005B27D5">
        <w:rPr>
          <w:rFonts w:cs="Arial"/>
          <w:szCs w:val="22"/>
          <w:lang w:val="en-US"/>
        </w:rPr>
        <w:t xml:space="preserve">NoV infection will be fatal in elderly people </w:t>
      </w:r>
      <w:r w:rsidRPr="005B27D5">
        <w:rPr>
          <w:rFonts w:cs="Arial"/>
          <w:noProof/>
          <w:szCs w:val="22"/>
          <w:lang w:val="en-US"/>
        </w:rPr>
        <w:t>(Harris et al. 2008)</w:t>
      </w:r>
      <w:r w:rsidRPr="005B27D5">
        <w:rPr>
          <w:rFonts w:cs="Arial"/>
          <w:szCs w:val="22"/>
          <w:lang w:val="en-US"/>
        </w:rPr>
        <w:t>.</w:t>
      </w:r>
    </w:p>
    <w:p w14:paraId="1FF0712A" w14:textId="77777777" w:rsidR="00285EF0" w:rsidRPr="005B27D5" w:rsidRDefault="00285EF0" w:rsidP="00285EF0">
      <w:pPr>
        <w:rPr>
          <w:rFonts w:cs="Arial"/>
          <w:szCs w:val="22"/>
          <w:lang w:val="en-US"/>
        </w:rPr>
      </w:pPr>
    </w:p>
    <w:p w14:paraId="6632189F" w14:textId="77777777" w:rsidR="00285EF0" w:rsidRPr="005B27D5" w:rsidRDefault="00285EF0" w:rsidP="00285EF0">
      <w:pPr>
        <w:rPr>
          <w:rFonts w:cs="Arial"/>
          <w:szCs w:val="22"/>
          <w:lang w:val="en-US"/>
        </w:rPr>
      </w:pPr>
      <w:r w:rsidRPr="005B27D5">
        <w:rPr>
          <w:rFonts w:cs="Arial"/>
          <w:szCs w:val="22"/>
          <w:lang w:val="en-US"/>
        </w:rPr>
        <w:t xml:space="preserve">Hutson et al. </w:t>
      </w:r>
      <w:r w:rsidRPr="005B27D5">
        <w:rPr>
          <w:rFonts w:cs="Arial"/>
          <w:noProof/>
          <w:szCs w:val="22"/>
          <w:lang w:val="en-US"/>
        </w:rPr>
        <w:t>(2002)</w:t>
      </w:r>
      <w:r w:rsidRPr="005B27D5">
        <w:rPr>
          <w:rFonts w:cs="Arial"/>
          <w:szCs w:val="22"/>
          <w:lang w:val="en-US"/>
        </w:rPr>
        <w:t xml:space="preserve"> identified a relationship between an individual’s ABO histo-blood group antigen and the risk of infection with NoV GI strain</w:t>
      </w:r>
      <w:r w:rsidRPr="000D1FDB">
        <w:rPr>
          <w:rFonts w:cs="Arial"/>
          <w:szCs w:val="22"/>
          <w:lang w:val="en-US"/>
        </w:rPr>
        <w:t xml:space="preserve"> </w:t>
      </w:r>
      <w:r>
        <w:rPr>
          <w:rFonts w:cs="Arial"/>
          <w:szCs w:val="22"/>
          <w:lang w:val="en-US"/>
        </w:rPr>
        <w:t>(</w:t>
      </w:r>
      <w:r w:rsidRPr="005B27D5">
        <w:rPr>
          <w:rFonts w:cs="Arial"/>
          <w:szCs w:val="22"/>
          <w:lang w:val="en-US"/>
        </w:rPr>
        <w:t>Norwalk virus).</w:t>
      </w:r>
      <w:r>
        <w:rPr>
          <w:rFonts w:cs="Arial"/>
          <w:szCs w:val="22"/>
          <w:lang w:val="en-US"/>
        </w:rPr>
        <w:t xml:space="preserve"> Individuals with type </w:t>
      </w:r>
      <w:r w:rsidRPr="005B27D5">
        <w:rPr>
          <w:rFonts w:cs="Arial"/>
          <w:szCs w:val="22"/>
          <w:lang w:val="en-US"/>
        </w:rPr>
        <w:t xml:space="preserve">O blood had increased susceptibility to infection, while individuals expressing the type B antigen were more resistant to infection. However, this association between ABO histo-blood group antigen and NoV infection appears to be specific to GI NoV strains only. Halperin et al. </w:t>
      </w:r>
      <w:r w:rsidRPr="005B27D5">
        <w:rPr>
          <w:rFonts w:cs="Arial"/>
          <w:noProof/>
          <w:szCs w:val="22"/>
          <w:lang w:val="en-US"/>
        </w:rPr>
        <w:t>(2008)</w:t>
      </w:r>
      <w:r w:rsidRPr="005B27D5">
        <w:rPr>
          <w:rFonts w:cs="Arial"/>
          <w:szCs w:val="22"/>
          <w:lang w:val="en-US"/>
        </w:rPr>
        <w:t xml:space="preserve"> studied 176 patients from 2 separate outbreaks caused by GII NoV strains and found there was no association between ABO histo-blood group antigen and the risk of clinical disease. </w:t>
      </w:r>
    </w:p>
    <w:p w14:paraId="2AE766BA" w14:textId="77777777" w:rsidR="00285EF0" w:rsidRPr="005B27D5" w:rsidRDefault="00285EF0" w:rsidP="00285EF0">
      <w:pPr>
        <w:rPr>
          <w:rFonts w:cs="Arial"/>
          <w:szCs w:val="22"/>
          <w:lang w:val="en-US"/>
        </w:rPr>
      </w:pPr>
    </w:p>
    <w:p w14:paraId="0A5CB4AE" w14:textId="2001DEF2" w:rsidR="00285EF0" w:rsidRPr="005B27D5" w:rsidRDefault="00285EF0" w:rsidP="00285EF0">
      <w:pPr>
        <w:rPr>
          <w:rFonts w:cs="Arial"/>
          <w:szCs w:val="22"/>
          <w:lang w:val="en-US"/>
        </w:rPr>
      </w:pPr>
      <w:r w:rsidRPr="005B27D5">
        <w:rPr>
          <w:rFonts w:cs="Arial"/>
          <w:szCs w:val="22"/>
          <w:lang w:val="en-US"/>
        </w:rPr>
        <w:t>Expression of most ABO histo-blood group antigens is dependent on the presence of a functional α(1,2)fucosyltransferase (</w:t>
      </w:r>
      <w:r w:rsidRPr="005B27D5">
        <w:rPr>
          <w:rFonts w:cs="Arial"/>
          <w:i/>
          <w:szCs w:val="22"/>
          <w:lang w:val="en-US"/>
        </w:rPr>
        <w:t>FUT2</w:t>
      </w:r>
      <w:r w:rsidRPr="005B27D5">
        <w:rPr>
          <w:rFonts w:cs="Arial"/>
          <w:szCs w:val="22"/>
          <w:lang w:val="en-US"/>
        </w:rPr>
        <w:t xml:space="preserve">) gene. Individuals with an inactivating </w:t>
      </w:r>
      <w:r w:rsidRPr="005B27D5">
        <w:rPr>
          <w:rFonts w:cs="Arial"/>
          <w:i/>
          <w:szCs w:val="22"/>
          <w:lang w:val="en-US"/>
        </w:rPr>
        <w:t>FUT2</w:t>
      </w:r>
      <w:r w:rsidRPr="005B27D5">
        <w:rPr>
          <w:rFonts w:cs="Arial"/>
          <w:szCs w:val="22"/>
          <w:lang w:val="en-US"/>
        </w:rPr>
        <w:t xml:space="preserve"> gene mutation are called non-secretors (Se</w:t>
      </w:r>
      <w:r w:rsidRPr="005B27D5">
        <w:rPr>
          <w:rFonts w:cs="Arial"/>
          <w:szCs w:val="22"/>
          <w:vertAlign w:val="superscript"/>
          <w:lang w:val="en-US"/>
        </w:rPr>
        <w:t>-</w:t>
      </w:r>
      <w:r w:rsidRPr="005B27D5">
        <w:rPr>
          <w:rFonts w:cs="Arial"/>
          <w:szCs w:val="22"/>
          <w:lang w:val="en-US"/>
        </w:rPr>
        <w:t>); wild-type individuals are called secretors (Se</w:t>
      </w:r>
      <w:r w:rsidRPr="005B27D5">
        <w:rPr>
          <w:rFonts w:cs="Arial"/>
          <w:szCs w:val="22"/>
          <w:vertAlign w:val="superscript"/>
          <w:lang w:val="en-US"/>
        </w:rPr>
        <w:t>+</w:t>
      </w:r>
      <w:r w:rsidRPr="005B27D5">
        <w:rPr>
          <w:rFonts w:cs="Arial"/>
          <w:szCs w:val="22"/>
          <w:lang w:val="en-US"/>
        </w:rPr>
        <w:t>). The Se</w:t>
      </w:r>
      <w:r w:rsidRPr="005B27D5">
        <w:rPr>
          <w:rFonts w:cs="Arial"/>
          <w:szCs w:val="22"/>
          <w:vertAlign w:val="superscript"/>
          <w:lang w:val="en-US"/>
        </w:rPr>
        <w:t>-</w:t>
      </w:r>
      <w:r w:rsidRPr="005B27D5">
        <w:rPr>
          <w:rFonts w:cs="Arial"/>
          <w:szCs w:val="22"/>
          <w:lang w:val="en-US"/>
        </w:rPr>
        <w:t xml:space="preserve"> phenotype occurs in about 20% of the European and North American populations </w:t>
      </w:r>
      <w:r w:rsidRPr="005B27D5">
        <w:rPr>
          <w:rFonts w:cs="Arial"/>
          <w:noProof/>
          <w:szCs w:val="22"/>
          <w:lang w:val="en-US"/>
        </w:rPr>
        <w:t>(Marionneau et al. 2002; Lindesmith et al. 2003; Rockx et al. 2005)</w:t>
      </w:r>
      <w:r w:rsidRPr="005B27D5">
        <w:rPr>
          <w:rFonts w:cs="Arial"/>
          <w:szCs w:val="22"/>
          <w:lang w:val="en-US"/>
        </w:rPr>
        <w:t>. Se</w:t>
      </w:r>
      <w:r w:rsidRPr="005B27D5">
        <w:rPr>
          <w:rFonts w:cs="Arial"/>
          <w:szCs w:val="22"/>
          <w:vertAlign w:val="superscript"/>
          <w:lang w:val="en-US"/>
        </w:rPr>
        <w:t xml:space="preserve">- </w:t>
      </w:r>
      <w:r w:rsidRPr="005B27D5">
        <w:rPr>
          <w:rFonts w:cs="Arial"/>
          <w:szCs w:val="22"/>
          <w:lang w:val="en-US"/>
        </w:rPr>
        <w:t xml:space="preserve">individuals are resistant to infection with </w:t>
      </w:r>
      <w:r>
        <w:rPr>
          <w:rFonts w:cs="Arial"/>
          <w:szCs w:val="22"/>
          <w:lang w:val="en-US"/>
        </w:rPr>
        <w:t>NoV GI strain</w:t>
      </w:r>
      <w:r w:rsidRPr="005B27D5">
        <w:rPr>
          <w:rFonts w:cs="Arial"/>
          <w:szCs w:val="22"/>
          <w:lang w:val="en-US"/>
        </w:rPr>
        <w:t xml:space="preserve"> </w:t>
      </w:r>
      <w:r>
        <w:rPr>
          <w:rFonts w:cs="Arial"/>
          <w:szCs w:val="22"/>
          <w:lang w:val="en-US"/>
        </w:rPr>
        <w:t>(</w:t>
      </w:r>
      <w:r w:rsidRPr="005B27D5">
        <w:rPr>
          <w:rFonts w:cs="Arial"/>
          <w:szCs w:val="22"/>
          <w:lang w:val="en-US"/>
        </w:rPr>
        <w:t>Norwalk v</w:t>
      </w:r>
      <w:r>
        <w:rPr>
          <w:rFonts w:cs="Arial"/>
          <w:szCs w:val="22"/>
          <w:lang w:val="en-US"/>
        </w:rPr>
        <w:t xml:space="preserve">irus) </w:t>
      </w:r>
      <w:r w:rsidRPr="005B27D5">
        <w:rPr>
          <w:rFonts w:cs="Arial"/>
          <w:szCs w:val="22"/>
          <w:lang w:val="en-US"/>
        </w:rPr>
        <w:t xml:space="preserve">as they do not express the appropriate ABO histo-blood group antigens necessary for docking and possibly viral entry </w:t>
      </w:r>
      <w:r w:rsidRPr="005B27D5">
        <w:rPr>
          <w:rFonts w:cs="Arial"/>
          <w:noProof/>
          <w:szCs w:val="22"/>
          <w:lang w:val="en-US"/>
        </w:rPr>
        <w:t>(Lindesmith et al. 2003; Lindesmith et al. 2008)</w:t>
      </w:r>
      <w:r w:rsidRPr="005B27D5">
        <w:rPr>
          <w:rFonts w:cs="Arial"/>
          <w:szCs w:val="22"/>
          <w:lang w:val="en-US"/>
        </w:rPr>
        <w:t>. However, other NoV strains can infect Se</w:t>
      </w:r>
      <w:r w:rsidRPr="005B27D5">
        <w:rPr>
          <w:rFonts w:cs="Arial"/>
          <w:szCs w:val="22"/>
          <w:vertAlign w:val="superscript"/>
          <w:lang w:val="en-US"/>
        </w:rPr>
        <w:t>-</w:t>
      </w:r>
      <w:r w:rsidR="00DB681B">
        <w:rPr>
          <w:rFonts w:cs="Arial"/>
          <w:szCs w:val="22"/>
          <w:lang w:val="en-US"/>
        </w:rPr>
        <w:t> </w:t>
      </w:r>
      <w:r w:rsidRPr="005B27D5">
        <w:rPr>
          <w:rFonts w:cs="Arial"/>
          <w:szCs w:val="22"/>
          <w:lang w:val="en-US"/>
        </w:rPr>
        <w:t xml:space="preserve">individuals </w:t>
      </w:r>
      <w:r w:rsidRPr="005B27D5">
        <w:rPr>
          <w:rFonts w:cs="Arial"/>
          <w:noProof/>
          <w:szCs w:val="22"/>
          <w:lang w:val="en-US"/>
        </w:rPr>
        <w:t>(Lindesmith et al. 2008; Debbink et al. 2012)</w:t>
      </w:r>
      <w:r w:rsidRPr="005B27D5">
        <w:rPr>
          <w:rFonts w:cs="Arial"/>
          <w:szCs w:val="22"/>
          <w:lang w:val="en-US"/>
        </w:rPr>
        <w:t>. GII.4 strains have been shown to infect about 6% of Se</w:t>
      </w:r>
      <w:r w:rsidRPr="005B27D5">
        <w:rPr>
          <w:rFonts w:cs="Arial"/>
          <w:szCs w:val="22"/>
          <w:vertAlign w:val="superscript"/>
          <w:lang w:val="en-US"/>
        </w:rPr>
        <w:t>-</w:t>
      </w:r>
      <w:r w:rsidRPr="005B27D5">
        <w:rPr>
          <w:rFonts w:cs="Arial"/>
          <w:szCs w:val="22"/>
          <w:lang w:val="en-US"/>
        </w:rPr>
        <w:t xml:space="preserve"> individuals compared to 70–77% of Se</w:t>
      </w:r>
      <w:r w:rsidRPr="005B27D5">
        <w:rPr>
          <w:rFonts w:cs="Arial"/>
          <w:szCs w:val="22"/>
          <w:vertAlign w:val="superscript"/>
          <w:lang w:val="en-US"/>
        </w:rPr>
        <w:t xml:space="preserve">+ </w:t>
      </w:r>
      <w:r w:rsidRPr="005B27D5">
        <w:rPr>
          <w:rFonts w:cs="Arial"/>
          <w:szCs w:val="22"/>
          <w:lang w:val="en-US"/>
        </w:rPr>
        <w:t xml:space="preserve">individuals across both outbreak and human challenge settings </w:t>
      </w:r>
      <w:r w:rsidRPr="005B27D5">
        <w:rPr>
          <w:rFonts w:cs="Arial"/>
          <w:noProof/>
          <w:szCs w:val="22"/>
          <w:lang w:val="en-US"/>
        </w:rPr>
        <w:t>(Carlsson et al. 2009; Frenck et al. 2012)</w:t>
      </w:r>
      <w:r w:rsidRPr="005B27D5">
        <w:rPr>
          <w:rFonts w:cs="Arial"/>
          <w:szCs w:val="22"/>
          <w:lang w:val="en-US"/>
        </w:rPr>
        <w:t>.</w:t>
      </w:r>
    </w:p>
    <w:p w14:paraId="218C3926" w14:textId="77777777" w:rsidR="00285EF0" w:rsidRPr="005B27D5" w:rsidRDefault="00285EF0" w:rsidP="00285EF0">
      <w:pPr>
        <w:rPr>
          <w:rFonts w:cs="Arial"/>
          <w:szCs w:val="22"/>
        </w:rPr>
      </w:pPr>
    </w:p>
    <w:p w14:paraId="1B793AA7" w14:textId="3F6A2463" w:rsidR="00285EF0" w:rsidRPr="005B27D5" w:rsidRDefault="00285EF0" w:rsidP="00285EF0">
      <w:pPr>
        <w:rPr>
          <w:rFonts w:cs="Arial"/>
          <w:szCs w:val="22"/>
        </w:rPr>
      </w:pPr>
      <w:r w:rsidRPr="005B27D5">
        <w:rPr>
          <w:rFonts w:cs="Arial"/>
          <w:szCs w:val="22"/>
        </w:rPr>
        <w:t>Both short-term and long-term immuni</w:t>
      </w:r>
      <w:r>
        <w:rPr>
          <w:rFonts w:cs="Arial"/>
          <w:szCs w:val="22"/>
        </w:rPr>
        <w:t>ty to NoV has been demonstrated; however</w:t>
      </w:r>
      <w:r w:rsidRPr="005B27D5">
        <w:rPr>
          <w:rFonts w:cs="Arial"/>
          <w:szCs w:val="22"/>
        </w:rPr>
        <w:t xml:space="preserve"> the mechanism mediating the immune response remains unclear </w:t>
      </w:r>
      <w:r w:rsidRPr="005B27D5">
        <w:rPr>
          <w:rFonts w:cs="Arial"/>
          <w:noProof/>
          <w:szCs w:val="22"/>
        </w:rPr>
        <w:t>(Donaldson et al. 2008)</w:t>
      </w:r>
      <w:r w:rsidRPr="005B27D5">
        <w:rPr>
          <w:rFonts w:cs="Arial"/>
          <w:szCs w:val="22"/>
        </w:rPr>
        <w:t xml:space="preserve">. In an early human challenge study Dolin et al. </w:t>
      </w:r>
      <w:r w:rsidRPr="005B27D5">
        <w:rPr>
          <w:rFonts w:cs="Arial"/>
          <w:noProof/>
          <w:szCs w:val="22"/>
        </w:rPr>
        <w:t>(1972)</w:t>
      </w:r>
      <w:r w:rsidRPr="005B27D5">
        <w:rPr>
          <w:rFonts w:cs="Arial"/>
          <w:szCs w:val="22"/>
        </w:rPr>
        <w:t xml:space="preserve"> demonstrated that when volunteers who had previously been susceptible to </w:t>
      </w:r>
      <w:r>
        <w:rPr>
          <w:rFonts w:cs="Arial"/>
          <w:szCs w:val="22"/>
        </w:rPr>
        <w:t>NoV (</w:t>
      </w:r>
      <w:r w:rsidRPr="005B27D5">
        <w:rPr>
          <w:rFonts w:cs="Arial"/>
          <w:szCs w:val="22"/>
        </w:rPr>
        <w:t>Norwalk vir</w:t>
      </w:r>
      <w:r>
        <w:rPr>
          <w:rFonts w:cs="Arial"/>
          <w:szCs w:val="22"/>
        </w:rPr>
        <w:t>us)</w:t>
      </w:r>
      <w:r w:rsidRPr="005B27D5">
        <w:rPr>
          <w:rFonts w:cs="Arial"/>
          <w:szCs w:val="22"/>
        </w:rPr>
        <w:t xml:space="preserve"> infection were rechallenged 6–14</w:t>
      </w:r>
      <w:r>
        <w:rPr>
          <w:rFonts w:cs="Arial"/>
          <w:szCs w:val="22"/>
        </w:rPr>
        <w:t> </w:t>
      </w:r>
      <w:r w:rsidRPr="005B27D5">
        <w:rPr>
          <w:rFonts w:cs="Arial"/>
          <w:szCs w:val="22"/>
        </w:rPr>
        <w:t xml:space="preserve">weeks later none of the volunteers became ill (n=6). This suggested the development of short-term immunity (for at least 6–14 weeks) against homologous virus infection. In another early study Parrino et al. </w:t>
      </w:r>
      <w:r w:rsidRPr="005B27D5">
        <w:rPr>
          <w:rFonts w:cs="Arial"/>
          <w:noProof/>
          <w:szCs w:val="22"/>
        </w:rPr>
        <w:t>(1977)</w:t>
      </w:r>
      <w:r w:rsidRPr="005B27D5">
        <w:rPr>
          <w:rFonts w:cs="Arial"/>
          <w:szCs w:val="22"/>
        </w:rPr>
        <w:t xml:space="preserve"> showed that when volunteers who had previously become ill were rechallenged with </w:t>
      </w:r>
      <w:r>
        <w:rPr>
          <w:rFonts w:cs="Arial"/>
          <w:szCs w:val="22"/>
        </w:rPr>
        <w:t>the same NoV strain (</w:t>
      </w:r>
      <w:r w:rsidRPr="005B27D5">
        <w:rPr>
          <w:rFonts w:cs="Arial"/>
          <w:szCs w:val="22"/>
        </w:rPr>
        <w:t>Norwalk vir</w:t>
      </w:r>
      <w:r>
        <w:rPr>
          <w:rFonts w:cs="Arial"/>
          <w:szCs w:val="22"/>
        </w:rPr>
        <w:t xml:space="preserve">us) </w:t>
      </w:r>
      <w:r w:rsidRPr="005B27D5">
        <w:rPr>
          <w:rFonts w:cs="Arial"/>
          <w:szCs w:val="22"/>
        </w:rPr>
        <w:t>27–42 months later they became ill again. However, when challenged a third time</w:t>
      </w:r>
      <w:r>
        <w:rPr>
          <w:rFonts w:cs="Arial"/>
          <w:szCs w:val="22"/>
        </w:rPr>
        <w:t>,</w:t>
      </w:r>
      <w:r w:rsidRPr="005B27D5">
        <w:rPr>
          <w:rFonts w:cs="Arial"/>
          <w:szCs w:val="22"/>
        </w:rPr>
        <w:t xml:space="preserve"> </w:t>
      </w:r>
      <w:r>
        <w:rPr>
          <w:rFonts w:cs="Arial"/>
          <w:szCs w:val="22"/>
        </w:rPr>
        <w:t xml:space="preserve">an additional </w:t>
      </w:r>
      <w:r w:rsidRPr="005B27D5">
        <w:rPr>
          <w:rFonts w:cs="Arial"/>
          <w:szCs w:val="22"/>
        </w:rPr>
        <w:t>4</w:t>
      </w:r>
      <w:r w:rsidR="00DB681B">
        <w:rPr>
          <w:rFonts w:cs="Arial"/>
          <w:szCs w:val="22"/>
        </w:rPr>
        <w:t>–</w:t>
      </w:r>
      <w:r w:rsidRPr="005B27D5">
        <w:rPr>
          <w:rFonts w:cs="Arial"/>
          <w:szCs w:val="22"/>
        </w:rPr>
        <w:t>8 weeks later</w:t>
      </w:r>
      <w:r>
        <w:rPr>
          <w:rFonts w:cs="Arial"/>
          <w:szCs w:val="22"/>
        </w:rPr>
        <w:t>,</w:t>
      </w:r>
      <w:r w:rsidRPr="005B27D5">
        <w:rPr>
          <w:rFonts w:cs="Arial"/>
          <w:szCs w:val="22"/>
        </w:rPr>
        <w:t xml:space="preserve"> most volunteers did not become ill. Johnson et al. </w:t>
      </w:r>
      <w:r w:rsidRPr="005B27D5">
        <w:rPr>
          <w:rFonts w:cs="Arial"/>
          <w:noProof/>
          <w:szCs w:val="22"/>
        </w:rPr>
        <w:t>(1990)</w:t>
      </w:r>
      <w:r w:rsidRPr="005B27D5">
        <w:rPr>
          <w:rFonts w:cs="Arial"/>
          <w:szCs w:val="22"/>
        </w:rPr>
        <w:t xml:space="preserve"> performed multiple challenge stud</w:t>
      </w:r>
      <w:r>
        <w:rPr>
          <w:rFonts w:cs="Arial"/>
          <w:szCs w:val="22"/>
        </w:rPr>
        <w:t>ies</w:t>
      </w:r>
      <w:r w:rsidRPr="005B27D5">
        <w:rPr>
          <w:rFonts w:cs="Arial"/>
          <w:szCs w:val="22"/>
        </w:rPr>
        <w:t xml:space="preserve"> in adult volunteers. Progressively greater resistance to clinical illness occurred with repeated exposure to </w:t>
      </w:r>
      <w:r>
        <w:rPr>
          <w:rFonts w:cs="Arial"/>
          <w:szCs w:val="22"/>
        </w:rPr>
        <w:t>NoV (</w:t>
      </w:r>
      <w:r w:rsidRPr="005B27D5">
        <w:rPr>
          <w:rFonts w:cs="Arial"/>
          <w:szCs w:val="22"/>
        </w:rPr>
        <w:t>Norwalk virus</w:t>
      </w:r>
      <w:r>
        <w:rPr>
          <w:rFonts w:cs="Arial"/>
          <w:szCs w:val="22"/>
        </w:rPr>
        <w:t>)</w:t>
      </w:r>
      <w:r w:rsidRPr="005B27D5">
        <w:rPr>
          <w:rFonts w:cs="Arial"/>
          <w:szCs w:val="22"/>
        </w:rPr>
        <w:t xml:space="preserve"> with 60% of individuals becoming ill after the first exposure (n=42), 18% after the second</w:t>
      </w:r>
      <w:r>
        <w:rPr>
          <w:rFonts w:cs="Arial"/>
          <w:szCs w:val="22"/>
        </w:rPr>
        <w:t xml:space="preserve"> exposure 6 </w:t>
      </w:r>
      <w:r w:rsidRPr="005B27D5">
        <w:rPr>
          <w:rFonts w:cs="Arial"/>
          <w:szCs w:val="22"/>
        </w:rPr>
        <w:t xml:space="preserve">months later (n=22) and none after the third exposure </w:t>
      </w:r>
      <w:r>
        <w:rPr>
          <w:rFonts w:cs="Arial"/>
          <w:szCs w:val="22"/>
        </w:rPr>
        <w:t xml:space="preserve">an additional </w:t>
      </w:r>
      <w:r w:rsidRPr="005B27D5">
        <w:rPr>
          <w:rFonts w:cs="Arial"/>
          <w:szCs w:val="22"/>
        </w:rPr>
        <w:t>6</w:t>
      </w:r>
      <w:r>
        <w:rPr>
          <w:rFonts w:cs="Arial"/>
          <w:szCs w:val="22"/>
        </w:rPr>
        <w:t> </w:t>
      </w:r>
      <w:r w:rsidRPr="005B27D5">
        <w:rPr>
          <w:rFonts w:cs="Arial"/>
          <w:szCs w:val="22"/>
        </w:rPr>
        <w:t>months</w:t>
      </w:r>
      <w:r>
        <w:rPr>
          <w:rFonts w:cs="Arial"/>
          <w:szCs w:val="22"/>
        </w:rPr>
        <w:t xml:space="preserve"> later</w:t>
      </w:r>
      <w:r w:rsidRPr="005B27D5">
        <w:rPr>
          <w:rFonts w:cs="Arial"/>
          <w:szCs w:val="22"/>
        </w:rPr>
        <w:t xml:space="preserve"> (n=19). </w:t>
      </w:r>
    </w:p>
    <w:p w14:paraId="14CBD5F6" w14:textId="77777777" w:rsidR="00285EF0" w:rsidRPr="005B27D5" w:rsidRDefault="00285EF0" w:rsidP="00285EF0">
      <w:pPr>
        <w:rPr>
          <w:rFonts w:cs="Arial"/>
          <w:szCs w:val="22"/>
        </w:rPr>
      </w:pPr>
    </w:p>
    <w:p w14:paraId="6ADC082B" w14:textId="77777777" w:rsidR="00285EF0" w:rsidRPr="005B27D5" w:rsidRDefault="00285EF0" w:rsidP="00285EF0">
      <w:pPr>
        <w:rPr>
          <w:rFonts w:cs="Arial"/>
          <w:szCs w:val="22"/>
        </w:rPr>
      </w:pPr>
      <w:r w:rsidRPr="005B27D5">
        <w:rPr>
          <w:rFonts w:cs="Arial"/>
          <w:szCs w:val="22"/>
        </w:rPr>
        <w:t xml:space="preserve">There is currently no </w:t>
      </w:r>
      <w:r>
        <w:rPr>
          <w:rFonts w:cs="Arial"/>
          <w:szCs w:val="22"/>
        </w:rPr>
        <w:t xml:space="preserve">licensed </w:t>
      </w:r>
      <w:r w:rsidRPr="005B27D5">
        <w:rPr>
          <w:rFonts w:cs="Arial"/>
          <w:szCs w:val="22"/>
        </w:rPr>
        <w:t>vaccine available for NoV infection.</w:t>
      </w:r>
      <w:r>
        <w:rPr>
          <w:rFonts w:cs="Arial"/>
          <w:szCs w:val="22"/>
        </w:rPr>
        <w:t xml:space="preserve"> Several candidate vaccines are under development, with some progressing to the clinical trial stage.</w:t>
      </w:r>
    </w:p>
    <w:p w14:paraId="00FA2CAD" w14:textId="77777777" w:rsidR="00E94ED2" w:rsidRDefault="00E94ED2">
      <w:pPr>
        <w:widowControl/>
        <w:rPr>
          <w:b/>
          <w:bCs/>
          <w:color w:val="000000" w:themeColor="text1"/>
          <w:lang w:eastAsia="en-AU" w:bidi="ar-SA"/>
        </w:rPr>
      </w:pPr>
      <w:bookmarkStart w:id="1191" w:name="_Toc66881463"/>
      <w:bookmarkStart w:id="1192" w:name="_Toc66883089"/>
      <w:r>
        <w:br w:type="page"/>
      </w:r>
    </w:p>
    <w:p w14:paraId="1632569B" w14:textId="5B024411" w:rsidR="00285EF0" w:rsidRPr="002F3191" w:rsidRDefault="00285EF0" w:rsidP="00787E56">
      <w:pPr>
        <w:pStyle w:val="Heading3"/>
      </w:pPr>
      <w:bookmarkStart w:id="1193" w:name="_Toc87614490"/>
      <w:bookmarkStart w:id="1194" w:name="_Toc87860129"/>
      <w:r w:rsidRPr="00C424BA">
        <w:t>Dose response</w:t>
      </w:r>
      <w:bookmarkEnd w:id="1191"/>
      <w:bookmarkEnd w:id="1192"/>
      <w:bookmarkEnd w:id="1193"/>
      <w:bookmarkEnd w:id="1194"/>
    </w:p>
    <w:p w14:paraId="24312AE3" w14:textId="77777777" w:rsidR="00285EF0" w:rsidRPr="005B27D5" w:rsidRDefault="00285EF0" w:rsidP="00285EF0">
      <w:pPr>
        <w:rPr>
          <w:rFonts w:cs="Arial"/>
          <w:szCs w:val="22"/>
        </w:rPr>
      </w:pPr>
      <w:r w:rsidRPr="005B27D5">
        <w:rPr>
          <w:rFonts w:cs="Arial"/>
          <w:szCs w:val="22"/>
        </w:rPr>
        <w:t xml:space="preserve">Teunis et al </w:t>
      </w:r>
      <w:r w:rsidRPr="005B27D5">
        <w:rPr>
          <w:rFonts w:cs="Arial"/>
          <w:noProof/>
          <w:szCs w:val="22"/>
        </w:rPr>
        <w:t>(2008)</w:t>
      </w:r>
      <w:r w:rsidRPr="005B27D5">
        <w:rPr>
          <w:rFonts w:cs="Arial"/>
          <w:szCs w:val="22"/>
        </w:rPr>
        <w:t xml:space="preserve"> developed a dose response model for </w:t>
      </w:r>
      <w:r>
        <w:rPr>
          <w:rFonts w:cs="Arial"/>
          <w:szCs w:val="22"/>
        </w:rPr>
        <w:t>NoV GI strain (</w:t>
      </w:r>
      <w:r w:rsidRPr="005B27D5">
        <w:rPr>
          <w:rFonts w:cs="Arial"/>
          <w:szCs w:val="22"/>
        </w:rPr>
        <w:t>Norwalk virus</w:t>
      </w:r>
      <w:r>
        <w:rPr>
          <w:rFonts w:cs="Arial"/>
          <w:szCs w:val="22"/>
        </w:rPr>
        <w:t>)</w:t>
      </w:r>
      <w:r w:rsidRPr="005B27D5">
        <w:rPr>
          <w:rFonts w:cs="Arial"/>
          <w:szCs w:val="22"/>
        </w:rPr>
        <w:t xml:space="preserve"> from human challenge data. The average probability of infection on ingestion of a single viral particle was approximately 0.5. Infected individuals had a dose dependent probability of becoming ill that ranged from 0.1 for a dose of 10</w:t>
      </w:r>
      <w:r w:rsidRPr="005B27D5">
        <w:rPr>
          <w:rFonts w:cs="Arial"/>
          <w:szCs w:val="22"/>
          <w:vertAlign w:val="superscript"/>
        </w:rPr>
        <w:t>3</w:t>
      </w:r>
      <w:r w:rsidRPr="005B27D5">
        <w:rPr>
          <w:rFonts w:cs="Arial"/>
          <w:szCs w:val="22"/>
        </w:rPr>
        <w:t xml:space="preserve"> viral genomes to a probability of 0.7 for a dose of 10</w:t>
      </w:r>
      <w:r w:rsidRPr="005B27D5">
        <w:rPr>
          <w:rFonts w:cs="Arial"/>
          <w:szCs w:val="22"/>
          <w:vertAlign w:val="superscript"/>
        </w:rPr>
        <w:t>8</w:t>
      </w:r>
      <w:r w:rsidRPr="005B27D5">
        <w:rPr>
          <w:rFonts w:cs="Arial"/>
          <w:szCs w:val="22"/>
        </w:rPr>
        <w:t xml:space="preserve"> viral genomes. As </w:t>
      </w:r>
      <w:r>
        <w:rPr>
          <w:rFonts w:cs="Arial"/>
          <w:szCs w:val="22"/>
        </w:rPr>
        <w:t>NoV GI strain (</w:t>
      </w:r>
      <w:r w:rsidRPr="005B27D5">
        <w:rPr>
          <w:rFonts w:cs="Arial"/>
          <w:szCs w:val="22"/>
        </w:rPr>
        <w:t>Norwalk virus</w:t>
      </w:r>
      <w:r>
        <w:rPr>
          <w:rFonts w:cs="Arial"/>
          <w:szCs w:val="22"/>
        </w:rPr>
        <w:t>)</w:t>
      </w:r>
      <w:r w:rsidRPr="005B27D5">
        <w:rPr>
          <w:rFonts w:cs="Arial"/>
          <w:szCs w:val="22"/>
        </w:rPr>
        <w:t xml:space="preserve"> does not infect Se</w:t>
      </w:r>
      <w:r w:rsidRPr="005B27D5">
        <w:rPr>
          <w:rFonts w:cs="Arial"/>
          <w:szCs w:val="22"/>
          <w:vertAlign w:val="superscript"/>
        </w:rPr>
        <w:t>-</w:t>
      </w:r>
      <w:r w:rsidRPr="005B27D5">
        <w:rPr>
          <w:rFonts w:cs="Arial"/>
          <w:szCs w:val="22"/>
        </w:rPr>
        <w:t xml:space="preserve"> individuals, this dose response model only utilised data from Se</w:t>
      </w:r>
      <w:r w:rsidRPr="005B27D5">
        <w:rPr>
          <w:rFonts w:cs="Arial"/>
          <w:szCs w:val="22"/>
          <w:vertAlign w:val="superscript"/>
        </w:rPr>
        <w:t>+</w:t>
      </w:r>
      <w:r w:rsidRPr="005B27D5">
        <w:rPr>
          <w:rFonts w:cs="Arial"/>
          <w:szCs w:val="22"/>
        </w:rPr>
        <w:t xml:space="preserve"> individuals that are susceptible to infection.</w:t>
      </w:r>
    </w:p>
    <w:p w14:paraId="0D47113F" w14:textId="77777777" w:rsidR="00285EF0" w:rsidRPr="005B27D5" w:rsidRDefault="00285EF0" w:rsidP="00285EF0">
      <w:pPr>
        <w:rPr>
          <w:rFonts w:cs="Arial"/>
          <w:szCs w:val="22"/>
        </w:rPr>
      </w:pPr>
    </w:p>
    <w:p w14:paraId="7A6D5C00" w14:textId="77777777" w:rsidR="00285EF0" w:rsidRPr="005B27D5" w:rsidRDefault="00285EF0" w:rsidP="00285EF0">
      <w:pPr>
        <w:rPr>
          <w:rFonts w:cs="Arial"/>
          <w:szCs w:val="22"/>
        </w:rPr>
      </w:pPr>
      <w:r w:rsidRPr="005B27D5">
        <w:rPr>
          <w:rFonts w:cs="Arial"/>
          <w:szCs w:val="22"/>
        </w:rPr>
        <w:t xml:space="preserve">The attack rate (proportion of people who become ill) may be influenced by factors such as the amount of infectious virus particles ingested, host susceptibility and virus pathogenicity. A study by Noda et al. </w:t>
      </w:r>
      <w:r w:rsidRPr="005B27D5">
        <w:rPr>
          <w:rFonts w:cs="Arial"/>
          <w:noProof/>
          <w:szCs w:val="22"/>
        </w:rPr>
        <w:t>(2008)</w:t>
      </w:r>
      <w:r w:rsidRPr="005B27D5">
        <w:rPr>
          <w:rFonts w:cs="Arial"/>
          <w:szCs w:val="22"/>
        </w:rPr>
        <w:t xml:space="preserve"> showed that the attack rate in oyster-related outbreaks was higher than in food handler-associated outbreaks. This may be attributed to food handler outbreaks being associated with a single NoV strain. In comparison</w:t>
      </w:r>
      <w:r>
        <w:rPr>
          <w:rFonts w:cs="Arial"/>
          <w:szCs w:val="22"/>
        </w:rPr>
        <w:t>,</w:t>
      </w:r>
      <w:r w:rsidRPr="005B27D5">
        <w:rPr>
          <w:rFonts w:cs="Arial"/>
          <w:szCs w:val="22"/>
        </w:rPr>
        <w:t xml:space="preserve"> various NoV strains (such as GI and GII.3) have been shown to accumulate in oysters in the sea environment and this joint bioaccumulation could result in multiple NoV strains being associated with a single oyster outbreak. Also, the attack rate in outbreaks associated with GII.4 strains was lower than for GII.3 strains. This suggests that GII.4 may cause asymptomatic infection more frequently than other NoV genotypes </w:t>
      </w:r>
      <w:r w:rsidRPr="005B27D5">
        <w:rPr>
          <w:rFonts w:cs="Arial"/>
          <w:noProof/>
          <w:szCs w:val="22"/>
        </w:rPr>
        <w:t>(Noda et al. 2008; Maalouf et al. 2011)</w:t>
      </w:r>
      <w:r w:rsidRPr="005B27D5">
        <w:rPr>
          <w:rFonts w:cs="Arial"/>
          <w:szCs w:val="22"/>
        </w:rPr>
        <w:t>.</w:t>
      </w:r>
    </w:p>
    <w:p w14:paraId="4742A7BE" w14:textId="77777777" w:rsidR="001B4D3A" w:rsidRPr="00145A61" w:rsidRDefault="00285EF0" w:rsidP="00787E56">
      <w:pPr>
        <w:pStyle w:val="Heading3"/>
      </w:pPr>
      <w:bookmarkStart w:id="1195" w:name="_Toc66881464"/>
      <w:bookmarkStart w:id="1196" w:name="_Toc66883090"/>
      <w:bookmarkStart w:id="1197" w:name="_Toc87614491"/>
      <w:bookmarkStart w:id="1198" w:name="_Toc87860130"/>
      <w:r w:rsidRPr="00BC0FBD">
        <w:t>References</w:t>
      </w:r>
      <w:bookmarkEnd w:id="1195"/>
      <w:bookmarkEnd w:id="1196"/>
      <w:bookmarkEnd w:id="1197"/>
      <w:bookmarkEnd w:id="1198"/>
    </w:p>
    <w:p w14:paraId="5B2CD45E" w14:textId="358D39CB" w:rsidR="00285EF0" w:rsidRPr="001B4D3A" w:rsidRDefault="00285EF0" w:rsidP="001B4D3A">
      <w:pPr>
        <w:spacing w:after="120"/>
        <w:rPr>
          <w:noProof/>
          <w:sz w:val="20"/>
          <w:szCs w:val="20"/>
        </w:rPr>
      </w:pPr>
      <w:r w:rsidRPr="001B4D3A">
        <w:rPr>
          <w:noProof/>
          <w:sz w:val="20"/>
          <w:szCs w:val="20"/>
        </w:rPr>
        <w:t>Atmar RL, Opekun AR, Gilger MA, Estes MK, Crawford SE, Nei</w:t>
      </w:r>
      <w:r w:rsidR="007C4D68">
        <w:rPr>
          <w:noProof/>
          <w:sz w:val="20"/>
          <w:szCs w:val="20"/>
        </w:rPr>
        <w:t>ll FH, Graham DY (2008) Norwalk </w:t>
      </w:r>
      <w:r w:rsidRPr="001B4D3A">
        <w:rPr>
          <w:noProof/>
          <w:sz w:val="20"/>
          <w:szCs w:val="20"/>
        </w:rPr>
        <w:t>virus shedding after experimental human infection. Emerging Infectious Diseases 14(10):1553–1557</w:t>
      </w:r>
    </w:p>
    <w:p w14:paraId="61DBF735" w14:textId="456C3E6B" w:rsidR="00285EF0" w:rsidRPr="002F3191" w:rsidRDefault="00285EF0" w:rsidP="00285EF0">
      <w:pPr>
        <w:tabs>
          <w:tab w:val="left" w:pos="0"/>
        </w:tabs>
        <w:spacing w:after="120"/>
        <w:rPr>
          <w:rFonts w:cs="Arial"/>
          <w:noProof/>
          <w:sz w:val="20"/>
          <w:szCs w:val="20"/>
        </w:rPr>
      </w:pPr>
      <w:r w:rsidRPr="002F3191">
        <w:rPr>
          <w:rFonts w:cs="Arial"/>
          <w:noProof/>
          <w:sz w:val="20"/>
          <w:szCs w:val="20"/>
        </w:rPr>
        <w:t>Baert L, Mattison K, Loisy-Hamon F, Harlow J, Martyres A, Lebeau B, Stals A, Van Collie E, H</w:t>
      </w:r>
      <w:r w:rsidR="007C4D68">
        <w:rPr>
          <w:rFonts w:cs="Arial"/>
          <w:noProof/>
          <w:sz w:val="20"/>
          <w:szCs w:val="20"/>
        </w:rPr>
        <w:t>erman </w:t>
      </w:r>
      <w:r w:rsidRPr="002F3191">
        <w:rPr>
          <w:rFonts w:cs="Arial"/>
          <w:noProof/>
          <w:sz w:val="20"/>
          <w:szCs w:val="20"/>
        </w:rPr>
        <w:t>L, Uyttendaele M (2011) Review: Norovirus prevalence in Belgian, Canadian and French fresh produce: A threat the human health? International Journal of Food Microbiology 151:261–269</w:t>
      </w:r>
    </w:p>
    <w:p w14:paraId="4EA79D05"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Bank-Wolf BR, Konig M, Thiel HJ (2010) Zoonotic aspects of infections with noroviruses and sapoviruses. Veterinary Microbiology 140:204–212</w:t>
      </w:r>
    </w:p>
    <w:p w14:paraId="0F3FB0D2"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Barrabeig I, Rovira A, Buesa J, Bartolome R, Pinto R, Prellezo H, Dominguez A (2010) Foodborne norovirus outbreak: The role of an asymptomatic food handler. BMC Infectious Diseases 10:269</w:t>
      </w:r>
    </w:p>
    <w:p w14:paraId="196F2043"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Boxman I, Dijkman R, Verhoef L, Maat A, Van Dijk G, Vennema H, Koopmans M (2009) Norovirus on swabs taken from hands illustrate route of transmission: A case study. Journal of Food Protection 72(8):1753–1755</w:t>
      </w:r>
    </w:p>
    <w:p w14:paraId="5735781D"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Burkhardt W, Calci KR (2000) Selective accumulation may account for shellfish-associated viral illness. Applied and Environmental Microbiology 66(4):1375–1378</w:t>
      </w:r>
    </w:p>
    <w:p w14:paraId="394DDF34"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Butot S, Putallaz T, Sanchez G (2008) Effects of sanitation, freezing and frozen storage on enteric viruses in berries and herbs. International Journal of Food Microbiology 126:30–35</w:t>
      </w:r>
    </w:p>
    <w:p w14:paraId="7B78B297"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 xml:space="preserve">Carlsson B, Kindberg E, Buesa J, Rydell GE, Lidon MF, Montava R, Mallouh RA, Grahn A, Rodriguez-Diaz J, Bellido J, Arnedo A, Larson G, Svensson L (2009) The G428A nonsense mutation in </w:t>
      </w:r>
      <w:r w:rsidRPr="002F3191">
        <w:rPr>
          <w:rFonts w:cs="Arial"/>
          <w:i/>
          <w:noProof/>
          <w:sz w:val="20"/>
          <w:szCs w:val="20"/>
        </w:rPr>
        <w:t xml:space="preserve">FUT2 </w:t>
      </w:r>
      <w:r w:rsidRPr="002F3191">
        <w:rPr>
          <w:rFonts w:cs="Arial"/>
          <w:noProof/>
          <w:sz w:val="20"/>
          <w:szCs w:val="20"/>
        </w:rPr>
        <w:t>provides strong but not absolute protection against symptomatic GII.4 norovirus infection. PLoS ONE 4(5):e5593</w:t>
      </w:r>
    </w:p>
    <w:p w14:paraId="60684FDA"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CDC (2011) Updated norovirus outbreak management and disease prevention guidelines. Morbidity and Mortality Weekly Report Recommendations and Reports 60(3):1–15</w:t>
      </w:r>
    </w:p>
    <w:p w14:paraId="1CCC47EC"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Codex (2012) Guidelines on the application of general principles of food hygiene to the control of viruses in food (CAC/GL 79 - 2</w:t>
      </w:r>
      <w:r>
        <w:rPr>
          <w:rFonts w:cs="Arial"/>
          <w:noProof/>
          <w:sz w:val="20"/>
          <w:szCs w:val="20"/>
        </w:rPr>
        <w:t xml:space="preserve">012). Codex Alimentarius, Rome. </w:t>
      </w:r>
      <w:hyperlink r:id="rId566" w:history="1">
        <w:r w:rsidRPr="002F3191">
          <w:rPr>
            <w:rStyle w:val="Hyperlink"/>
            <w:rFonts w:cs="Arial"/>
            <w:noProof/>
            <w:color w:val="0000FF"/>
            <w:sz w:val="20"/>
            <w:szCs w:val="20"/>
          </w:rPr>
          <w:t>http://www.fao.org/fao-who-codexalimentarius/standards/list-of-standards/en/</w:t>
        </w:r>
      </w:hyperlink>
      <w:r w:rsidRPr="002F3191">
        <w:rPr>
          <w:rFonts w:cs="Arial"/>
          <w:noProof/>
          <w:sz w:val="20"/>
          <w:szCs w:val="20"/>
        </w:rPr>
        <w:t>. Accessed 24 February 2017</w:t>
      </w:r>
    </w:p>
    <w:p w14:paraId="63EFE786"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Croci L, Suffredini E, Di Pasquale S, Cozzi L (2012) Detection of norovirus and feline calicivirus in spiked molluscs subjected to heat treatments. Food Control 25:17–22</w:t>
      </w:r>
    </w:p>
    <w:p w14:paraId="641656F1" w14:textId="77777777" w:rsidR="00E94ED2" w:rsidRDefault="00E94ED2">
      <w:pPr>
        <w:widowControl/>
        <w:rPr>
          <w:rFonts w:cs="Arial"/>
          <w:noProof/>
          <w:sz w:val="20"/>
          <w:szCs w:val="20"/>
        </w:rPr>
      </w:pPr>
      <w:r>
        <w:rPr>
          <w:rFonts w:cs="Arial"/>
          <w:noProof/>
          <w:sz w:val="20"/>
          <w:szCs w:val="20"/>
        </w:rPr>
        <w:br w:type="page"/>
      </w:r>
    </w:p>
    <w:p w14:paraId="0591E1C4" w14:textId="326B93EA" w:rsidR="00285EF0" w:rsidRPr="002F3191" w:rsidRDefault="00285EF0" w:rsidP="00285EF0">
      <w:pPr>
        <w:tabs>
          <w:tab w:val="left" w:pos="0"/>
        </w:tabs>
        <w:spacing w:after="120"/>
        <w:rPr>
          <w:rFonts w:cs="Arial"/>
          <w:noProof/>
          <w:sz w:val="20"/>
          <w:szCs w:val="20"/>
        </w:rPr>
      </w:pPr>
      <w:r w:rsidRPr="002F3191">
        <w:rPr>
          <w:rFonts w:cs="Arial"/>
          <w:noProof/>
          <w:sz w:val="20"/>
          <w:szCs w:val="20"/>
        </w:rPr>
        <w:t>D'Souza DH, Sair A, Williams K, Papafragkou E, Jean J, Moore C, Jaykus L (2006) Persistence of caliciviruses on environmental surfaces and their transfer to food. International Journal of Food Microbiology 108:84–91</w:t>
      </w:r>
    </w:p>
    <w:p w14:paraId="488EC6C3"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Debbink K, Lindesmith LC, Donaldson EF, Baric RS (2012) Norovirus immunity and the great escape. PLoS Pathogen 8(10):e1002921</w:t>
      </w:r>
    </w:p>
    <w:p w14:paraId="286C0746"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DePaola A, Jones JL, Woods J, Burkhardt W, Calci KR, Kranz JA, Bowers JC, Kasturi K, Byars RH, Jacobs E, Williams-Hill D, Nabe K (2010) Bacterial and viral pathogens in live oysters: 2007 United States market survey. Applied and Environmental Microbiology 76(9):2754–2768</w:t>
      </w:r>
    </w:p>
    <w:p w14:paraId="535FD980"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Desai R, Hembree CD, Handel A, Matthews JE, Dickey BW, McDonald S, Hall AJ, Parashar UD, Leon JS, Lopman B (2012) Severe outcomes are associated with genogroup 2 genotype 4 norovirus outbreaks: A systematic literature review. Clinical Infectious Diseases 55(2):189–193</w:t>
      </w:r>
    </w:p>
    <w:p w14:paraId="1F27F1DF"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Dolin R, Blacklow NR, DuPont H, Buscho RF, Wyatt RG, Kasel JA, Hornick R, Chanock RM (1972) Biological properties of Norwalk agent of acute infectious nonbacterial gastroenteritis. Proceedings of the Society for Experimental Biology and Medicine 140(2):578–583</w:t>
      </w:r>
    </w:p>
    <w:p w14:paraId="5A76C0D7"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Donaldson EF, Lindesmith LC, Lobue AD, Baric RS (2008) Norovirus pathogenesis: Mechanisms of persistence and immune evasion in human populations. Immunological Reviews 225:190–211</w:t>
      </w:r>
    </w:p>
    <w:p w14:paraId="18D0E73A"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EFSA (2015) The European Union summary report on trends and sources of zoonoses, zoonotic agents and food-borne outbreaks in 2014. EFSA Journal 13(12):4329</w:t>
      </w:r>
    </w:p>
    <w:p w14:paraId="307486D5"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EFSA (2016) The European Union summary report on trends and sources of zoonoses, zoonotic agents and food-borne outbreaks in 2015. EFSA Journal 14(12):4634</w:t>
      </w:r>
    </w:p>
    <w:p w14:paraId="01655EEB" w14:textId="7787867D" w:rsidR="00285EF0" w:rsidRPr="002F3191" w:rsidRDefault="00285EF0" w:rsidP="00285EF0">
      <w:pPr>
        <w:tabs>
          <w:tab w:val="left" w:pos="0"/>
        </w:tabs>
        <w:spacing w:after="120"/>
        <w:rPr>
          <w:rFonts w:cs="Arial"/>
          <w:noProof/>
          <w:sz w:val="20"/>
          <w:szCs w:val="20"/>
        </w:rPr>
      </w:pPr>
      <w:r w:rsidRPr="002F3191">
        <w:rPr>
          <w:rFonts w:cs="Arial"/>
          <w:noProof/>
          <w:sz w:val="20"/>
          <w:szCs w:val="20"/>
        </w:rPr>
        <w:t>FDA (2012) Bad bug book: Foodborne pathogenic microorganisms a</w:t>
      </w:r>
      <w:r w:rsidR="007C4D68">
        <w:rPr>
          <w:rFonts w:cs="Arial"/>
          <w:noProof/>
          <w:sz w:val="20"/>
          <w:szCs w:val="20"/>
        </w:rPr>
        <w:t>nd natural toxins handbook, 2</w:t>
      </w:r>
      <w:r w:rsidR="007C4D68" w:rsidRPr="007C4D68">
        <w:rPr>
          <w:rFonts w:cs="Arial"/>
          <w:noProof/>
          <w:sz w:val="20"/>
          <w:szCs w:val="20"/>
          <w:vertAlign w:val="superscript"/>
        </w:rPr>
        <w:t>nd</w:t>
      </w:r>
      <w:r w:rsidR="007C4D68">
        <w:rPr>
          <w:rFonts w:cs="Arial"/>
          <w:noProof/>
          <w:sz w:val="20"/>
          <w:szCs w:val="20"/>
        </w:rPr>
        <w:t> </w:t>
      </w:r>
      <w:r w:rsidRPr="002F3191">
        <w:rPr>
          <w:rFonts w:cs="Arial"/>
          <w:noProof/>
          <w:sz w:val="20"/>
          <w:szCs w:val="20"/>
        </w:rPr>
        <w:t>ed. US Food and Drug</w:t>
      </w:r>
      <w:r>
        <w:rPr>
          <w:rFonts w:cs="Arial"/>
          <w:noProof/>
          <w:sz w:val="20"/>
          <w:szCs w:val="20"/>
        </w:rPr>
        <w:t xml:space="preserve"> Administration, Silver Spring. </w:t>
      </w:r>
      <w:hyperlink r:id="rId567" w:history="1">
        <w:r w:rsidRPr="002F3191">
          <w:rPr>
            <w:rStyle w:val="Hyperlink"/>
            <w:rFonts w:cs="Arial"/>
            <w:noProof/>
            <w:color w:val="0000FF"/>
            <w:sz w:val="20"/>
            <w:szCs w:val="20"/>
          </w:rPr>
          <w:t>https://www.fda.gov/Food/FoodborneIllnessContaminants/CausesOfIllnessBadBugBook/ucm2006773.htm</w:t>
        </w:r>
      </w:hyperlink>
      <w:r w:rsidRPr="002F3191">
        <w:rPr>
          <w:rFonts w:cs="Arial"/>
          <w:noProof/>
          <w:sz w:val="20"/>
          <w:szCs w:val="20"/>
        </w:rPr>
        <w:t>. Accessed 30 June 2017</w:t>
      </w:r>
    </w:p>
    <w:p w14:paraId="28F70011"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Frenck R, Bernstein DI, Xia M, Huang P, Zhoug W, Parker S, Dickey M, McNeal M, Jiang X (2012) Predicting susceptibility to norovirus GII.4 by use of a challenge model involving humans. Journal of Infectious Diseases 206:1386–1393</w:t>
      </w:r>
    </w:p>
    <w:p w14:paraId="26CA437A"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Girard M, Ngazoa S, Mattison K, Jean J (2010) Attachment of noroviruses to stainless steel and their inactivation, using household disinfectants. Journal of Food Protection 73(2):400–404</w:t>
      </w:r>
    </w:p>
    <w:p w14:paraId="388B603F"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 xml:space="preserve">Green KY (2013) </w:t>
      </w:r>
      <w:r w:rsidRPr="002F3191">
        <w:rPr>
          <w:rFonts w:cs="Arial"/>
          <w:i/>
          <w:noProof/>
          <w:sz w:val="20"/>
          <w:szCs w:val="20"/>
        </w:rPr>
        <w:t xml:space="preserve">Caliciviridae: </w:t>
      </w:r>
      <w:r w:rsidRPr="002F3191">
        <w:rPr>
          <w:rFonts w:cs="Arial"/>
          <w:noProof/>
          <w:sz w:val="20"/>
          <w:szCs w:val="20"/>
        </w:rPr>
        <w:t>The noroviruses. Ch 20 In: Knipe DM, Howley PM (eds) Fields virology. 6th ed, Lippincott Williams and Wilkins, Philadelphia, p. 582–608</w:t>
      </w:r>
    </w:p>
    <w:p w14:paraId="55F82691" w14:textId="0A8B7C14" w:rsidR="00285EF0" w:rsidRPr="002F3191" w:rsidRDefault="00285EF0" w:rsidP="00285EF0">
      <w:pPr>
        <w:tabs>
          <w:tab w:val="left" w:pos="0"/>
        </w:tabs>
        <w:spacing w:after="120"/>
        <w:rPr>
          <w:rFonts w:cs="Arial"/>
          <w:noProof/>
          <w:sz w:val="20"/>
          <w:szCs w:val="20"/>
        </w:rPr>
      </w:pPr>
      <w:r w:rsidRPr="002F3191">
        <w:rPr>
          <w:rFonts w:cs="Arial"/>
          <w:noProof/>
          <w:sz w:val="20"/>
          <w:szCs w:val="20"/>
        </w:rPr>
        <w:t xml:space="preserve">Halperin T, Vennema H, Koopmans M, Bar-Gal GK, Kayouf R, Sela </w:t>
      </w:r>
      <w:r w:rsidR="007C4D68">
        <w:rPr>
          <w:rFonts w:cs="Arial"/>
          <w:noProof/>
          <w:sz w:val="20"/>
          <w:szCs w:val="20"/>
        </w:rPr>
        <w:t>T, Ambar R, Klement E (2008) No </w:t>
      </w:r>
      <w:r w:rsidRPr="002F3191">
        <w:rPr>
          <w:rFonts w:cs="Arial"/>
          <w:noProof/>
          <w:sz w:val="20"/>
          <w:szCs w:val="20"/>
        </w:rPr>
        <w:t>association between histo-blood group antigens and susceptibility to clinical infections with genogroup II norovirus. Journal of Infectious Diseases 197:63–65</w:t>
      </w:r>
    </w:p>
    <w:p w14:paraId="2BEC6A62"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Harris JP, Edmunds WJ, Pebody R, Brown DW, Lopman BA (2008) Deaths from norovirus among the eldery, England and Wales. Emerging Infectious Diseases 14(10):1546–1552</w:t>
      </w:r>
    </w:p>
    <w:p w14:paraId="27BA060C"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Horn B, Lopez L, Cressey P, Roos R (2015) Annual report concerning foodborne disease in New Zealand 2014. Ministry for</w:t>
      </w:r>
      <w:r>
        <w:rPr>
          <w:rFonts w:cs="Arial"/>
          <w:noProof/>
          <w:sz w:val="20"/>
          <w:szCs w:val="20"/>
        </w:rPr>
        <w:t xml:space="preserve"> Primary Industry, New Zealand. </w:t>
      </w:r>
      <w:hyperlink r:id="rId568" w:history="1">
        <w:r w:rsidRPr="002F3191">
          <w:rPr>
            <w:rStyle w:val="Hyperlink"/>
            <w:rFonts w:cs="Arial"/>
            <w:noProof/>
            <w:color w:val="0000FF"/>
            <w:sz w:val="20"/>
            <w:szCs w:val="20"/>
          </w:rPr>
          <w:t>http://www.foodsafety.govt.nz/science-risk/human-health-surveillance/foodborne-disease-annual-reports.htm</w:t>
        </w:r>
      </w:hyperlink>
      <w:r w:rsidRPr="002F3191">
        <w:rPr>
          <w:rFonts w:cs="Arial"/>
          <w:noProof/>
          <w:sz w:val="20"/>
          <w:szCs w:val="20"/>
        </w:rPr>
        <w:t>. Accessed 1 May 2017</w:t>
      </w:r>
    </w:p>
    <w:p w14:paraId="2686C909"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Hutson AM, Atmar RL, Graham DY, Estes MK (2002) Norwalk virus infection and disease is associated with ABO histo-blood group type. Journal of Infectious Diseases 185:1335–1337</w:t>
      </w:r>
    </w:p>
    <w:p w14:paraId="1BDB2D79"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Jeong AY, Jeong HS, Lee JS, Park YC, Lee SH, Hwang IG, Kim YJ, Kim YJ, Jo MY, Jung S, Kim K, Cheon D (2012) Occurence of norovirus infections in asymptomatic food handlers in South Korea. Journal of Clinical Microbiology 51(2):598–600</w:t>
      </w:r>
    </w:p>
    <w:p w14:paraId="426C2E35"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Johnson PC, Mathewson JJ, DuPont HL, Greenberg HB (1990) Multiple-challenge study of host susceptibility to Norwalk gastroenteritis in US adults. Journal of Infectious Diseases 161(1):18–21</w:t>
      </w:r>
    </w:p>
    <w:p w14:paraId="4B358A62"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Karst SM (2010) Pathogenesis of noroviruses, emerging RNA viruses. Viruses 2:748–781</w:t>
      </w:r>
    </w:p>
    <w:p w14:paraId="600AB75A"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Kirk M, Glass K, Ford L, Brown K, Hall G (2014) Foodborne illness in Australia: Annual incidence circa 2010. Australian Government Department of Health, Canberra</w:t>
      </w:r>
    </w:p>
    <w:p w14:paraId="0E68AD87" w14:textId="77777777" w:rsidR="00E94ED2" w:rsidRDefault="00E94ED2">
      <w:pPr>
        <w:widowControl/>
        <w:rPr>
          <w:rFonts w:cs="Arial"/>
          <w:noProof/>
          <w:sz w:val="20"/>
          <w:szCs w:val="20"/>
        </w:rPr>
      </w:pPr>
      <w:r>
        <w:rPr>
          <w:rFonts w:cs="Arial"/>
          <w:noProof/>
          <w:sz w:val="20"/>
          <w:szCs w:val="20"/>
        </w:rPr>
        <w:br w:type="page"/>
      </w:r>
    </w:p>
    <w:p w14:paraId="1628EB2A" w14:textId="42749AEF" w:rsidR="00285EF0" w:rsidRPr="002F3191" w:rsidRDefault="00285EF0" w:rsidP="00285EF0">
      <w:pPr>
        <w:tabs>
          <w:tab w:val="left" w:pos="0"/>
        </w:tabs>
        <w:spacing w:after="120"/>
        <w:rPr>
          <w:rFonts w:cs="Arial"/>
          <w:noProof/>
          <w:sz w:val="20"/>
          <w:szCs w:val="20"/>
        </w:rPr>
      </w:pPr>
      <w:r w:rsidRPr="002F3191">
        <w:rPr>
          <w:rFonts w:cs="Arial"/>
          <w:noProof/>
          <w:sz w:val="20"/>
          <w:szCs w:val="20"/>
        </w:rPr>
        <w:t>le Guyader FS, Atmar RL, Le Pendu J (2012) Transmission of viruses through shellfish:</w:t>
      </w:r>
      <w:r w:rsidR="007C4D68">
        <w:rPr>
          <w:rFonts w:cs="Arial"/>
          <w:noProof/>
          <w:sz w:val="20"/>
          <w:szCs w:val="20"/>
        </w:rPr>
        <w:t xml:space="preserve"> When </w:t>
      </w:r>
      <w:r w:rsidRPr="002F3191">
        <w:rPr>
          <w:rFonts w:cs="Arial"/>
          <w:noProof/>
          <w:sz w:val="20"/>
          <w:szCs w:val="20"/>
        </w:rPr>
        <w:t>specific ligands come into play. Current Opinion in Virology 2:103–110</w:t>
      </w:r>
    </w:p>
    <w:p w14:paraId="3AD25A36"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Lindesmith L, Moe C, Marionneau S, Ruvoen N, Jiang X, Lindblad L, Stewart P, Le Pendu J, Baric R (2003) Human susceptibilitly and resistance to Norwalk virus infection. Nature Medicine 9(5):548–553</w:t>
      </w:r>
    </w:p>
    <w:p w14:paraId="32DBAD0C" w14:textId="795DB081" w:rsidR="00285EF0" w:rsidRPr="002F3191" w:rsidRDefault="00285EF0" w:rsidP="00285EF0">
      <w:pPr>
        <w:tabs>
          <w:tab w:val="left" w:pos="0"/>
        </w:tabs>
        <w:spacing w:after="120"/>
        <w:rPr>
          <w:rFonts w:cs="Arial"/>
          <w:noProof/>
          <w:sz w:val="20"/>
          <w:szCs w:val="20"/>
        </w:rPr>
      </w:pPr>
      <w:r w:rsidRPr="002F3191">
        <w:rPr>
          <w:rFonts w:cs="Arial"/>
          <w:noProof/>
          <w:sz w:val="20"/>
          <w:szCs w:val="20"/>
        </w:rPr>
        <w:t>Lindesmith LC, Donaldson EF, Lobue AD, Cannon JL, Zheng D, Vin</w:t>
      </w:r>
      <w:r w:rsidR="007C4D68">
        <w:rPr>
          <w:rFonts w:cs="Arial"/>
          <w:noProof/>
          <w:sz w:val="20"/>
          <w:szCs w:val="20"/>
        </w:rPr>
        <w:t>je J (2008) Mechanisms of GII.4 </w:t>
      </w:r>
      <w:r w:rsidRPr="002F3191">
        <w:rPr>
          <w:rFonts w:cs="Arial"/>
          <w:noProof/>
          <w:sz w:val="20"/>
          <w:szCs w:val="20"/>
        </w:rPr>
        <w:t>norovirus persistence in human populations. PLoS Medicine 5(2):e31</w:t>
      </w:r>
    </w:p>
    <w:p w14:paraId="308A80A0"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Liu P, Yuen Y, Hsiao H, Jaykus L, Moe C (2010) Effectiveness of liquid soap and hand sanitizer against Norwalk virus on contaminated hands. Applied and Environmental Microbiology 76(2):394–399</w:t>
      </w:r>
    </w:p>
    <w:p w14:paraId="4C7536BE" w14:textId="4B86E126" w:rsidR="00285EF0" w:rsidRPr="002F3191" w:rsidRDefault="00285EF0" w:rsidP="00285EF0">
      <w:pPr>
        <w:tabs>
          <w:tab w:val="left" w:pos="0"/>
        </w:tabs>
        <w:spacing w:after="120"/>
        <w:rPr>
          <w:rFonts w:cs="Arial"/>
          <w:noProof/>
          <w:sz w:val="20"/>
          <w:szCs w:val="20"/>
        </w:rPr>
      </w:pPr>
      <w:r w:rsidRPr="002F3191">
        <w:rPr>
          <w:rFonts w:cs="Arial"/>
          <w:noProof/>
          <w:sz w:val="20"/>
          <w:szCs w:val="20"/>
        </w:rPr>
        <w:t>Lopez L, Roos R, Cressey P, Horn B (2016) Annual report conc</w:t>
      </w:r>
      <w:r w:rsidR="007C4D68">
        <w:rPr>
          <w:rFonts w:cs="Arial"/>
          <w:noProof/>
          <w:sz w:val="20"/>
          <w:szCs w:val="20"/>
        </w:rPr>
        <w:t>erning foodborne disease in New </w:t>
      </w:r>
      <w:r w:rsidRPr="002F3191">
        <w:rPr>
          <w:rFonts w:cs="Arial"/>
          <w:noProof/>
          <w:sz w:val="20"/>
          <w:szCs w:val="20"/>
        </w:rPr>
        <w:t>Zealand 2015. Ministry for</w:t>
      </w:r>
      <w:r>
        <w:rPr>
          <w:rFonts w:cs="Arial"/>
          <w:noProof/>
          <w:sz w:val="20"/>
          <w:szCs w:val="20"/>
        </w:rPr>
        <w:t xml:space="preserve"> Primary Industry, New Zealand. </w:t>
      </w:r>
      <w:hyperlink r:id="rId569" w:history="1">
        <w:r w:rsidRPr="002F3191">
          <w:rPr>
            <w:rStyle w:val="Hyperlink"/>
            <w:rFonts w:cs="Arial"/>
            <w:noProof/>
            <w:color w:val="0000FF"/>
            <w:sz w:val="20"/>
            <w:szCs w:val="20"/>
          </w:rPr>
          <w:t>http://www.foodsafety.govt.nz/science-risk/human-health-surveillance/foodborne-disease-annual-reports.htm</w:t>
        </w:r>
      </w:hyperlink>
      <w:r w:rsidRPr="002F3191">
        <w:rPr>
          <w:rFonts w:cs="Arial"/>
          <w:noProof/>
          <w:sz w:val="20"/>
          <w:szCs w:val="20"/>
        </w:rPr>
        <w:t>. Accessed 1 May 2017</w:t>
      </w:r>
    </w:p>
    <w:p w14:paraId="47C1EED7"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Lowther JA, Henshilwood K, Lees DN (2008) Determination of norovirus contamination in oysters from two commercial harvesting areas over an extended period, using semiquantitative real-time reverse transcription PCR. Journal of Food Protection 71(7):1427–1433</w:t>
      </w:r>
    </w:p>
    <w:p w14:paraId="75F48372"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Lowther JA, Gustar NE, Powell AL, Hartnell RE, Lees DN (2012) Two-year systematic study to assess norovirus contamination in oysters from commercial harvesting areas in the United Kingdom. Applied and Environmental Microbiology 78(16):5812–5817</w:t>
      </w:r>
    </w:p>
    <w:p w14:paraId="4063A859"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Maalouf H, Schaeffer J, Parnaudeau S, Le Pendu J, Atmar RL, Crawford SE, le Guyader FS (2011) Strain-dependent norovirus bioaccumulation in oysters. Applied and Environmental Microbiology 77(10):3189–3196</w:t>
      </w:r>
    </w:p>
    <w:p w14:paraId="4A3E2297"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Manso CF, Romalde JL (2013) Detection and characterization of hepatitis A virus and norovirus in mussels from Galicia (NW Spain). Food and Environmental Virology 5(2):110–118</w:t>
      </w:r>
    </w:p>
    <w:p w14:paraId="4CC1E6E7"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Marionneau S, Ruvoen N, Le Moullac-Vaidye B, Clement M, Cailleau-Thomas A, Ruiz-Palacois R, Huang P, Jiang X, Le Pendu J (2002) Norwalk virus binds to histo-blood group antigens present on gastroduodenal epithelial cells of secretor individuals. Gastroenterology 122:1967–1977</w:t>
      </w:r>
    </w:p>
    <w:p w14:paraId="45C402E9"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Martella V, Lorusso E, Decaro N, Elia G, Radogna A, D'Abramo M, Desario C, Cavalli A, Corrente M, Camero M, Germinario CA, Banyai K, Di Martino B, Marsilio F, Carmichael LE, Buonavoglia C (2008) Detection and molecular characterization of a canine norovirus. Emerging Infectious Diseases 14(8):1306–1308</w:t>
      </w:r>
    </w:p>
    <w:p w14:paraId="0BB07A11"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Mattison K (2011) Norovirus as a foodborne disease hazard. Ch 1 In: Taylor SL (ed) Advances in Food and Nutrition Research Volume 62. Academic Press, Waltham, p. 1–39</w:t>
      </w:r>
    </w:p>
    <w:p w14:paraId="0C47945A"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Meeroff JC, Schreiber DS, Trier JS, Blacklow NR (1980) Abnormal gastric motor function in viral gastroenteritis. Annals of Internal Medicine 92(3):370–373</w:t>
      </w:r>
    </w:p>
    <w:p w14:paraId="311300AF"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Mesquita JR, Vaz L, Cerquira S, Castilho F, Santos R, Monteiro S, Manso CF, Romalde JL, Nascimento MSJ (2011) Norovirus, hepatitis A virus and enterovirus presence in shellfish from high quality harvesting areas in Portugal. Food Microbiology 28:936–941</w:t>
      </w:r>
    </w:p>
    <w:p w14:paraId="410E180F"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Moon A, Hwang I, Choi WS (2011) Prevalence of noroviruses in oysters in Korea. Food Science and Biotechnology 20(4):1151–1154</w:t>
      </w:r>
    </w:p>
    <w:p w14:paraId="54BDD329"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Mormann S, Dabisch M, Becker B (2010) Effects of technological processes on the tenacity and inactivation of norovirus genegroup II in experimentally contaminated foods. Applied and Environmental Microbiology 76(2):536–545</w:t>
      </w:r>
    </w:p>
    <w:p w14:paraId="115AB253" w14:textId="03EB4F51" w:rsidR="00285EF0" w:rsidRPr="002F3191" w:rsidRDefault="00285EF0" w:rsidP="00285EF0">
      <w:pPr>
        <w:tabs>
          <w:tab w:val="left" w:pos="0"/>
        </w:tabs>
        <w:spacing w:after="120"/>
        <w:rPr>
          <w:rFonts w:cs="Arial"/>
          <w:noProof/>
          <w:sz w:val="20"/>
          <w:szCs w:val="20"/>
        </w:rPr>
      </w:pPr>
      <w:r w:rsidRPr="002F3191">
        <w:rPr>
          <w:rFonts w:cs="Arial"/>
          <w:noProof/>
          <w:sz w:val="20"/>
          <w:szCs w:val="20"/>
        </w:rPr>
        <w:t>Nicolay N, McDermott R, Kelly M, Gorby M, Prendergast T, Tuite G</w:t>
      </w:r>
      <w:r w:rsidR="007C4D68">
        <w:rPr>
          <w:rFonts w:cs="Arial"/>
          <w:noProof/>
          <w:sz w:val="20"/>
          <w:szCs w:val="20"/>
        </w:rPr>
        <w:t>, Coughlan S, McKeown P, Sayers </w:t>
      </w:r>
      <w:r w:rsidRPr="002F3191">
        <w:rPr>
          <w:rFonts w:cs="Arial"/>
          <w:noProof/>
          <w:sz w:val="20"/>
          <w:szCs w:val="20"/>
        </w:rPr>
        <w:t>G (2011) Potential role of asymptomatic kitchen food handlers during a food-borne outbreak of norovirus infection, Dublin, Ireland, March 2009. Eurosurveillance 16(30):19931</w:t>
      </w:r>
    </w:p>
    <w:p w14:paraId="5F77D93E"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Noda M, Fukuda S, Nishio O (2008) Statistical analysis of attack rate in norovirus foodborne outbreaks. International Journal of Food Microbiology 122:216–220</w:t>
      </w:r>
    </w:p>
    <w:p w14:paraId="13D5F71E"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Okabayashi T, Yokota S, Ohkoshi Y, Ohuchi H, Yoshida Y, Kikuchi M, Yano K, Fujii N (2008) Occurrence of norovirus infections unrelated to norovirus outbreaks in an asymptomatic food handler population. Journal of Clinical Microbiology 46(6):1985–1988</w:t>
      </w:r>
    </w:p>
    <w:p w14:paraId="1275FA57"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Ozawa K, Oka T, Takeda N, Hansman GS (2007) Norovirus infections in symptomatic and asymptomatic food handlers in Japan. Journal of Clinical Microbiology 45(12):3996–4005</w:t>
      </w:r>
    </w:p>
    <w:p w14:paraId="5311972C"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Parrino TA, Schreiber DS, Trier JS, Kapikian AZ, Blacklow NR (1977) Clinical immunity in acute gastroenteritis caused by Norwalk agent. New England Journal of Medicine 292(2):86–89</w:t>
      </w:r>
    </w:p>
    <w:p w14:paraId="64E15C55"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Payne DC, Vinje J, Szilagyi PG, Edwards KM, Allen Staat M, Weinberg GA, Hall CB, Chappell J, Bernstein DI, Curns AT, Wikswo M, Shirley SH, Hall AJ, Lopman B, Parashar UD (2013) Norovirus and medically attended gastroenteritis in U.S. children. New England Journal of Medicine 368(12):1121–1130</w:t>
      </w:r>
    </w:p>
    <w:p w14:paraId="34A0118E"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Pepe T, Ventrone I, Suffredini E, Ceruso M, Croci L, Anastasio A, Cortesi ML (2012) Norovirus monitoring in bivalve molluscs harvested and commercialized in southern Italy. Journal of Food Protection 75(5):976–981</w:t>
      </w:r>
    </w:p>
    <w:p w14:paraId="7BCE44E8"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Richards GP, Watson MA, Meade GK, Hovan GL, Kingsley DH (2012) Resilience of norovirus GII.4 to freezing and thawing: Implications for virus infectivity. Food and Environmental Virology 4:192–197</w:t>
      </w:r>
    </w:p>
    <w:p w14:paraId="33366DB2"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Rockx BHG, Vennema H, Hoebe CJPA, Druizer E, Koopmans MPG (2005) Association of histo-blood group antigens and susceptibility to norovirus infections. Journal of Infectious Diseases 191:749–754</w:t>
      </w:r>
    </w:p>
    <w:p w14:paraId="4A1B116B"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Scallan E, Hoekstra RM, Angulo FJ, Tauxe RV, Widdowson M, Roy SL, Jones JL, Griffin PM (2011) Foodborne illness acquired in the United States - Major pathogens. Emerging Infectious Diseases 17(1):7–11</w:t>
      </w:r>
    </w:p>
    <w:p w14:paraId="0B7801DA"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Seitz SR, Leon JS, Schwab KJ, Lyon GM, Dowd M, McDaniels M, Abdulhafid G, Fernandez ML, Lindesmith LC, Baric RS, Moe CL (2011) Norovirus infectivity in humans and persistance in water. Applied and Environmental Microbiology 77(19):6884–6888</w:t>
      </w:r>
    </w:p>
    <w:p w14:paraId="15EBC2B8"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Sharps CP, Kotwal G, Cannon JL (2012) Human norovirus transfer to stainless steel and small fruits during handling. Journal of Food Protection 75(8):1437–1446</w:t>
      </w:r>
    </w:p>
    <w:p w14:paraId="1099BB01"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Smith A, McCarthy N, Saldana L, Ihekweazu C, McPhedran K, Adak G, Iturriza-Gomara M, Bickler G, O'Moore E (2012) A large foodborne outbreak of norovirus in diners at a restaurant in England between January and February 2009. Epidemiology and Infection 140:1695–1701</w:t>
      </w:r>
    </w:p>
    <w:p w14:paraId="74A7C4A4"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Teunis PFM, Moe CL, Liu P, Miller SE, Lindesmith L, Baric RS, Le Pendu J, Calderon RL (2008) Norwalk virus: How infectious is it? Journal of Medical Virology 80:1468–1476</w:t>
      </w:r>
    </w:p>
    <w:p w14:paraId="632FB905"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Torok V, Hodgson K, McLeod C, Tan J, Malhi N, Turnbull A (2018) National survey of foodborne viruses in Australian oysters at production. Food Microbiology 69:196–203</w:t>
      </w:r>
    </w:p>
    <w:p w14:paraId="38D9CEF5"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Tuladhar E, Hazeleger WC, Koopmans MH, Duizer E, Beumer R (2013) Transfer of noroviruses between fingers and fomites and food products. International Journal of Food Microbiology 167(3):346–352</w:t>
      </w:r>
    </w:p>
    <w:p w14:paraId="16E55430"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Ueki Y, Shoji M, Suto A, Tanabe T, Okimura Y, Kikuchi Y, Saito N, Sano D, Omura T (2007) Persistence of caliciviruses in artificially contaminated oysters during depuration. Applied and Environmental Microbiology 73(17):5698–5701</w:t>
      </w:r>
    </w:p>
    <w:p w14:paraId="76DB7E57"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van Beek J, Ambert-Balay K, Botteldoorn N, Eden J, Fonager J, Hewitt J, Iritani N, Kroneman A, Vennema H, Vinje J, White P, Koopmans M, on behalf of NoroNet (2013) Indications for worldwide increased norovirus activity associated with emergence of a new variant of genotype II.4, late 2012. Eurosurveillance 18(1):20345</w:t>
      </w:r>
    </w:p>
    <w:p w14:paraId="5D8AC5B1"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Verhoef L, Koopmans M, Van Pelt W, Duizer E, Haagsma J, Werber D, Vanasten L, Havelaar A (2013) The estimated disease burden of norovirus in The Netherlands. Epidemiology and Infection 141:496–506</w:t>
      </w:r>
    </w:p>
    <w:p w14:paraId="2FCEFB55"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Wang J, Deng Z (2012) Detection and forecasting of oyster norovirus outbreaks: Recent advances and future perspectives. Marine Environmental Research 80:62–69</w:t>
      </w:r>
    </w:p>
    <w:p w14:paraId="328CB22A" w14:textId="2066D9E3" w:rsidR="00285EF0" w:rsidRPr="002F3191" w:rsidRDefault="00285EF0" w:rsidP="00285EF0">
      <w:pPr>
        <w:tabs>
          <w:tab w:val="left" w:pos="0"/>
        </w:tabs>
        <w:spacing w:after="120"/>
        <w:rPr>
          <w:rFonts w:cs="Arial"/>
          <w:noProof/>
          <w:sz w:val="20"/>
          <w:szCs w:val="20"/>
        </w:rPr>
      </w:pPr>
      <w:r w:rsidRPr="002F3191">
        <w:rPr>
          <w:rFonts w:cs="Arial"/>
          <w:noProof/>
          <w:sz w:val="20"/>
          <w:szCs w:val="20"/>
        </w:rPr>
        <w:t>Westhoff TH, Vergoulidou M, Loddenkemper C, Schwartz S, Hofma</w:t>
      </w:r>
      <w:r w:rsidR="007C4D68">
        <w:rPr>
          <w:rFonts w:cs="Arial"/>
          <w:noProof/>
          <w:sz w:val="20"/>
          <w:szCs w:val="20"/>
        </w:rPr>
        <w:t>nn J, Schneider T, Zidek W, van </w:t>
      </w:r>
      <w:r w:rsidRPr="002F3191">
        <w:rPr>
          <w:rFonts w:cs="Arial"/>
          <w:noProof/>
          <w:sz w:val="20"/>
          <w:szCs w:val="20"/>
        </w:rPr>
        <w:t>der Giet M (2009) Chronic norovirus infection in renal transplant recipients. Nephrology Dialysis Transplantation 24:1051–1053</w:t>
      </w:r>
    </w:p>
    <w:p w14:paraId="5A9BB745"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Yu JH, Kim NY, Lee EJ, Jeon IS (2011) Norovirus infections in asymptomatic food handlers in elementary schools without norovirus outbreaks in some regions of Incheon, Korea. Journal of Korean Medical Science 26:734–739</w:t>
      </w:r>
    </w:p>
    <w:p w14:paraId="22D2ACE2"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Zainazor T, Hidayah MSN, Chai LC, Tunung R, Ghazali FM, Son R (2010) The scenario of norovirus contamination in food and food handlers. Journal of Microbiology and Biotechnology 20(2):229–237</w:t>
      </w:r>
    </w:p>
    <w:p w14:paraId="073F1347" w14:textId="77777777" w:rsidR="00285EF0" w:rsidRPr="002F3191" w:rsidRDefault="00285EF0" w:rsidP="00285EF0">
      <w:pPr>
        <w:tabs>
          <w:tab w:val="left" w:pos="0"/>
        </w:tabs>
        <w:spacing w:after="120"/>
        <w:rPr>
          <w:rFonts w:cs="Arial"/>
          <w:noProof/>
          <w:sz w:val="20"/>
          <w:szCs w:val="20"/>
        </w:rPr>
      </w:pPr>
      <w:r w:rsidRPr="002F3191">
        <w:rPr>
          <w:rFonts w:cs="Arial"/>
          <w:noProof/>
          <w:sz w:val="20"/>
          <w:szCs w:val="20"/>
        </w:rPr>
        <w:t>Zheng D, Ando T, Fankhauser RL, Beard RS, Glass RI, Monroe SS (2006) Norovirus classification and proposed strain nomenclature. Virology 346:312–323</w:t>
      </w:r>
    </w:p>
    <w:p w14:paraId="19D32E9D" w14:textId="77777777" w:rsidR="00285EF0" w:rsidRDefault="00285EF0" w:rsidP="00285EF0">
      <w:pPr>
        <w:widowControl/>
      </w:pPr>
      <w:r>
        <w:br w:type="page"/>
      </w:r>
    </w:p>
    <w:p w14:paraId="55AFE9C4" w14:textId="45AFB4AD" w:rsidR="00285EF0" w:rsidRPr="000833F5" w:rsidRDefault="00354E14" w:rsidP="00285EF0">
      <w:pPr>
        <w:pStyle w:val="Heading2"/>
      </w:pPr>
      <w:bookmarkStart w:id="1199" w:name="_Toc87860131"/>
      <w:bookmarkStart w:id="1200" w:name="_Toc111648433"/>
      <w:bookmarkStart w:id="1201" w:name="_Toc122940944"/>
      <w:bookmarkStart w:id="1202" w:name="_Toc122941643"/>
      <w:bookmarkStart w:id="1203" w:name="_Toc122947464"/>
      <w:bookmarkStart w:id="1204" w:name="_Toc123010677"/>
      <w:bookmarkStart w:id="1205" w:name="_Toc123010885"/>
      <w:bookmarkStart w:id="1206" w:name="_Toc123015563"/>
      <w:bookmarkStart w:id="1207" w:name="_Toc125276399"/>
      <w:bookmarkStart w:id="1208" w:name="_Toc125348635"/>
      <w:bookmarkStart w:id="1209" w:name="_Toc125358693"/>
      <w:bookmarkStart w:id="1210" w:name="_Toc125362533"/>
      <w:r>
        <w:t>Appendix 9</w:t>
      </w:r>
      <w:r w:rsidRPr="00C839B6">
        <w:t xml:space="preserve"> – </w:t>
      </w:r>
      <w:r w:rsidR="00285EF0">
        <w:rPr>
          <w:i/>
        </w:rPr>
        <w:t xml:space="preserve">Salmonella </w:t>
      </w:r>
      <w:r w:rsidR="00285EF0" w:rsidRPr="000833F5">
        <w:t>spp.</w:t>
      </w:r>
      <w:r w:rsidR="00285EF0" w:rsidRPr="000833F5">
        <w:rPr>
          <w:rStyle w:val="FootnoteReference"/>
        </w:rPr>
        <w:footnoteReference w:id="32"/>
      </w:r>
      <w:bookmarkEnd w:id="1199"/>
    </w:p>
    <w:p w14:paraId="58A7EEE6" w14:textId="77777777" w:rsidR="00285EF0" w:rsidRPr="00787E56" w:rsidRDefault="00285EF0" w:rsidP="00787E56">
      <w:pPr>
        <w:spacing w:before="240" w:after="240"/>
        <w:rPr>
          <w:b/>
        </w:rPr>
      </w:pPr>
      <w:bookmarkStart w:id="1211" w:name="_Toc66881466"/>
      <w:bookmarkStart w:id="1212" w:name="_Toc66883092"/>
      <w:r w:rsidRPr="00787E56">
        <w:rPr>
          <w:b/>
          <w:i/>
        </w:rPr>
        <w:t>Salmonella</w:t>
      </w:r>
      <w:r w:rsidRPr="00787E56">
        <w:rPr>
          <w:b/>
        </w:rPr>
        <w:t xml:space="preserve"> </w:t>
      </w:r>
      <w:bookmarkEnd w:id="1200"/>
      <w:bookmarkEnd w:id="1201"/>
      <w:bookmarkEnd w:id="1202"/>
      <w:bookmarkEnd w:id="1203"/>
      <w:bookmarkEnd w:id="1204"/>
      <w:bookmarkEnd w:id="1205"/>
      <w:bookmarkEnd w:id="1206"/>
      <w:bookmarkEnd w:id="1207"/>
      <w:bookmarkEnd w:id="1208"/>
      <w:bookmarkEnd w:id="1209"/>
      <w:bookmarkEnd w:id="1210"/>
      <w:r w:rsidRPr="00787E56">
        <w:rPr>
          <w:b/>
        </w:rPr>
        <w:t>(non-typhoidal)</w:t>
      </w:r>
      <w:bookmarkEnd w:id="1211"/>
      <w:bookmarkEnd w:id="1212"/>
    </w:p>
    <w:p w14:paraId="3D84E092" w14:textId="77777777" w:rsidR="00285EF0" w:rsidRPr="00AF7526" w:rsidRDefault="00285EF0" w:rsidP="00285EF0">
      <w:pPr>
        <w:rPr>
          <w:rFonts w:cs="Arial"/>
          <w:szCs w:val="22"/>
        </w:rPr>
      </w:pPr>
      <w:r w:rsidRPr="00E9555E">
        <w:rPr>
          <w:rFonts w:cs="Arial"/>
          <w:i/>
          <w:szCs w:val="22"/>
        </w:rPr>
        <w:t>Salmonella</w:t>
      </w:r>
      <w:r w:rsidRPr="00E9555E">
        <w:rPr>
          <w:rFonts w:cs="Arial"/>
          <w:szCs w:val="22"/>
        </w:rPr>
        <w:t xml:space="preserve"> spp. are bacteria that cause salmonellosis, a common form of foodborne illness in humans. </w:t>
      </w:r>
      <w:r>
        <w:rPr>
          <w:rFonts w:cs="Arial"/>
          <w:szCs w:val="22"/>
        </w:rPr>
        <w:t xml:space="preserve">Outcomes from exposure to </w:t>
      </w:r>
      <w:r w:rsidRPr="00E9555E">
        <w:rPr>
          <w:rFonts w:cs="Arial"/>
          <w:i/>
          <w:szCs w:val="22"/>
        </w:rPr>
        <w:t>Salmonella</w:t>
      </w:r>
      <w:r w:rsidRPr="00E9555E">
        <w:rPr>
          <w:rFonts w:cs="Arial"/>
          <w:szCs w:val="22"/>
        </w:rPr>
        <w:t xml:space="preserve"> spp. </w:t>
      </w:r>
      <w:r>
        <w:rPr>
          <w:rFonts w:cs="Arial"/>
          <w:szCs w:val="22"/>
        </w:rPr>
        <w:t xml:space="preserve">can range from </w:t>
      </w:r>
      <w:r w:rsidRPr="00E9555E">
        <w:rPr>
          <w:rFonts w:cs="Arial"/>
          <w:szCs w:val="22"/>
        </w:rPr>
        <w:t>mild symptoms</w:t>
      </w:r>
      <w:r>
        <w:rPr>
          <w:rFonts w:cs="Arial"/>
          <w:szCs w:val="22"/>
        </w:rPr>
        <w:t xml:space="preserve"> to </w:t>
      </w:r>
      <w:r w:rsidRPr="00E9555E">
        <w:rPr>
          <w:rFonts w:cs="Arial"/>
          <w:szCs w:val="22"/>
        </w:rPr>
        <w:t xml:space="preserve">severe disease and can be fatal. </w:t>
      </w:r>
      <w:r w:rsidRPr="00E9555E">
        <w:rPr>
          <w:rFonts w:cs="Arial"/>
          <w:i/>
          <w:szCs w:val="22"/>
        </w:rPr>
        <w:t>Salmonella</w:t>
      </w:r>
      <w:r w:rsidRPr="00E9555E">
        <w:rPr>
          <w:rFonts w:cs="Arial"/>
          <w:szCs w:val="22"/>
        </w:rPr>
        <w:t xml:space="preserve"> spp. are carried by a range of domestic and wild animals and birds and have been widely</w:t>
      </w:r>
      <w:r>
        <w:rPr>
          <w:rFonts w:cs="Arial"/>
          <w:szCs w:val="22"/>
        </w:rPr>
        <w:t xml:space="preserve"> isolated from the environment.</w:t>
      </w:r>
    </w:p>
    <w:p w14:paraId="2DA813E9" w14:textId="77777777" w:rsidR="00285EF0" w:rsidRPr="00AF7526" w:rsidRDefault="00285EF0" w:rsidP="00787E56">
      <w:pPr>
        <w:pStyle w:val="Heading3"/>
        <w:rPr>
          <w:rFonts w:cstheme="majorBidi"/>
        </w:rPr>
      </w:pPr>
      <w:bookmarkStart w:id="1213" w:name="_Toc66881467"/>
      <w:bookmarkStart w:id="1214" w:name="_Toc66883093"/>
      <w:bookmarkStart w:id="1215" w:name="_Toc87614493"/>
      <w:bookmarkStart w:id="1216" w:name="_Toc87860132"/>
      <w:r w:rsidRPr="00807167">
        <w:t>Description of the organism</w:t>
      </w:r>
      <w:bookmarkEnd w:id="1213"/>
      <w:bookmarkEnd w:id="1214"/>
      <w:bookmarkEnd w:id="1215"/>
      <w:bookmarkEnd w:id="1216"/>
    </w:p>
    <w:p w14:paraId="2410A771" w14:textId="77777777" w:rsidR="00285EF0" w:rsidRDefault="00285EF0" w:rsidP="00285EF0">
      <w:pPr>
        <w:rPr>
          <w:rFonts w:cs="Arial"/>
          <w:szCs w:val="22"/>
        </w:rPr>
      </w:pPr>
      <w:r w:rsidRPr="00E9555E">
        <w:rPr>
          <w:rFonts w:cs="Arial"/>
          <w:i/>
          <w:szCs w:val="22"/>
        </w:rPr>
        <w:t>Salmonella</w:t>
      </w:r>
      <w:r w:rsidRPr="00E9555E">
        <w:rPr>
          <w:rFonts w:cs="Arial"/>
          <w:szCs w:val="22"/>
        </w:rPr>
        <w:t xml:space="preserve"> spp. are Gram-negative, non-spore forming rod-shaped bacteria and are members of the family </w:t>
      </w:r>
      <w:r w:rsidRPr="007C7998">
        <w:rPr>
          <w:rFonts w:cs="Arial"/>
          <w:i/>
          <w:szCs w:val="22"/>
        </w:rPr>
        <w:t xml:space="preserve">Enterobacteriaceae </w:t>
      </w:r>
      <w:r w:rsidRPr="00E9555E">
        <w:rPr>
          <w:rFonts w:cs="Arial"/>
          <w:noProof/>
          <w:szCs w:val="22"/>
        </w:rPr>
        <w:t>(Jay et al. 2003)</w:t>
      </w:r>
      <w:r w:rsidRPr="00E9555E">
        <w:rPr>
          <w:rFonts w:cs="Arial"/>
          <w:szCs w:val="22"/>
        </w:rPr>
        <w:t xml:space="preserve">. The genus </w:t>
      </w:r>
      <w:r w:rsidRPr="00E9555E">
        <w:rPr>
          <w:rFonts w:cs="Arial"/>
          <w:i/>
          <w:szCs w:val="22"/>
        </w:rPr>
        <w:t>Salmonella</w:t>
      </w:r>
      <w:r w:rsidRPr="00E9555E">
        <w:rPr>
          <w:rFonts w:cs="Arial"/>
          <w:szCs w:val="22"/>
        </w:rPr>
        <w:t xml:space="preserve"> is divided into two species: </w:t>
      </w:r>
      <w:r w:rsidRPr="00E9555E">
        <w:rPr>
          <w:rFonts w:cs="Arial"/>
          <w:i/>
          <w:szCs w:val="22"/>
        </w:rPr>
        <w:t xml:space="preserve">S. enterica </w:t>
      </w:r>
      <w:r w:rsidRPr="00E9555E">
        <w:rPr>
          <w:rFonts w:cs="Arial"/>
          <w:szCs w:val="22"/>
        </w:rPr>
        <w:t xml:space="preserve">(comprising six subspecies) and </w:t>
      </w:r>
      <w:r w:rsidRPr="00E9555E">
        <w:rPr>
          <w:rFonts w:cs="Arial"/>
          <w:i/>
          <w:szCs w:val="22"/>
        </w:rPr>
        <w:t>S. bongori.</w:t>
      </w:r>
      <w:r w:rsidRPr="00E9555E">
        <w:rPr>
          <w:rFonts w:cs="Arial"/>
          <w:szCs w:val="22"/>
        </w:rPr>
        <w:t xml:space="preserve"> Over </w:t>
      </w:r>
      <w:r>
        <w:rPr>
          <w:rFonts w:cs="Arial"/>
          <w:szCs w:val="22"/>
        </w:rPr>
        <w:br/>
      </w:r>
      <w:r w:rsidRPr="00E9555E">
        <w:rPr>
          <w:rFonts w:cs="Arial"/>
          <w:szCs w:val="22"/>
        </w:rPr>
        <w:t xml:space="preserve">99% of human </w:t>
      </w:r>
      <w:r w:rsidRPr="00E9555E">
        <w:rPr>
          <w:rFonts w:cs="Arial"/>
          <w:i/>
          <w:szCs w:val="22"/>
        </w:rPr>
        <w:t>Salmonella</w:t>
      </w:r>
      <w:r w:rsidRPr="00E9555E">
        <w:rPr>
          <w:rFonts w:cs="Arial"/>
          <w:szCs w:val="22"/>
        </w:rPr>
        <w:t xml:space="preserve"> spp. infections are caused by </w:t>
      </w:r>
      <w:r w:rsidRPr="00E9555E">
        <w:rPr>
          <w:rFonts w:cs="Arial"/>
          <w:i/>
          <w:szCs w:val="22"/>
        </w:rPr>
        <w:t>S. enterica</w:t>
      </w:r>
      <w:r w:rsidRPr="00E9555E">
        <w:rPr>
          <w:rFonts w:cs="Arial"/>
          <w:szCs w:val="22"/>
        </w:rPr>
        <w:t xml:space="preserve"> subsp. </w:t>
      </w:r>
      <w:r w:rsidRPr="00E9555E">
        <w:rPr>
          <w:rFonts w:cs="Arial"/>
          <w:i/>
          <w:szCs w:val="22"/>
        </w:rPr>
        <w:t>enterica</w:t>
      </w:r>
      <w:r w:rsidRPr="00E9555E">
        <w:rPr>
          <w:rFonts w:cs="Arial"/>
          <w:szCs w:val="22"/>
        </w:rPr>
        <w:t xml:space="preserve"> </w:t>
      </w:r>
      <w:r w:rsidRPr="00E9555E">
        <w:rPr>
          <w:rFonts w:cs="Arial"/>
          <w:noProof/>
          <w:szCs w:val="22"/>
        </w:rPr>
        <w:t>(Bell and Kyriakides 2002; Crum-Cianflone 2008)</w:t>
      </w:r>
      <w:r w:rsidRPr="00E9555E">
        <w:rPr>
          <w:rFonts w:cs="Arial"/>
          <w:szCs w:val="22"/>
        </w:rPr>
        <w:t xml:space="preserve">. </w:t>
      </w:r>
    </w:p>
    <w:p w14:paraId="2DF44CB4" w14:textId="77777777" w:rsidR="00285EF0" w:rsidRDefault="00285EF0" w:rsidP="00285EF0">
      <w:pPr>
        <w:rPr>
          <w:rFonts w:cs="Arial"/>
          <w:szCs w:val="22"/>
        </w:rPr>
      </w:pPr>
    </w:p>
    <w:p w14:paraId="102F6724" w14:textId="77777777" w:rsidR="00285EF0" w:rsidRPr="00E9555E" w:rsidRDefault="00285EF0" w:rsidP="00285EF0">
      <w:pPr>
        <w:rPr>
          <w:rFonts w:cs="Arial"/>
          <w:szCs w:val="22"/>
        </w:rPr>
      </w:pPr>
      <w:r w:rsidRPr="00E9555E">
        <w:rPr>
          <w:rFonts w:cs="Arial"/>
          <w:szCs w:val="22"/>
        </w:rPr>
        <w:t xml:space="preserve">Strains of </w:t>
      </w:r>
      <w:r w:rsidRPr="00E9555E">
        <w:rPr>
          <w:rFonts w:cs="Arial"/>
          <w:i/>
          <w:szCs w:val="22"/>
        </w:rPr>
        <w:t>Salmonella</w:t>
      </w:r>
      <w:r w:rsidRPr="00E9555E">
        <w:rPr>
          <w:rFonts w:cs="Arial"/>
          <w:szCs w:val="22"/>
        </w:rPr>
        <w:t xml:space="preserve"> can be characterised serologically </w:t>
      </w:r>
      <w:r>
        <w:rPr>
          <w:rFonts w:cs="Arial"/>
          <w:szCs w:val="22"/>
        </w:rPr>
        <w:t xml:space="preserve">(into serovars) </w:t>
      </w:r>
      <w:r w:rsidRPr="00E9555E">
        <w:rPr>
          <w:rFonts w:cs="Arial"/>
          <w:szCs w:val="22"/>
        </w:rPr>
        <w:t xml:space="preserve">based on the presence and/or absence of O (somatic) and H (flagella) antigens. Phage typing is used to subtype </w:t>
      </w:r>
      <w:r w:rsidRPr="00E9555E">
        <w:rPr>
          <w:rFonts w:cs="Arial"/>
          <w:i/>
          <w:szCs w:val="22"/>
        </w:rPr>
        <w:t>Salmonella</w:t>
      </w:r>
      <w:r w:rsidRPr="00E9555E">
        <w:rPr>
          <w:rFonts w:cs="Arial"/>
          <w:szCs w:val="22"/>
        </w:rPr>
        <w:t xml:space="preserve"> sero</w:t>
      </w:r>
      <w:r>
        <w:rPr>
          <w:rFonts w:cs="Arial"/>
          <w:szCs w:val="22"/>
        </w:rPr>
        <w:t>vars</w:t>
      </w:r>
      <w:r w:rsidRPr="00E9555E">
        <w:rPr>
          <w:rFonts w:cs="Arial"/>
          <w:szCs w:val="22"/>
        </w:rPr>
        <w:t xml:space="preserve">. The phage type is determined by the sensitivity of the bacterial cells to the lytic activity of selected bacteriophages </w:t>
      </w:r>
      <w:r w:rsidRPr="00E9555E">
        <w:rPr>
          <w:rFonts w:cs="Arial"/>
          <w:noProof/>
          <w:szCs w:val="22"/>
        </w:rPr>
        <w:t>(Bell and Kyriakides 2002; Jay et al. 2003)</w:t>
      </w:r>
      <w:r w:rsidRPr="00E9555E">
        <w:rPr>
          <w:rFonts w:cs="Arial"/>
          <w:szCs w:val="22"/>
        </w:rPr>
        <w:t>.</w:t>
      </w:r>
    </w:p>
    <w:p w14:paraId="05948A14" w14:textId="77777777" w:rsidR="00285EF0" w:rsidRPr="00E9555E" w:rsidRDefault="00285EF0" w:rsidP="00285EF0">
      <w:pPr>
        <w:rPr>
          <w:rFonts w:cs="Arial"/>
          <w:szCs w:val="22"/>
        </w:rPr>
      </w:pPr>
    </w:p>
    <w:p w14:paraId="2E81C502" w14:textId="77777777" w:rsidR="00285EF0" w:rsidRPr="00E9555E" w:rsidRDefault="00285EF0" w:rsidP="00285EF0">
      <w:pPr>
        <w:rPr>
          <w:rFonts w:cs="Arial"/>
          <w:szCs w:val="22"/>
        </w:rPr>
      </w:pPr>
      <w:r w:rsidRPr="00E9555E">
        <w:rPr>
          <w:rFonts w:cs="Arial"/>
          <w:szCs w:val="22"/>
        </w:rPr>
        <w:t xml:space="preserve">The formal names used to describe types of </w:t>
      </w:r>
      <w:r w:rsidRPr="00E9555E">
        <w:rPr>
          <w:rFonts w:cs="Arial"/>
          <w:i/>
          <w:szCs w:val="22"/>
        </w:rPr>
        <w:t>Salmonella</w:t>
      </w:r>
      <w:r w:rsidRPr="00E9555E">
        <w:rPr>
          <w:rFonts w:cs="Arial"/>
          <w:szCs w:val="22"/>
        </w:rPr>
        <w:t xml:space="preserve"> are rather cumbersome, for example </w:t>
      </w:r>
      <w:r w:rsidRPr="00E9555E">
        <w:rPr>
          <w:rFonts w:cs="Arial"/>
          <w:i/>
          <w:szCs w:val="22"/>
        </w:rPr>
        <w:t>S. enterica</w:t>
      </w:r>
      <w:r w:rsidRPr="00E9555E">
        <w:rPr>
          <w:rFonts w:cs="Arial"/>
          <w:szCs w:val="22"/>
        </w:rPr>
        <w:t xml:space="preserve"> subsp. </w:t>
      </w:r>
      <w:r w:rsidRPr="00E9555E">
        <w:rPr>
          <w:rFonts w:cs="Arial"/>
          <w:i/>
          <w:szCs w:val="22"/>
        </w:rPr>
        <w:t>enterica</w:t>
      </w:r>
      <w:r w:rsidRPr="00E9555E">
        <w:rPr>
          <w:rFonts w:cs="Arial"/>
          <w:szCs w:val="22"/>
        </w:rPr>
        <w:t xml:space="preserve"> sero</w:t>
      </w:r>
      <w:r>
        <w:rPr>
          <w:rFonts w:cs="Arial"/>
          <w:szCs w:val="22"/>
        </w:rPr>
        <w:t>var</w:t>
      </w:r>
      <w:r w:rsidRPr="00E9555E">
        <w:rPr>
          <w:rFonts w:cs="Arial"/>
          <w:szCs w:val="22"/>
        </w:rPr>
        <w:t xml:space="preserve"> Typhimurium. For practical reasons, the </w:t>
      </w:r>
      <w:r>
        <w:rPr>
          <w:rFonts w:cs="Arial"/>
          <w:szCs w:val="22"/>
        </w:rPr>
        <w:t>abbreviated</w:t>
      </w:r>
      <w:r w:rsidRPr="00E9555E">
        <w:rPr>
          <w:rFonts w:cs="Arial"/>
          <w:szCs w:val="22"/>
        </w:rPr>
        <w:t xml:space="preserve"> versions of these names </w:t>
      </w:r>
      <w:r>
        <w:rPr>
          <w:rFonts w:cs="Arial"/>
          <w:szCs w:val="22"/>
        </w:rPr>
        <w:t xml:space="preserve">using just the serovar </w:t>
      </w:r>
      <w:r w:rsidRPr="00E9555E">
        <w:rPr>
          <w:rFonts w:cs="Arial"/>
          <w:szCs w:val="22"/>
        </w:rPr>
        <w:t xml:space="preserve">are commonly used, such as </w:t>
      </w:r>
      <w:r>
        <w:rPr>
          <w:rFonts w:cs="Arial"/>
          <w:szCs w:val="22"/>
        </w:rPr>
        <w:br/>
      </w:r>
      <w:r w:rsidRPr="00E9555E">
        <w:rPr>
          <w:rFonts w:cs="Arial"/>
          <w:i/>
          <w:szCs w:val="22"/>
        </w:rPr>
        <w:t xml:space="preserve">S. </w:t>
      </w:r>
      <w:r w:rsidRPr="00E9555E">
        <w:rPr>
          <w:rFonts w:cs="Arial"/>
          <w:szCs w:val="22"/>
        </w:rPr>
        <w:t xml:space="preserve">Typhimurium </w:t>
      </w:r>
      <w:r>
        <w:rPr>
          <w:rFonts w:cs="Arial"/>
          <w:noProof/>
          <w:szCs w:val="22"/>
        </w:rPr>
        <w:t>(Crum-Cianflone 2008)</w:t>
      </w:r>
      <w:r>
        <w:rPr>
          <w:rFonts w:cs="Arial"/>
          <w:szCs w:val="22"/>
        </w:rPr>
        <w:t>.</w:t>
      </w:r>
    </w:p>
    <w:p w14:paraId="436FA9DB" w14:textId="77777777" w:rsidR="00285EF0" w:rsidRPr="00E9555E" w:rsidRDefault="00285EF0" w:rsidP="00285EF0">
      <w:pPr>
        <w:rPr>
          <w:rFonts w:cs="Arial"/>
          <w:szCs w:val="22"/>
        </w:rPr>
      </w:pPr>
    </w:p>
    <w:p w14:paraId="2DD3FF04" w14:textId="77777777" w:rsidR="00285EF0" w:rsidRPr="00E9555E" w:rsidRDefault="00285EF0" w:rsidP="00285EF0">
      <w:pPr>
        <w:rPr>
          <w:rFonts w:cs="Arial"/>
          <w:szCs w:val="22"/>
        </w:rPr>
      </w:pPr>
      <w:r w:rsidRPr="00E9555E">
        <w:rPr>
          <w:rFonts w:cs="Arial"/>
          <w:szCs w:val="22"/>
        </w:rPr>
        <w:t xml:space="preserve">Some </w:t>
      </w:r>
      <w:r w:rsidRPr="00E9555E">
        <w:rPr>
          <w:rFonts w:cs="Arial"/>
          <w:i/>
          <w:szCs w:val="22"/>
        </w:rPr>
        <w:t>Salmonella</w:t>
      </w:r>
      <w:r w:rsidRPr="00E9555E">
        <w:rPr>
          <w:rFonts w:cs="Arial"/>
          <w:szCs w:val="22"/>
        </w:rPr>
        <w:t xml:space="preserve"> sero</w:t>
      </w:r>
      <w:r>
        <w:rPr>
          <w:rFonts w:cs="Arial"/>
          <w:szCs w:val="22"/>
        </w:rPr>
        <w:t>vars</w:t>
      </w:r>
      <w:r w:rsidRPr="00E9555E">
        <w:rPr>
          <w:rFonts w:cs="Arial"/>
          <w:szCs w:val="22"/>
        </w:rPr>
        <w:t xml:space="preserve"> are host-adapted to individual animal species and may differ vastly in the severity of the disease they cause; others such as </w:t>
      </w:r>
      <w:r w:rsidRPr="00E9555E">
        <w:rPr>
          <w:rFonts w:cs="Arial"/>
          <w:i/>
          <w:szCs w:val="22"/>
        </w:rPr>
        <w:t>S</w:t>
      </w:r>
      <w:r w:rsidRPr="00E9555E">
        <w:rPr>
          <w:rFonts w:cs="Arial"/>
          <w:szCs w:val="22"/>
        </w:rPr>
        <w:t xml:space="preserve">. Typhimurium have a broad host range, with an ability to infect a wide range of animals, including humans </w:t>
      </w:r>
      <w:r w:rsidRPr="00E9555E">
        <w:rPr>
          <w:rFonts w:cs="Arial"/>
          <w:noProof/>
          <w:szCs w:val="22"/>
        </w:rPr>
        <w:t>(Jay et al. 2003; Wallis 2006)</w:t>
      </w:r>
      <w:r w:rsidRPr="00E9555E">
        <w:rPr>
          <w:rFonts w:cs="Arial"/>
          <w:szCs w:val="22"/>
        </w:rPr>
        <w:t>.</w:t>
      </w:r>
    </w:p>
    <w:p w14:paraId="38EB08BB" w14:textId="77777777" w:rsidR="00285EF0" w:rsidRPr="00E9555E" w:rsidRDefault="00285EF0" w:rsidP="00285EF0">
      <w:pPr>
        <w:rPr>
          <w:rFonts w:cs="Arial"/>
          <w:szCs w:val="22"/>
        </w:rPr>
      </w:pPr>
    </w:p>
    <w:p w14:paraId="2BBAC454" w14:textId="77777777" w:rsidR="00285EF0" w:rsidRPr="00E9555E" w:rsidRDefault="00285EF0" w:rsidP="00285EF0">
      <w:pPr>
        <w:rPr>
          <w:rFonts w:cs="Arial"/>
          <w:szCs w:val="22"/>
        </w:rPr>
      </w:pPr>
      <w:r w:rsidRPr="00E9555E">
        <w:rPr>
          <w:rFonts w:cs="Arial"/>
          <w:i/>
          <w:szCs w:val="22"/>
        </w:rPr>
        <w:t>S</w:t>
      </w:r>
      <w:r w:rsidRPr="00E9555E">
        <w:rPr>
          <w:rFonts w:cs="Arial"/>
          <w:szCs w:val="22"/>
        </w:rPr>
        <w:t xml:space="preserve">. Typhi and </w:t>
      </w:r>
      <w:r w:rsidRPr="00E9555E">
        <w:rPr>
          <w:rFonts w:cs="Arial"/>
          <w:i/>
          <w:szCs w:val="22"/>
        </w:rPr>
        <w:t>S</w:t>
      </w:r>
      <w:r w:rsidRPr="00E9555E">
        <w:rPr>
          <w:rFonts w:cs="Arial"/>
          <w:szCs w:val="22"/>
        </w:rPr>
        <w:t xml:space="preserve">. Paratyphi are specifically associated with infections in humans, leading to severe disease called enteric fever. </w:t>
      </w:r>
      <w:r w:rsidRPr="00E9555E">
        <w:rPr>
          <w:rFonts w:cs="Arial"/>
          <w:i/>
          <w:szCs w:val="22"/>
        </w:rPr>
        <w:t>S</w:t>
      </w:r>
      <w:r w:rsidRPr="00E9555E">
        <w:rPr>
          <w:rFonts w:cs="Arial"/>
          <w:szCs w:val="22"/>
        </w:rPr>
        <w:t xml:space="preserve">. Typhi and </w:t>
      </w:r>
      <w:r w:rsidRPr="00E9555E">
        <w:rPr>
          <w:rFonts w:cs="Arial"/>
          <w:i/>
          <w:szCs w:val="22"/>
        </w:rPr>
        <w:t>S</w:t>
      </w:r>
      <w:r w:rsidRPr="00E9555E">
        <w:rPr>
          <w:rFonts w:cs="Arial"/>
          <w:szCs w:val="22"/>
        </w:rPr>
        <w:t xml:space="preserve">. Paratyphi produce clinical syndromes referred to as typhoid and paratyphoid fever, respectively. Enteric fever is rare in developed countries, with the majority of cases associated with overseas travel </w:t>
      </w:r>
      <w:r w:rsidRPr="00E9555E">
        <w:rPr>
          <w:rFonts w:cs="Arial"/>
          <w:noProof/>
          <w:szCs w:val="22"/>
        </w:rPr>
        <w:t>(Darby and Sheorey 2008)</w:t>
      </w:r>
      <w:r w:rsidRPr="00E9555E">
        <w:rPr>
          <w:rFonts w:cs="Arial"/>
          <w:szCs w:val="22"/>
        </w:rPr>
        <w:t>.</w:t>
      </w:r>
      <w:r>
        <w:rPr>
          <w:rFonts w:cs="Arial"/>
          <w:szCs w:val="22"/>
        </w:rPr>
        <w:t xml:space="preserve"> I</w:t>
      </w:r>
      <w:r w:rsidRPr="00E9555E">
        <w:rPr>
          <w:rFonts w:cs="Arial"/>
          <w:szCs w:val="22"/>
        </w:rPr>
        <w:t xml:space="preserve">n Australia </w:t>
      </w:r>
      <w:r>
        <w:rPr>
          <w:rFonts w:cs="Arial"/>
          <w:szCs w:val="22"/>
        </w:rPr>
        <w:t>97.9</w:t>
      </w:r>
      <w:r w:rsidRPr="00E9555E">
        <w:rPr>
          <w:rFonts w:cs="Arial"/>
          <w:szCs w:val="22"/>
        </w:rPr>
        <w:t>% of notified cases of typhoid</w:t>
      </w:r>
      <w:r>
        <w:rPr>
          <w:rFonts w:cs="Arial"/>
          <w:szCs w:val="22"/>
        </w:rPr>
        <w:t xml:space="preserve"> fever</w:t>
      </w:r>
      <w:r w:rsidRPr="00E9555E">
        <w:rPr>
          <w:rFonts w:cs="Arial"/>
          <w:szCs w:val="22"/>
        </w:rPr>
        <w:t xml:space="preserve"> </w:t>
      </w:r>
      <w:r>
        <w:rPr>
          <w:rFonts w:cs="Arial"/>
          <w:szCs w:val="22"/>
        </w:rPr>
        <w:t>were</w:t>
      </w:r>
      <w:r w:rsidRPr="00E9555E">
        <w:rPr>
          <w:rFonts w:cs="Arial"/>
          <w:szCs w:val="22"/>
        </w:rPr>
        <w:t xml:space="preserve"> </w:t>
      </w:r>
      <w:r>
        <w:rPr>
          <w:rFonts w:cs="Arial"/>
          <w:szCs w:val="22"/>
        </w:rPr>
        <w:t>likely to have been acquired overseas in 2010</w:t>
      </w:r>
      <w:r w:rsidRPr="00E9555E">
        <w:rPr>
          <w:rFonts w:cs="Arial"/>
          <w:szCs w:val="22"/>
        </w:rPr>
        <w:t xml:space="preserve"> </w:t>
      </w:r>
      <w:r>
        <w:rPr>
          <w:rFonts w:cs="Arial"/>
          <w:noProof/>
          <w:szCs w:val="22"/>
        </w:rPr>
        <w:t>(OzFoodNet 2012</w:t>
      </w:r>
      <w:r w:rsidRPr="00E9555E">
        <w:rPr>
          <w:rFonts w:cs="Arial"/>
          <w:noProof/>
          <w:szCs w:val="22"/>
        </w:rPr>
        <w:t>)</w:t>
      </w:r>
      <w:r>
        <w:rPr>
          <w:rFonts w:cs="Arial"/>
          <w:szCs w:val="22"/>
        </w:rPr>
        <w:t>.</w:t>
      </w:r>
    </w:p>
    <w:p w14:paraId="370A8E8D" w14:textId="77777777" w:rsidR="00285EF0" w:rsidRPr="00E9555E" w:rsidRDefault="00285EF0" w:rsidP="00787E56">
      <w:pPr>
        <w:pStyle w:val="Heading3"/>
      </w:pPr>
      <w:bookmarkStart w:id="1217" w:name="_Toc66881468"/>
      <w:bookmarkStart w:id="1218" w:name="_Toc66883094"/>
      <w:bookmarkStart w:id="1219" w:name="_Toc87614494"/>
      <w:bookmarkStart w:id="1220" w:name="_Toc87860133"/>
      <w:r w:rsidRPr="00AF7526">
        <w:t>Growth and survival characteristics</w:t>
      </w:r>
      <w:bookmarkEnd w:id="1217"/>
      <w:bookmarkEnd w:id="1218"/>
      <w:bookmarkEnd w:id="1219"/>
      <w:bookmarkEnd w:id="1220"/>
    </w:p>
    <w:p w14:paraId="2B0B8E5E" w14:textId="77777777" w:rsidR="00285EF0" w:rsidRPr="00E9555E" w:rsidRDefault="00285EF0" w:rsidP="00285EF0">
      <w:pPr>
        <w:keepLines/>
        <w:rPr>
          <w:rFonts w:cs="Arial"/>
          <w:szCs w:val="22"/>
        </w:rPr>
      </w:pPr>
      <w:r w:rsidRPr="00484D18">
        <w:rPr>
          <w:rFonts w:cs="Arial"/>
          <w:i/>
          <w:szCs w:val="22"/>
        </w:rPr>
        <w:t>Salmonella</w:t>
      </w:r>
      <w:r>
        <w:rPr>
          <w:rFonts w:cs="Arial"/>
          <w:szCs w:val="22"/>
        </w:rPr>
        <w:t xml:space="preserve"> spp.</w:t>
      </w:r>
      <w:r w:rsidRPr="00E9555E">
        <w:rPr>
          <w:rFonts w:cs="Arial"/>
          <w:szCs w:val="22"/>
        </w:rPr>
        <w:t xml:space="preserve"> have relatively simple nutritional requirements and can survive for long periods of time in foods and other substrates. The growth and survival of </w:t>
      </w:r>
      <w:r w:rsidRPr="00E9555E">
        <w:rPr>
          <w:rFonts w:cs="Arial"/>
          <w:i/>
          <w:szCs w:val="22"/>
        </w:rPr>
        <w:t>Salmonella</w:t>
      </w:r>
      <w:r w:rsidRPr="00E9555E">
        <w:rPr>
          <w:rFonts w:cs="Arial"/>
          <w:szCs w:val="22"/>
        </w:rPr>
        <w:t xml:space="preserve"> spp. is influenced by a number of factors such as temperature, pH, water activity and the presence of preservatives (refer to Table </w:t>
      </w:r>
      <w:r>
        <w:rPr>
          <w:rFonts w:cs="Arial"/>
          <w:szCs w:val="22"/>
        </w:rPr>
        <w:t>A9-</w:t>
      </w:r>
      <w:r w:rsidRPr="00E9555E">
        <w:rPr>
          <w:rFonts w:cs="Arial"/>
          <w:szCs w:val="22"/>
        </w:rPr>
        <w:t xml:space="preserve">1). </w:t>
      </w:r>
    </w:p>
    <w:p w14:paraId="75616923" w14:textId="77777777" w:rsidR="00285EF0" w:rsidRPr="00E9555E" w:rsidRDefault="00285EF0" w:rsidP="00285EF0">
      <w:pPr>
        <w:keepLines/>
        <w:rPr>
          <w:rFonts w:cs="Arial"/>
          <w:szCs w:val="22"/>
        </w:rPr>
      </w:pPr>
    </w:p>
    <w:p w14:paraId="350B5E60" w14:textId="77777777" w:rsidR="00285EF0" w:rsidRPr="00E9555E" w:rsidRDefault="00285EF0" w:rsidP="00285EF0">
      <w:pPr>
        <w:keepLines/>
        <w:rPr>
          <w:rFonts w:cs="Arial"/>
          <w:szCs w:val="22"/>
        </w:rPr>
      </w:pPr>
      <w:r w:rsidRPr="00E9555E">
        <w:rPr>
          <w:rFonts w:cs="Arial"/>
          <w:szCs w:val="22"/>
        </w:rPr>
        <w:t xml:space="preserve">The temperature range for growth of </w:t>
      </w:r>
      <w:r w:rsidRPr="00E9555E">
        <w:rPr>
          <w:rFonts w:cs="Arial"/>
          <w:i/>
          <w:szCs w:val="22"/>
        </w:rPr>
        <w:t>Salmonella</w:t>
      </w:r>
      <w:r w:rsidRPr="00E9555E">
        <w:rPr>
          <w:rFonts w:cs="Arial"/>
          <w:szCs w:val="22"/>
        </w:rPr>
        <w:t xml:space="preserve"> spp. is 5.2–46.2</w:t>
      </w:r>
      <w:r w:rsidRPr="00C70CC5">
        <w:rPr>
          <w:rFonts w:eastAsia="Calibri" w:cs="Arial"/>
          <w:szCs w:val="22"/>
        </w:rPr>
        <w:t>°</w:t>
      </w:r>
      <w:r w:rsidRPr="00E9555E">
        <w:rPr>
          <w:rFonts w:cs="Arial"/>
          <w:szCs w:val="22"/>
        </w:rPr>
        <w:t>C, with the optimal temperature</w:t>
      </w:r>
      <w:r>
        <w:rPr>
          <w:rFonts w:cs="Arial"/>
          <w:szCs w:val="22"/>
        </w:rPr>
        <w:t xml:space="preserve"> being 35–43</w:t>
      </w:r>
      <w:r w:rsidRPr="00C70CC5">
        <w:rPr>
          <w:rFonts w:eastAsia="Calibri" w:cs="Arial"/>
          <w:szCs w:val="22"/>
        </w:rPr>
        <w:t>°</w:t>
      </w:r>
      <w:r w:rsidRPr="00E9555E">
        <w:rPr>
          <w:rFonts w:cs="Arial"/>
          <w:szCs w:val="22"/>
        </w:rPr>
        <w:t xml:space="preserve">C </w:t>
      </w:r>
      <w:r>
        <w:rPr>
          <w:rFonts w:cs="Arial"/>
          <w:noProof/>
          <w:szCs w:val="22"/>
        </w:rPr>
        <w:t>(ICMSF 1996)</w:t>
      </w:r>
      <w:r>
        <w:rPr>
          <w:rFonts w:cs="Arial"/>
          <w:szCs w:val="22"/>
        </w:rPr>
        <w:t xml:space="preserve">. </w:t>
      </w:r>
      <w:r w:rsidRPr="00E9555E">
        <w:rPr>
          <w:rFonts w:cs="Arial"/>
          <w:szCs w:val="22"/>
        </w:rPr>
        <w:t xml:space="preserve">Although freezing can be detrimental to </w:t>
      </w:r>
      <w:r w:rsidRPr="00E9555E">
        <w:rPr>
          <w:rFonts w:cs="Arial"/>
          <w:i/>
          <w:szCs w:val="22"/>
        </w:rPr>
        <w:t>Salmonella</w:t>
      </w:r>
      <w:r w:rsidRPr="00E9555E">
        <w:rPr>
          <w:rFonts w:cs="Arial"/>
          <w:szCs w:val="22"/>
        </w:rPr>
        <w:t xml:space="preserve"> spp. survival, it does not guarantee destruction of the organism. There is an initial rapid decrease in the number of viable organisms at temperatures close to the freezing point as a result of the freezing damage. However, at lower temperatures </w:t>
      </w:r>
      <w:r w:rsidRPr="00E9555E">
        <w:rPr>
          <w:rFonts w:cs="Arial"/>
          <w:i/>
          <w:szCs w:val="22"/>
        </w:rPr>
        <w:t>Salmonella</w:t>
      </w:r>
      <w:r w:rsidRPr="00E9555E">
        <w:rPr>
          <w:rFonts w:cs="Arial"/>
          <w:szCs w:val="22"/>
        </w:rPr>
        <w:t xml:space="preserve"> spp. have the ability to survive long term frozen storage </w:t>
      </w:r>
      <w:r w:rsidRPr="00E9555E">
        <w:rPr>
          <w:rFonts w:cs="Arial"/>
          <w:noProof/>
          <w:szCs w:val="22"/>
        </w:rPr>
        <w:t>(Jay et al. 2003)</w:t>
      </w:r>
      <w:r w:rsidRPr="00E9555E">
        <w:rPr>
          <w:rFonts w:cs="Arial"/>
          <w:szCs w:val="22"/>
        </w:rPr>
        <w:t xml:space="preserve">. Strawn and Dayluk </w:t>
      </w:r>
      <w:r w:rsidRPr="00E9555E">
        <w:rPr>
          <w:rFonts w:cs="Arial"/>
          <w:noProof/>
          <w:szCs w:val="22"/>
        </w:rPr>
        <w:t>(2010)</w:t>
      </w:r>
      <w:r w:rsidRPr="00E9555E">
        <w:rPr>
          <w:rFonts w:cs="Arial"/>
          <w:szCs w:val="22"/>
        </w:rPr>
        <w:t xml:space="preserve"> showed that </w:t>
      </w:r>
      <w:r w:rsidRPr="00E9555E">
        <w:rPr>
          <w:rFonts w:cs="Arial"/>
          <w:i/>
          <w:szCs w:val="22"/>
        </w:rPr>
        <w:t>Salmonella</w:t>
      </w:r>
      <w:r w:rsidRPr="00E9555E">
        <w:rPr>
          <w:rFonts w:cs="Arial"/>
          <w:szCs w:val="22"/>
        </w:rPr>
        <w:t xml:space="preserve"> was able to survive on frozen mangoes and papayas</w:t>
      </w:r>
      <w:r>
        <w:rPr>
          <w:rFonts w:cs="Arial"/>
          <w:szCs w:val="22"/>
        </w:rPr>
        <w:t xml:space="preserve"> stored at -20</w:t>
      </w:r>
      <w:r w:rsidRPr="00E9555E">
        <w:rPr>
          <w:rFonts w:cs="Arial"/>
          <w:szCs w:val="22"/>
        </w:rPr>
        <w:t xml:space="preserve">°C for at least 180 days. </w:t>
      </w:r>
    </w:p>
    <w:p w14:paraId="103049B1" w14:textId="77777777" w:rsidR="00285EF0" w:rsidRPr="00E9555E" w:rsidRDefault="00285EF0" w:rsidP="00285EF0">
      <w:pPr>
        <w:rPr>
          <w:rFonts w:cs="Arial"/>
          <w:szCs w:val="22"/>
        </w:rPr>
      </w:pPr>
    </w:p>
    <w:p w14:paraId="2787C359" w14:textId="1E5EB998" w:rsidR="00285EF0" w:rsidRPr="00E9555E" w:rsidRDefault="00285EF0" w:rsidP="00285EF0">
      <w:pPr>
        <w:rPr>
          <w:rFonts w:cs="Arial"/>
          <w:szCs w:val="22"/>
        </w:rPr>
      </w:pPr>
      <w:r w:rsidRPr="00E9555E">
        <w:rPr>
          <w:rFonts w:cs="Arial"/>
          <w:szCs w:val="22"/>
        </w:rPr>
        <w:t xml:space="preserve">Heat resistance of </w:t>
      </w:r>
      <w:r w:rsidRPr="00E9555E">
        <w:rPr>
          <w:rFonts w:cs="Arial"/>
          <w:i/>
          <w:szCs w:val="22"/>
        </w:rPr>
        <w:t>Salmonella</w:t>
      </w:r>
      <w:r w:rsidRPr="00E9555E">
        <w:rPr>
          <w:rFonts w:cs="Arial"/>
          <w:szCs w:val="22"/>
        </w:rPr>
        <w:t xml:space="preserve"> spp. in food is dependent on the composition, pH and water activity of the food. The heat resistance of </w:t>
      </w:r>
      <w:r w:rsidRPr="00E9555E">
        <w:rPr>
          <w:rFonts w:cs="Arial"/>
          <w:i/>
          <w:szCs w:val="22"/>
        </w:rPr>
        <w:t xml:space="preserve">Salmonella </w:t>
      </w:r>
      <w:r w:rsidRPr="00E9555E">
        <w:rPr>
          <w:rFonts w:cs="Arial"/>
          <w:szCs w:val="22"/>
        </w:rPr>
        <w:t>spp. increases as the water activity of the food decreases. Foods which are high in fat and low in moisture, such as chocolate and peanut butter, may have a protective effect against heat. In low pH conditions the heat resistance</w:t>
      </w:r>
      <w:r>
        <w:rPr>
          <w:rFonts w:cs="Arial"/>
          <w:szCs w:val="22"/>
        </w:rPr>
        <w:t xml:space="preserve"> of </w:t>
      </w:r>
      <w:r>
        <w:rPr>
          <w:rFonts w:cs="Arial"/>
          <w:i/>
          <w:szCs w:val="22"/>
        </w:rPr>
        <w:t xml:space="preserve">Salmonella </w:t>
      </w:r>
      <w:r>
        <w:rPr>
          <w:rFonts w:cs="Arial"/>
          <w:szCs w:val="22"/>
        </w:rPr>
        <w:t>spp.</w:t>
      </w:r>
      <w:r w:rsidRPr="00E9555E">
        <w:rPr>
          <w:rFonts w:cs="Arial"/>
          <w:szCs w:val="22"/>
        </w:rPr>
        <w:t xml:space="preserve"> is reduced </w:t>
      </w:r>
      <w:r>
        <w:rPr>
          <w:rFonts w:cs="Arial"/>
          <w:noProof/>
          <w:szCs w:val="22"/>
        </w:rPr>
        <w:t xml:space="preserve">(Jay et al. 2003; </w:t>
      </w:r>
      <w:r w:rsidR="007C4D68">
        <w:rPr>
          <w:rFonts w:cs="Arial"/>
          <w:noProof/>
          <w:szCs w:val="22"/>
        </w:rPr>
        <w:t>Shachar and Yaron 2006; Podolak </w:t>
      </w:r>
      <w:r>
        <w:rPr>
          <w:rFonts w:cs="Arial"/>
          <w:noProof/>
          <w:szCs w:val="22"/>
        </w:rPr>
        <w:t>et al. 2010)</w:t>
      </w:r>
      <w:r w:rsidRPr="00E9555E">
        <w:rPr>
          <w:rFonts w:cs="Arial"/>
          <w:szCs w:val="22"/>
        </w:rPr>
        <w:t xml:space="preserve">. </w:t>
      </w:r>
    </w:p>
    <w:p w14:paraId="1E5E0214" w14:textId="77777777" w:rsidR="00285EF0" w:rsidRPr="00E9555E" w:rsidRDefault="00285EF0" w:rsidP="00285EF0">
      <w:pPr>
        <w:rPr>
          <w:rFonts w:cs="Arial"/>
          <w:szCs w:val="22"/>
        </w:rPr>
      </w:pPr>
    </w:p>
    <w:p w14:paraId="17827D74" w14:textId="77777777" w:rsidR="00285EF0" w:rsidRPr="00E9555E" w:rsidRDefault="00285EF0" w:rsidP="00285EF0">
      <w:pPr>
        <w:rPr>
          <w:rFonts w:cs="Arial"/>
          <w:szCs w:val="22"/>
        </w:rPr>
      </w:pPr>
      <w:r w:rsidRPr="00E9555E">
        <w:rPr>
          <w:rFonts w:cs="Arial"/>
          <w:i/>
          <w:szCs w:val="22"/>
        </w:rPr>
        <w:t>Salmonella</w:t>
      </w:r>
      <w:r w:rsidRPr="00E9555E">
        <w:rPr>
          <w:rFonts w:cs="Arial"/>
          <w:szCs w:val="22"/>
        </w:rPr>
        <w:t xml:space="preserve"> spp. will grow in a broad pH range of 3.8–9.5, with an optimum pH range for growth of 7–7.5 </w:t>
      </w:r>
      <w:r>
        <w:rPr>
          <w:rFonts w:cs="Arial"/>
          <w:noProof/>
          <w:szCs w:val="22"/>
        </w:rPr>
        <w:t>(ICMSF 1996)</w:t>
      </w:r>
      <w:r>
        <w:rPr>
          <w:rFonts w:cs="Arial"/>
          <w:szCs w:val="22"/>
        </w:rPr>
        <w:t xml:space="preserve">. </w:t>
      </w:r>
      <w:r w:rsidRPr="00E9555E">
        <w:rPr>
          <w:rFonts w:cs="Arial"/>
          <w:szCs w:val="22"/>
        </w:rPr>
        <w:t xml:space="preserve">The minimum pH at which </w:t>
      </w:r>
      <w:r w:rsidRPr="00E9555E">
        <w:rPr>
          <w:rFonts w:cs="Arial"/>
          <w:i/>
          <w:szCs w:val="22"/>
        </w:rPr>
        <w:t>Salmonella</w:t>
      </w:r>
      <w:r w:rsidRPr="00E9555E">
        <w:rPr>
          <w:rFonts w:cs="Arial"/>
          <w:szCs w:val="22"/>
        </w:rPr>
        <w:t xml:space="preserve"> spp. can grow is dependent on temperature, presence of salt and nitrite and the type of acid present. Volatile fatty acids are more bactericidal than organic acids such as lactic, citric and acetic acid. Outside</w:t>
      </w:r>
      <w:r>
        <w:rPr>
          <w:rFonts w:cs="Arial"/>
          <w:szCs w:val="22"/>
        </w:rPr>
        <w:t xml:space="preserve"> of</w:t>
      </w:r>
      <w:r w:rsidRPr="00E9555E">
        <w:rPr>
          <w:rFonts w:cs="Arial"/>
          <w:szCs w:val="22"/>
        </w:rPr>
        <w:t xml:space="preserve"> the pH range for growth, cells may become inactivated, although this is not immediate and cells have been shown to survive for long periods in acidic products </w:t>
      </w:r>
      <w:r w:rsidRPr="00E9555E">
        <w:rPr>
          <w:rFonts w:cs="Arial"/>
          <w:noProof/>
          <w:szCs w:val="22"/>
        </w:rPr>
        <w:t>(Bell and Kyriakides 2002; Jay et al. 2003)</w:t>
      </w:r>
      <w:r w:rsidRPr="00E9555E">
        <w:rPr>
          <w:rFonts w:cs="Arial"/>
          <w:szCs w:val="22"/>
        </w:rPr>
        <w:t>.</w:t>
      </w:r>
    </w:p>
    <w:p w14:paraId="041389DC" w14:textId="77777777" w:rsidR="00285EF0" w:rsidRPr="00E9555E" w:rsidRDefault="00285EF0" w:rsidP="00285EF0">
      <w:pPr>
        <w:rPr>
          <w:rFonts w:cs="Arial"/>
          <w:szCs w:val="22"/>
        </w:rPr>
      </w:pPr>
    </w:p>
    <w:p w14:paraId="7C9C71AB" w14:textId="77777777" w:rsidR="00285EF0" w:rsidRPr="00E9555E" w:rsidRDefault="00285EF0" w:rsidP="00285EF0">
      <w:pPr>
        <w:rPr>
          <w:rFonts w:cs="Arial"/>
          <w:szCs w:val="22"/>
        </w:rPr>
      </w:pPr>
      <w:r w:rsidRPr="00E9555E">
        <w:rPr>
          <w:rFonts w:cs="Arial"/>
          <w:szCs w:val="22"/>
        </w:rPr>
        <w:t>Water activity (a</w:t>
      </w:r>
      <w:r w:rsidRPr="00E9555E">
        <w:rPr>
          <w:rFonts w:cs="Arial"/>
          <w:szCs w:val="22"/>
          <w:vertAlign w:val="subscript"/>
        </w:rPr>
        <w:t>w</w:t>
      </w:r>
      <w:r w:rsidRPr="00E9555E">
        <w:rPr>
          <w:rFonts w:cs="Arial"/>
          <w:szCs w:val="22"/>
        </w:rPr>
        <w:t xml:space="preserve">) has a significant effect on the growth of </w:t>
      </w:r>
      <w:r w:rsidRPr="00E9555E">
        <w:rPr>
          <w:rFonts w:cs="Arial"/>
          <w:i/>
          <w:szCs w:val="22"/>
        </w:rPr>
        <w:t>Salmonella</w:t>
      </w:r>
      <w:r w:rsidRPr="00E9555E">
        <w:rPr>
          <w:rFonts w:cs="Arial"/>
          <w:szCs w:val="22"/>
        </w:rPr>
        <w:t xml:space="preserve"> spp., with the optimum a</w:t>
      </w:r>
      <w:r w:rsidRPr="00E9555E">
        <w:rPr>
          <w:rFonts w:cs="Arial"/>
          <w:szCs w:val="22"/>
          <w:vertAlign w:val="subscript"/>
        </w:rPr>
        <w:t>w</w:t>
      </w:r>
      <w:r w:rsidRPr="00E9555E">
        <w:rPr>
          <w:rFonts w:cs="Arial"/>
          <w:szCs w:val="22"/>
        </w:rPr>
        <w:t xml:space="preserve"> being 0.99 and the lower limit for growth being 0.93. </w:t>
      </w:r>
      <w:r w:rsidRPr="00E9555E">
        <w:rPr>
          <w:rFonts w:cs="Arial"/>
          <w:i/>
          <w:szCs w:val="22"/>
        </w:rPr>
        <w:t>Salmonella</w:t>
      </w:r>
      <w:r w:rsidRPr="00E9555E">
        <w:rPr>
          <w:rFonts w:cs="Arial"/>
          <w:szCs w:val="22"/>
        </w:rPr>
        <w:t xml:space="preserve"> spp. can survive for months or even years in foods with a low a</w:t>
      </w:r>
      <w:r w:rsidRPr="00E9555E">
        <w:rPr>
          <w:rFonts w:cs="Arial"/>
          <w:szCs w:val="22"/>
          <w:vertAlign w:val="subscript"/>
        </w:rPr>
        <w:t>w</w:t>
      </w:r>
      <w:r w:rsidRPr="00E9555E">
        <w:rPr>
          <w:rFonts w:cs="Arial"/>
          <w:szCs w:val="22"/>
        </w:rPr>
        <w:t xml:space="preserve"> (such as black pepper, chocolate, peanut butter and gelatine) </w:t>
      </w:r>
      <w:r>
        <w:rPr>
          <w:rFonts w:cs="Arial"/>
          <w:noProof/>
          <w:szCs w:val="22"/>
        </w:rPr>
        <w:t>(ICMSF 1996; Podolak et al. 2010)</w:t>
      </w:r>
      <w:r>
        <w:rPr>
          <w:rFonts w:cs="Arial"/>
          <w:szCs w:val="22"/>
        </w:rPr>
        <w:t>.</w:t>
      </w:r>
    </w:p>
    <w:p w14:paraId="18C1A888" w14:textId="77777777" w:rsidR="00285EF0" w:rsidRPr="00E9555E" w:rsidRDefault="00285EF0" w:rsidP="00285EF0">
      <w:pPr>
        <w:rPr>
          <w:rFonts w:cs="Arial"/>
          <w:i/>
          <w:szCs w:val="22"/>
        </w:rPr>
      </w:pPr>
    </w:p>
    <w:p w14:paraId="586B232D" w14:textId="77777777" w:rsidR="00285EF0" w:rsidRDefault="00285EF0" w:rsidP="00285EF0">
      <w:pPr>
        <w:rPr>
          <w:rFonts w:cs="Arial"/>
          <w:szCs w:val="22"/>
        </w:rPr>
      </w:pPr>
      <w:r w:rsidRPr="00E9555E">
        <w:rPr>
          <w:rFonts w:cs="Arial"/>
          <w:i/>
          <w:szCs w:val="22"/>
        </w:rPr>
        <w:t>Salmonella</w:t>
      </w:r>
      <w:r w:rsidRPr="00E9555E">
        <w:rPr>
          <w:rFonts w:cs="Arial"/>
          <w:szCs w:val="22"/>
        </w:rPr>
        <w:t xml:space="preserve"> spp. are similar to other Gram negative bacteria in regard to susceptibility to preservatives commonly used in foods. Growth of </w:t>
      </w:r>
      <w:r w:rsidRPr="00E9555E">
        <w:rPr>
          <w:rFonts w:cs="Arial"/>
          <w:i/>
          <w:szCs w:val="22"/>
        </w:rPr>
        <w:t>Salmonella</w:t>
      </w:r>
      <w:r w:rsidRPr="00E9555E">
        <w:rPr>
          <w:rFonts w:cs="Arial"/>
          <w:szCs w:val="22"/>
        </w:rPr>
        <w:t xml:space="preserve"> spp. can be inhibited by benzoic acid, sorbic acid or propionic acid. The inhibition of </w:t>
      </w:r>
      <w:r w:rsidRPr="00E9555E">
        <w:rPr>
          <w:rFonts w:cs="Arial"/>
          <w:i/>
          <w:szCs w:val="22"/>
        </w:rPr>
        <w:t xml:space="preserve">Salmonella </w:t>
      </w:r>
      <w:r w:rsidRPr="00E9555E">
        <w:rPr>
          <w:rFonts w:cs="Arial"/>
          <w:szCs w:val="22"/>
        </w:rPr>
        <w:t xml:space="preserve">spp. is enhanced by the use of </w:t>
      </w:r>
      <w:r>
        <w:rPr>
          <w:rFonts w:cs="Arial"/>
          <w:szCs w:val="22"/>
        </w:rPr>
        <w:t xml:space="preserve">a </w:t>
      </w:r>
      <w:r w:rsidRPr="00E9555E">
        <w:rPr>
          <w:rFonts w:cs="Arial"/>
          <w:szCs w:val="22"/>
        </w:rPr>
        <w:t>combination</w:t>
      </w:r>
      <w:r>
        <w:rPr>
          <w:rFonts w:cs="Arial"/>
          <w:szCs w:val="22"/>
        </w:rPr>
        <w:t xml:space="preserve"> of</w:t>
      </w:r>
      <w:r w:rsidRPr="00E9555E">
        <w:rPr>
          <w:rFonts w:cs="Arial"/>
          <w:szCs w:val="22"/>
        </w:rPr>
        <w:t xml:space="preserve"> several preservative factors, such as </w:t>
      </w:r>
      <w:r>
        <w:rPr>
          <w:rFonts w:cs="Arial"/>
          <w:szCs w:val="22"/>
        </w:rPr>
        <w:t xml:space="preserve">the use of </w:t>
      </w:r>
      <w:r w:rsidRPr="00E9555E">
        <w:rPr>
          <w:rFonts w:cs="Arial"/>
          <w:szCs w:val="22"/>
        </w:rPr>
        <w:t xml:space="preserve">a preservative in </w:t>
      </w:r>
      <w:r>
        <w:rPr>
          <w:rFonts w:cs="Arial"/>
          <w:szCs w:val="22"/>
        </w:rPr>
        <w:t>conjunction</w:t>
      </w:r>
      <w:r w:rsidRPr="00E9555E">
        <w:rPr>
          <w:rFonts w:cs="Arial"/>
          <w:szCs w:val="22"/>
        </w:rPr>
        <w:t xml:space="preserve"> </w:t>
      </w:r>
      <w:r>
        <w:rPr>
          <w:rFonts w:cs="Arial"/>
          <w:szCs w:val="22"/>
        </w:rPr>
        <w:t>with reduction in</w:t>
      </w:r>
      <w:r w:rsidRPr="00E9555E">
        <w:rPr>
          <w:rFonts w:cs="Arial"/>
          <w:szCs w:val="22"/>
        </w:rPr>
        <w:t xml:space="preserve"> pH and temperature </w:t>
      </w:r>
      <w:r>
        <w:rPr>
          <w:rFonts w:cs="Arial"/>
          <w:noProof/>
          <w:szCs w:val="22"/>
        </w:rPr>
        <w:t>(ICMSF 1996; Ha et al. 2004; Banerjee and Sarkar 2004)</w:t>
      </w:r>
      <w:r>
        <w:rPr>
          <w:rFonts w:cs="Arial"/>
          <w:szCs w:val="22"/>
        </w:rPr>
        <w:t>.</w:t>
      </w:r>
    </w:p>
    <w:p w14:paraId="213150EA" w14:textId="77777777" w:rsidR="00285EF0" w:rsidRPr="00E9555E" w:rsidRDefault="00285EF0" w:rsidP="00285EF0">
      <w:pPr>
        <w:rPr>
          <w:rFonts w:cs="Arial"/>
          <w:szCs w:val="22"/>
        </w:rPr>
      </w:pPr>
    </w:p>
    <w:p w14:paraId="7BF9D322" w14:textId="77777777" w:rsidR="00285EF0" w:rsidRPr="00E9555E" w:rsidRDefault="00285EF0" w:rsidP="00285EF0">
      <w:pPr>
        <w:rPr>
          <w:rFonts w:cs="Arial"/>
          <w:szCs w:val="22"/>
        </w:rPr>
      </w:pPr>
      <w:r w:rsidRPr="00E9555E">
        <w:rPr>
          <w:rFonts w:cs="Arial"/>
          <w:i/>
          <w:szCs w:val="22"/>
        </w:rPr>
        <w:t>Salmonella</w:t>
      </w:r>
      <w:r w:rsidRPr="00E9555E">
        <w:rPr>
          <w:rFonts w:cs="Arial"/>
          <w:szCs w:val="22"/>
        </w:rPr>
        <w:t xml:space="preserve"> spp. are classed as facultative anaerobic organisms as they do not require oxygen for growth </w:t>
      </w:r>
      <w:r w:rsidRPr="00E9555E">
        <w:rPr>
          <w:rFonts w:cs="Arial"/>
          <w:noProof/>
          <w:szCs w:val="22"/>
        </w:rPr>
        <w:t>(Jay et al. 2003)</w:t>
      </w:r>
      <w:r w:rsidRPr="00E9555E">
        <w:rPr>
          <w:rFonts w:cs="Arial"/>
          <w:szCs w:val="22"/>
        </w:rPr>
        <w:t>.</w:t>
      </w:r>
    </w:p>
    <w:p w14:paraId="3A25AD0C" w14:textId="77777777" w:rsidR="00285EF0" w:rsidRPr="00E9555E" w:rsidRDefault="00285EF0" w:rsidP="00285EF0">
      <w:pPr>
        <w:rPr>
          <w:rFonts w:cs="Arial"/>
          <w:szCs w:val="22"/>
        </w:rPr>
      </w:pPr>
    </w:p>
    <w:p w14:paraId="526C7C33" w14:textId="77777777" w:rsidR="00285EF0" w:rsidRDefault="00285EF0" w:rsidP="00285EF0">
      <w:pPr>
        <w:rPr>
          <w:rFonts w:cs="Arial"/>
          <w:noProof/>
          <w:szCs w:val="22"/>
        </w:rPr>
      </w:pPr>
      <w:r w:rsidRPr="009E0634">
        <w:rPr>
          <w:rFonts w:cs="Arial"/>
          <w:szCs w:val="22"/>
        </w:rPr>
        <w:t>Table A9-1</w:t>
      </w:r>
      <w:r>
        <w:rPr>
          <w:rFonts w:cs="Arial"/>
          <w:szCs w:val="22"/>
        </w:rPr>
        <w:t>.</w:t>
      </w:r>
      <w:r w:rsidRPr="009E0634">
        <w:rPr>
          <w:rFonts w:cs="Arial"/>
          <w:szCs w:val="22"/>
        </w:rPr>
        <w:t xml:space="preserve"> Limits for growth of </w:t>
      </w:r>
      <w:r w:rsidRPr="009E0634">
        <w:rPr>
          <w:rFonts w:cs="Arial"/>
          <w:i/>
          <w:szCs w:val="22"/>
        </w:rPr>
        <w:t>Salmonella</w:t>
      </w:r>
      <w:r w:rsidRPr="009E0634">
        <w:rPr>
          <w:rFonts w:cs="Arial"/>
          <w:szCs w:val="22"/>
        </w:rPr>
        <w:t xml:space="preserve"> spp. when other conditions are near optimum</w:t>
      </w:r>
      <w:r>
        <w:rPr>
          <w:rFonts w:cs="Arial"/>
          <w:szCs w:val="22"/>
        </w:rPr>
        <w:t xml:space="preserve"> </w:t>
      </w:r>
      <w:r>
        <w:rPr>
          <w:rFonts w:cs="Arial"/>
          <w:noProof/>
          <w:szCs w:val="22"/>
        </w:rPr>
        <w:t>(ICMSF 1996; Podolak et al. 2010)</w:t>
      </w:r>
    </w:p>
    <w:p w14:paraId="26E59E60" w14:textId="77777777" w:rsidR="00285EF0" w:rsidRPr="00E9555E" w:rsidRDefault="00285EF0" w:rsidP="00285EF0">
      <w:pPr>
        <w:rPr>
          <w:rFonts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A9-1. Limits for growth of Salmonella spp. when other conditions are near optimum"/>
      </w:tblPr>
      <w:tblGrid>
        <w:gridCol w:w="2265"/>
        <w:gridCol w:w="2249"/>
        <w:gridCol w:w="2250"/>
        <w:gridCol w:w="2252"/>
      </w:tblGrid>
      <w:tr w:rsidR="00285EF0" w:rsidRPr="006A3B1D" w14:paraId="5E08BDEB" w14:textId="77777777" w:rsidTr="00285EF0">
        <w:tc>
          <w:tcPr>
            <w:tcW w:w="2310" w:type="dxa"/>
            <w:tcBorders>
              <w:top w:val="single" w:sz="4" w:space="0" w:color="000000"/>
              <w:left w:val="single" w:sz="4" w:space="0" w:color="000000"/>
              <w:bottom w:val="single" w:sz="4" w:space="0" w:color="000000"/>
              <w:right w:val="single" w:sz="4" w:space="0" w:color="000000"/>
            </w:tcBorders>
            <w:shd w:val="clear" w:color="auto" w:fill="FFFFFF"/>
          </w:tcPr>
          <w:p w14:paraId="51F9874A" w14:textId="77777777" w:rsidR="00285EF0" w:rsidRPr="006A3B1D" w:rsidRDefault="00285EF0" w:rsidP="00285EF0">
            <w:pPr>
              <w:jc w:val="center"/>
              <w:rPr>
                <w:rFonts w:cs="Arial"/>
                <w:b/>
                <w:sz w:val="20"/>
                <w:szCs w:val="20"/>
              </w:rPr>
            </w:pPr>
          </w:p>
        </w:tc>
        <w:tc>
          <w:tcPr>
            <w:tcW w:w="231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6CC8077C" w14:textId="77777777" w:rsidR="00285EF0" w:rsidRPr="006A3B1D" w:rsidRDefault="00285EF0" w:rsidP="00285EF0">
            <w:pPr>
              <w:jc w:val="center"/>
              <w:rPr>
                <w:rFonts w:cs="Arial"/>
                <w:b/>
                <w:sz w:val="20"/>
                <w:szCs w:val="20"/>
              </w:rPr>
            </w:pPr>
            <w:r w:rsidRPr="006A3B1D">
              <w:rPr>
                <w:rFonts w:cs="Arial"/>
                <w:b/>
                <w:sz w:val="20"/>
                <w:szCs w:val="20"/>
              </w:rPr>
              <w:t>Minimum</w:t>
            </w:r>
          </w:p>
        </w:tc>
        <w:tc>
          <w:tcPr>
            <w:tcW w:w="231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50D40593" w14:textId="77777777" w:rsidR="00285EF0" w:rsidRPr="006A3B1D" w:rsidRDefault="00285EF0" w:rsidP="00285EF0">
            <w:pPr>
              <w:jc w:val="center"/>
              <w:rPr>
                <w:rFonts w:cs="Arial"/>
                <w:b/>
                <w:sz w:val="20"/>
                <w:szCs w:val="20"/>
              </w:rPr>
            </w:pPr>
            <w:r w:rsidRPr="006A3B1D">
              <w:rPr>
                <w:rFonts w:cs="Arial"/>
                <w:b/>
                <w:sz w:val="20"/>
                <w:szCs w:val="20"/>
              </w:rPr>
              <w:t>Optimum</w:t>
            </w:r>
          </w:p>
        </w:tc>
        <w:tc>
          <w:tcPr>
            <w:tcW w:w="231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70E6B709" w14:textId="77777777" w:rsidR="00285EF0" w:rsidRPr="006A3B1D" w:rsidRDefault="00285EF0" w:rsidP="00285EF0">
            <w:pPr>
              <w:jc w:val="center"/>
              <w:rPr>
                <w:rFonts w:cs="Arial"/>
                <w:b/>
                <w:sz w:val="20"/>
                <w:szCs w:val="20"/>
              </w:rPr>
            </w:pPr>
            <w:r w:rsidRPr="006A3B1D">
              <w:rPr>
                <w:rFonts w:cs="Arial"/>
                <w:b/>
                <w:sz w:val="20"/>
                <w:szCs w:val="20"/>
              </w:rPr>
              <w:t>Maximum</w:t>
            </w:r>
          </w:p>
        </w:tc>
      </w:tr>
      <w:tr w:rsidR="00285EF0" w:rsidRPr="006A3B1D" w14:paraId="77D488EC" w14:textId="77777777" w:rsidTr="00285EF0">
        <w:tc>
          <w:tcPr>
            <w:tcW w:w="231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106ABEB6" w14:textId="77777777" w:rsidR="00285EF0" w:rsidRPr="006A3B1D" w:rsidRDefault="00285EF0" w:rsidP="00285EF0">
            <w:pPr>
              <w:jc w:val="center"/>
              <w:rPr>
                <w:rFonts w:cs="Arial"/>
                <w:b/>
                <w:sz w:val="20"/>
                <w:szCs w:val="20"/>
              </w:rPr>
            </w:pPr>
            <w:r w:rsidRPr="006A3B1D">
              <w:rPr>
                <w:rFonts w:cs="Arial"/>
                <w:b/>
                <w:sz w:val="20"/>
                <w:szCs w:val="20"/>
              </w:rPr>
              <w:t>Temperature (°C)</w:t>
            </w:r>
          </w:p>
        </w:tc>
        <w:tc>
          <w:tcPr>
            <w:tcW w:w="2310" w:type="dxa"/>
            <w:tcBorders>
              <w:top w:val="single" w:sz="4" w:space="0" w:color="000000"/>
              <w:left w:val="single" w:sz="4" w:space="0" w:color="000000"/>
              <w:bottom w:val="single" w:sz="4" w:space="0" w:color="000000"/>
              <w:right w:val="single" w:sz="4" w:space="0" w:color="000000"/>
            </w:tcBorders>
            <w:shd w:val="clear" w:color="auto" w:fill="auto"/>
            <w:hideMark/>
          </w:tcPr>
          <w:p w14:paraId="6A22F387" w14:textId="77777777" w:rsidR="00285EF0" w:rsidRPr="006A3B1D" w:rsidRDefault="00285EF0" w:rsidP="00285EF0">
            <w:pPr>
              <w:jc w:val="center"/>
              <w:rPr>
                <w:rFonts w:cs="Arial"/>
                <w:sz w:val="20"/>
                <w:szCs w:val="20"/>
              </w:rPr>
            </w:pPr>
            <w:r w:rsidRPr="006A3B1D">
              <w:rPr>
                <w:rFonts w:cs="Arial"/>
                <w:sz w:val="20"/>
                <w:szCs w:val="20"/>
              </w:rPr>
              <w:t>5.2</w:t>
            </w:r>
          </w:p>
        </w:tc>
        <w:tc>
          <w:tcPr>
            <w:tcW w:w="2311" w:type="dxa"/>
            <w:tcBorders>
              <w:top w:val="single" w:sz="4" w:space="0" w:color="000000"/>
              <w:left w:val="single" w:sz="4" w:space="0" w:color="000000"/>
              <w:bottom w:val="single" w:sz="4" w:space="0" w:color="000000"/>
              <w:right w:val="single" w:sz="4" w:space="0" w:color="000000"/>
            </w:tcBorders>
            <w:shd w:val="clear" w:color="auto" w:fill="auto"/>
            <w:hideMark/>
          </w:tcPr>
          <w:p w14:paraId="59E570B6" w14:textId="77777777" w:rsidR="00285EF0" w:rsidRPr="006A3B1D" w:rsidRDefault="00285EF0" w:rsidP="00285EF0">
            <w:pPr>
              <w:jc w:val="center"/>
              <w:rPr>
                <w:rFonts w:cs="Arial"/>
                <w:sz w:val="20"/>
                <w:szCs w:val="20"/>
              </w:rPr>
            </w:pPr>
            <w:r w:rsidRPr="006A3B1D">
              <w:rPr>
                <w:rFonts w:cs="Arial"/>
                <w:sz w:val="20"/>
                <w:szCs w:val="20"/>
              </w:rPr>
              <w:t>35–43</w:t>
            </w:r>
          </w:p>
        </w:tc>
        <w:tc>
          <w:tcPr>
            <w:tcW w:w="2311" w:type="dxa"/>
            <w:tcBorders>
              <w:top w:val="single" w:sz="4" w:space="0" w:color="000000"/>
              <w:left w:val="single" w:sz="4" w:space="0" w:color="000000"/>
              <w:bottom w:val="single" w:sz="4" w:space="0" w:color="000000"/>
              <w:right w:val="single" w:sz="4" w:space="0" w:color="000000"/>
            </w:tcBorders>
            <w:shd w:val="clear" w:color="auto" w:fill="auto"/>
            <w:hideMark/>
          </w:tcPr>
          <w:p w14:paraId="5221DAD2" w14:textId="77777777" w:rsidR="00285EF0" w:rsidRPr="006A3B1D" w:rsidRDefault="00285EF0" w:rsidP="00285EF0">
            <w:pPr>
              <w:jc w:val="center"/>
              <w:rPr>
                <w:rFonts w:cs="Arial"/>
                <w:sz w:val="20"/>
                <w:szCs w:val="20"/>
              </w:rPr>
            </w:pPr>
            <w:r w:rsidRPr="006A3B1D">
              <w:rPr>
                <w:rFonts w:cs="Arial"/>
                <w:sz w:val="20"/>
                <w:szCs w:val="20"/>
              </w:rPr>
              <w:t>46.2</w:t>
            </w:r>
          </w:p>
        </w:tc>
      </w:tr>
      <w:tr w:rsidR="00285EF0" w:rsidRPr="006A3B1D" w14:paraId="2DB9DE0D" w14:textId="77777777" w:rsidTr="00285EF0">
        <w:tc>
          <w:tcPr>
            <w:tcW w:w="231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2F95AF62" w14:textId="77777777" w:rsidR="00285EF0" w:rsidRPr="006A3B1D" w:rsidRDefault="00285EF0" w:rsidP="00285EF0">
            <w:pPr>
              <w:jc w:val="center"/>
              <w:rPr>
                <w:rFonts w:cs="Arial"/>
                <w:b/>
                <w:sz w:val="20"/>
                <w:szCs w:val="20"/>
              </w:rPr>
            </w:pPr>
            <w:r w:rsidRPr="006A3B1D">
              <w:rPr>
                <w:rFonts w:cs="Arial"/>
                <w:b/>
                <w:sz w:val="20"/>
                <w:szCs w:val="20"/>
              </w:rPr>
              <w:t>pH</w:t>
            </w:r>
          </w:p>
        </w:tc>
        <w:tc>
          <w:tcPr>
            <w:tcW w:w="2310" w:type="dxa"/>
            <w:tcBorders>
              <w:top w:val="single" w:sz="4" w:space="0" w:color="000000"/>
              <w:left w:val="single" w:sz="4" w:space="0" w:color="000000"/>
              <w:bottom w:val="single" w:sz="4" w:space="0" w:color="000000"/>
              <w:right w:val="single" w:sz="4" w:space="0" w:color="000000"/>
            </w:tcBorders>
            <w:shd w:val="clear" w:color="auto" w:fill="auto"/>
            <w:hideMark/>
          </w:tcPr>
          <w:p w14:paraId="1C7620F0" w14:textId="77777777" w:rsidR="00285EF0" w:rsidRPr="006A3B1D" w:rsidRDefault="00285EF0" w:rsidP="00285EF0">
            <w:pPr>
              <w:jc w:val="center"/>
              <w:rPr>
                <w:rFonts w:cs="Arial"/>
                <w:sz w:val="20"/>
                <w:szCs w:val="20"/>
              </w:rPr>
            </w:pPr>
            <w:r w:rsidRPr="006A3B1D">
              <w:rPr>
                <w:rFonts w:cs="Arial"/>
                <w:sz w:val="20"/>
                <w:szCs w:val="20"/>
              </w:rPr>
              <w:t>3.8</w:t>
            </w:r>
          </w:p>
        </w:tc>
        <w:tc>
          <w:tcPr>
            <w:tcW w:w="2311" w:type="dxa"/>
            <w:tcBorders>
              <w:top w:val="single" w:sz="4" w:space="0" w:color="000000"/>
              <w:left w:val="single" w:sz="4" w:space="0" w:color="000000"/>
              <w:bottom w:val="single" w:sz="4" w:space="0" w:color="000000"/>
              <w:right w:val="single" w:sz="4" w:space="0" w:color="000000"/>
            </w:tcBorders>
            <w:shd w:val="clear" w:color="auto" w:fill="auto"/>
            <w:hideMark/>
          </w:tcPr>
          <w:p w14:paraId="7ADA64F6" w14:textId="77777777" w:rsidR="00285EF0" w:rsidRPr="006A3B1D" w:rsidRDefault="00285EF0" w:rsidP="00285EF0">
            <w:pPr>
              <w:jc w:val="center"/>
              <w:rPr>
                <w:rFonts w:cs="Arial"/>
                <w:sz w:val="20"/>
                <w:szCs w:val="20"/>
              </w:rPr>
            </w:pPr>
            <w:r w:rsidRPr="006A3B1D">
              <w:rPr>
                <w:rFonts w:cs="Arial"/>
                <w:sz w:val="20"/>
                <w:szCs w:val="20"/>
              </w:rPr>
              <w:t>7–7.5</w:t>
            </w:r>
          </w:p>
        </w:tc>
        <w:tc>
          <w:tcPr>
            <w:tcW w:w="2311" w:type="dxa"/>
            <w:tcBorders>
              <w:top w:val="single" w:sz="4" w:space="0" w:color="000000"/>
              <w:left w:val="single" w:sz="4" w:space="0" w:color="000000"/>
              <w:bottom w:val="single" w:sz="4" w:space="0" w:color="000000"/>
              <w:right w:val="single" w:sz="4" w:space="0" w:color="000000"/>
            </w:tcBorders>
            <w:shd w:val="clear" w:color="auto" w:fill="auto"/>
            <w:hideMark/>
          </w:tcPr>
          <w:p w14:paraId="2760200A" w14:textId="77777777" w:rsidR="00285EF0" w:rsidRPr="006A3B1D" w:rsidRDefault="00285EF0" w:rsidP="00285EF0">
            <w:pPr>
              <w:jc w:val="center"/>
              <w:rPr>
                <w:rFonts w:cs="Arial"/>
                <w:sz w:val="20"/>
                <w:szCs w:val="20"/>
              </w:rPr>
            </w:pPr>
            <w:r w:rsidRPr="006A3B1D">
              <w:rPr>
                <w:rFonts w:cs="Arial"/>
                <w:sz w:val="20"/>
                <w:szCs w:val="20"/>
              </w:rPr>
              <w:t>9.5</w:t>
            </w:r>
          </w:p>
        </w:tc>
      </w:tr>
      <w:tr w:rsidR="00285EF0" w:rsidRPr="006A3B1D" w14:paraId="0CC71E45" w14:textId="77777777" w:rsidTr="00285EF0">
        <w:tc>
          <w:tcPr>
            <w:tcW w:w="231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14:paraId="4E8857F6" w14:textId="77777777" w:rsidR="00285EF0" w:rsidRPr="006A3B1D" w:rsidRDefault="00285EF0" w:rsidP="00285EF0">
            <w:pPr>
              <w:jc w:val="center"/>
              <w:rPr>
                <w:rFonts w:cs="Arial"/>
                <w:b/>
                <w:sz w:val="20"/>
                <w:szCs w:val="20"/>
              </w:rPr>
            </w:pPr>
            <w:r w:rsidRPr="006A3B1D">
              <w:rPr>
                <w:rFonts w:cs="Arial"/>
                <w:b/>
                <w:sz w:val="20"/>
                <w:szCs w:val="20"/>
              </w:rPr>
              <w:t>Water activity</w:t>
            </w:r>
          </w:p>
        </w:tc>
        <w:tc>
          <w:tcPr>
            <w:tcW w:w="2310" w:type="dxa"/>
            <w:tcBorders>
              <w:top w:val="single" w:sz="4" w:space="0" w:color="000000"/>
              <w:left w:val="single" w:sz="4" w:space="0" w:color="000000"/>
              <w:bottom w:val="single" w:sz="4" w:space="0" w:color="000000"/>
              <w:right w:val="single" w:sz="4" w:space="0" w:color="000000"/>
            </w:tcBorders>
            <w:shd w:val="clear" w:color="auto" w:fill="auto"/>
            <w:hideMark/>
          </w:tcPr>
          <w:p w14:paraId="5FA35DE5" w14:textId="77777777" w:rsidR="00285EF0" w:rsidRPr="006A3B1D" w:rsidRDefault="00285EF0" w:rsidP="00285EF0">
            <w:pPr>
              <w:jc w:val="center"/>
              <w:rPr>
                <w:rFonts w:cs="Arial"/>
                <w:sz w:val="20"/>
                <w:szCs w:val="20"/>
              </w:rPr>
            </w:pPr>
            <w:r w:rsidRPr="006A3B1D">
              <w:rPr>
                <w:rFonts w:cs="Arial"/>
                <w:sz w:val="20"/>
                <w:szCs w:val="20"/>
              </w:rPr>
              <w:t>0.93</w:t>
            </w:r>
          </w:p>
        </w:tc>
        <w:tc>
          <w:tcPr>
            <w:tcW w:w="2311" w:type="dxa"/>
            <w:tcBorders>
              <w:top w:val="single" w:sz="4" w:space="0" w:color="000000"/>
              <w:left w:val="single" w:sz="4" w:space="0" w:color="000000"/>
              <w:bottom w:val="single" w:sz="4" w:space="0" w:color="000000"/>
              <w:right w:val="single" w:sz="4" w:space="0" w:color="000000"/>
            </w:tcBorders>
            <w:shd w:val="clear" w:color="auto" w:fill="auto"/>
            <w:hideMark/>
          </w:tcPr>
          <w:p w14:paraId="1955F8C1" w14:textId="77777777" w:rsidR="00285EF0" w:rsidRPr="006A3B1D" w:rsidRDefault="00285EF0" w:rsidP="00285EF0">
            <w:pPr>
              <w:jc w:val="center"/>
              <w:rPr>
                <w:rFonts w:cs="Arial"/>
                <w:sz w:val="20"/>
                <w:szCs w:val="20"/>
              </w:rPr>
            </w:pPr>
            <w:r w:rsidRPr="006A3B1D">
              <w:rPr>
                <w:rFonts w:cs="Arial"/>
                <w:sz w:val="20"/>
                <w:szCs w:val="20"/>
              </w:rPr>
              <w:t>0.99</w:t>
            </w:r>
          </w:p>
        </w:tc>
        <w:tc>
          <w:tcPr>
            <w:tcW w:w="2311" w:type="dxa"/>
            <w:tcBorders>
              <w:top w:val="single" w:sz="4" w:space="0" w:color="000000"/>
              <w:left w:val="single" w:sz="4" w:space="0" w:color="000000"/>
              <w:bottom w:val="single" w:sz="4" w:space="0" w:color="000000"/>
              <w:right w:val="single" w:sz="4" w:space="0" w:color="000000"/>
            </w:tcBorders>
            <w:shd w:val="clear" w:color="auto" w:fill="auto"/>
            <w:hideMark/>
          </w:tcPr>
          <w:p w14:paraId="1234C06F" w14:textId="77777777" w:rsidR="00285EF0" w:rsidRPr="006A3B1D" w:rsidRDefault="00285EF0" w:rsidP="00285EF0">
            <w:pPr>
              <w:jc w:val="center"/>
              <w:rPr>
                <w:rFonts w:cs="Arial"/>
                <w:sz w:val="20"/>
                <w:szCs w:val="20"/>
              </w:rPr>
            </w:pPr>
            <w:r w:rsidRPr="006A3B1D">
              <w:rPr>
                <w:rFonts w:cs="Arial"/>
                <w:sz w:val="20"/>
                <w:szCs w:val="20"/>
              </w:rPr>
              <w:t>&gt;0.99</w:t>
            </w:r>
          </w:p>
        </w:tc>
      </w:tr>
    </w:tbl>
    <w:p w14:paraId="4DE0FC88" w14:textId="77777777" w:rsidR="00285EF0" w:rsidRPr="00E9555E" w:rsidRDefault="00285EF0" w:rsidP="00787E56">
      <w:pPr>
        <w:pStyle w:val="Heading3"/>
      </w:pPr>
      <w:bookmarkStart w:id="1221" w:name="_Toc66881469"/>
      <w:bookmarkStart w:id="1222" w:name="_Toc66883095"/>
      <w:bookmarkStart w:id="1223" w:name="_Toc87614495"/>
      <w:bookmarkStart w:id="1224" w:name="_Toc87860134"/>
      <w:r w:rsidRPr="00807167">
        <w:t>Symptoms of disease</w:t>
      </w:r>
      <w:bookmarkEnd w:id="1221"/>
      <w:bookmarkEnd w:id="1222"/>
      <w:bookmarkEnd w:id="1223"/>
      <w:bookmarkEnd w:id="1224"/>
    </w:p>
    <w:p w14:paraId="4B44C17A" w14:textId="5A5A8613" w:rsidR="00285EF0" w:rsidRPr="00E9555E" w:rsidRDefault="00285EF0" w:rsidP="00285EF0">
      <w:pPr>
        <w:keepNext/>
        <w:keepLines/>
        <w:rPr>
          <w:rFonts w:cs="Arial"/>
          <w:szCs w:val="22"/>
        </w:rPr>
      </w:pPr>
      <w:r w:rsidRPr="00E9555E">
        <w:rPr>
          <w:rFonts w:cs="Arial"/>
          <w:szCs w:val="22"/>
        </w:rPr>
        <w:t xml:space="preserve">Outcomes of exposure to non-typhoidal </w:t>
      </w:r>
      <w:r w:rsidRPr="00E9555E">
        <w:rPr>
          <w:rFonts w:cs="Arial"/>
          <w:i/>
          <w:szCs w:val="22"/>
        </w:rPr>
        <w:t>Salmonella</w:t>
      </w:r>
      <w:r w:rsidRPr="00E9555E">
        <w:rPr>
          <w:rFonts w:cs="Arial"/>
          <w:szCs w:val="22"/>
        </w:rPr>
        <w:t xml:space="preserve"> spp. can range from having no effect, to colonisation of the gastrointestinal tract without symptoms of illness (asymptomatic infection), or colonisation with the typical symptoms of acute gastroenteritis. Gastroenteritis symptoms are generally mild and may include abdominal cramps, nausea, diarrhoea, mild fever, vomiting, dehydration, headache and/or prostration. The incubation period is </w:t>
      </w:r>
      <w:r>
        <w:rPr>
          <w:rFonts w:cs="Arial"/>
          <w:szCs w:val="22"/>
        </w:rPr>
        <w:br/>
      </w:r>
      <w:r w:rsidRPr="00E9555E">
        <w:rPr>
          <w:rFonts w:cs="Arial"/>
          <w:szCs w:val="22"/>
        </w:rPr>
        <w:t xml:space="preserve">8–72 hours (usually 24–48 hours) and symptoms last for 2–7 days </w:t>
      </w:r>
      <w:r w:rsidR="007C4D68">
        <w:rPr>
          <w:rFonts w:cs="Arial"/>
          <w:noProof/>
          <w:szCs w:val="22"/>
        </w:rPr>
        <w:t>(WHO/FAO 2002; Darby </w:t>
      </w:r>
      <w:r w:rsidRPr="00E9555E">
        <w:rPr>
          <w:rFonts w:cs="Arial"/>
          <w:noProof/>
          <w:szCs w:val="22"/>
        </w:rPr>
        <w:t>and Sheorey 2008)</w:t>
      </w:r>
      <w:r w:rsidRPr="00E9555E">
        <w:rPr>
          <w:rFonts w:cs="Arial"/>
          <w:szCs w:val="22"/>
        </w:rPr>
        <w:t xml:space="preserve">. </w:t>
      </w:r>
      <w:r>
        <w:rPr>
          <w:rFonts w:cs="Arial"/>
          <w:szCs w:val="22"/>
        </w:rPr>
        <w:t>Severe disease</w:t>
      </w:r>
      <w:r w:rsidRPr="00E9555E">
        <w:rPr>
          <w:rFonts w:cs="Arial"/>
          <w:szCs w:val="22"/>
        </w:rPr>
        <w:t xml:space="preserve"> such as septicaemia sometimes </w:t>
      </w:r>
      <w:r>
        <w:rPr>
          <w:rFonts w:cs="Arial"/>
          <w:szCs w:val="22"/>
        </w:rPr>
        <w:t>develops</w:t>
      </w:r>
      <w:r w:rsidRPr="00E9555E">
        <w:rPr>
          <w:rFonts w:cs="Arial"/>
          <w:szCs w:val="22"/>
        </w:rPr>
        <w:t xml:space="preserve">, predominantly in immunocompromised individuals. This occurs when </w:t>
      </w:r>
      <w:r w:rsidRPr="00E9555E">
        <w:rPr>
          <w:rFonts w:cs="Arial"/>
          <w:i/>
          <w:szCs w:val="22"/>
        </w:rPr>
        <w:t>Salmonella</w:t>
      </w:r>
      <w:r w:rsidRPr="00E9555E">
        <w:rPr>
          <w:rFonts w:cs="Arial"/>
          <w:szCs w:val="22"/>
        </w:rPr>
        <w:t xml:space="preserve"> spp. enter the bloodstream, leading to symptoms such as high fever, lethargy, abdom</w:t>
      </w:r>
      <w:r>
        <w:rPr>
          <w:rFonts w:cs="Arial"/>
          <w:szCs w:val="22"/>
        </w:rPr>
        <w:t>inal</w:t>
      </w:r>
      <w:r w:rsidRPr="00E9555E">
        <w:rPr>
          <w:rFonts w:cs="Arial"/>
          <w:szCs w:val="22"/>
        </w:rPr>
        <w:t xml:space="preserve"> and chest pain, chills</w:t>
      </w:r>
      <w:r>
        <w:rPr>
          <w:rFonts w:cs="Arial"/>
          <w:szCs w:val="22"/>
        </w:rPr>
        <w:t xml:space="preserve"> and anorexia; and can be fatal</w:t>
      </w:r>
      <w:r w:rsidRPr="00E9555E">
        <w:rPr>
          <w:rFonts w:cs="Arial"/>
          <w:szCs w:val="22"/>
        </w:rPr>
        <w:t xml:space="preserve">. A small number of individuals develop a </w:t>
      </w:r>
      <w:r>
        <w:rPr>
          <w:rFonts w:cs="Arial"/>
          <w:szCs w:val="22"/>
        </w:rPr>
        <w:t>chronic</w:t>
      </w:r>
      <w:r w:rsidRPr="00E9555E">
        <w:rPr>
          <w:rFonts w:cs="Arial"/>
          <w:szCs w:val="22"/>
        </w:rPr>
        <w:t xml:space="preserve"> condition</w:t>
      </w:r>
      <w:r>
        <w:rPr>
          <w:rFonts w:cs="Arial"/>
          <w:szCs w:val="22"/>
        </w:rPr>
        <w:t xml:space="preserve"> or sequelae</w:t>
      </w:r>
      <w:r w:rsidRPr="00E9555E">
        <w:rPr>
          <w:rFonts w:cs="Arial"/>
          <w:szCs w:val="22"/>
        </w:rPr>
        <w:t xml:space="preserve"> such as arthritis, </w:t>
      </w:r>
      <w:r>
        <w:rPr>
          <w:rFonts w:cs="Arial"/>
          <w:szCs w:val="22"/>
        </w:rPr>
        <w:t xml:space="preserve">appendicitis, </w:t>
      </w:r>
      <w:r w:rsidRPr="00E9555E">
        <w:rPr>
          <w:rFonts w:cs="Arial"/>
          <w:szCs w:val="22"/>
        </w:rPr>
        <w:t>meningitis or pneumonia as a consequence of infection</w:t>
      </w:r>
      <w:r>
        <w:rPr>
          <w:rFonts w:cs="Arial"/>
          <w:szCs w:val="22"/>
        </w:rPr>
        <w:t xml:space="preserve"> </w:t>
      </w:r>
      <w:r>
        <w:rPr>
          <w:rFonts w:cs="Arial"/>
          <w:noProof/>
          <w:szCs w:val="22"/>
        </w:rPr>
        <w:t>(Hohmann 2001; WHO/FAO 2002; FDA 2012)</w:t>
      </w:r>
      <w:r>
        <w:rPr>
          <w:rFonts w:cs="Arial"/>
          <w:szCs w:val="22"/>
        </w:rPr>
        <w:t>.</w:t>
      </w:r>
    </w:p>
    <w:p w14:paraId="27BF3785" w14:textId="77777777" w:rsidR="00285EF0" w:rsidRPr="00E9555E" w:rsidRDefault="00285EF0" w:rsidP="00285EF0">
      <w:pPr>
        <w:rPr>
          <w:rFonts w:cs="Arial"/>
          <w:szCs w:val="22"/>
        </w:rPr>
      </w:pPr>
    </w:p>
    <w:p w14:paraId="6DC1A6C1" w14:textId="77777777" w:rsidR="00285EF0" w:rsidRPr="00E9555E" w:rsidRDefault="00285EF0" w:rsidP="00285EF0">
      <w:pPr>
        <w:rPr>
          <w:rFonts w:cs="Arial"/>
          <w:szCs w:val="22"/>
        </w:rPr>
      </w:pPr>
      <w:r w:rsidRPr="00E9555E">
        <w:rPr>
          <w:rFonts w:cs="Arial"/>
          <w:i/>
          <w:szCs w:val="22"/>
        </w:rPr>
        <w:t>Salmonella</w:t>
      </w:r>
      <w:r w:rsidRPr="00E9555E">
        <w:rPr>
          <w:rFonts w:cs="Arial"/>
          <w:szCs w:val="22"/>
        </w:rPr>
        <w:t xml:space="preserve"> spp. are shed in large numbers in the faeces of infected individuals at the onset of illness. In the case of non-typhoid disease, bacterial shedding continues for about </w:t>
      </w:r>
      <w:r>
        <w:rPr>
          <w:rFonts w:cs="Arial"/>
          <w:szCs w:val="22"/>
        </w:rPr>
        <w:br/>
      </w:r>
      <w:r w:rsidRPr="00E9555E">
        <w:rPr>
          <w:rFonts w:cs="Arial"/>
          <w:szCs w:val="22"/>
        </w:rPr>
        <w:t>4 weeks after illness in adults and 7 weeks in children.</w:t>
      </w:r>
      <w:r>
        <w:rPr>
          <w:rFonts w:cs="Arial"/>
          <w:szCs w:val="22"/>
        </w:rPr>
        <w:t xml:space="preserve"> It is estimated that</w:t>
      </w:r>
      <w:r w:rsidRPr="00E9555E">
        <w:rPr>
          <w:rFonts w:cs="Arial"/>
          <w:szCs w:val="22"/>
        </w:rPr>
        <w:t xml:space="preserve"> 0.5% of</w:t>
      </w:r>
      <w:r>
        <w:rPr>
          <w:rFonts w:cs="Arial"/>
          <w:szCs w:val="22"/>
        </w:rPr>
        <w:t xml:space="preserve"> individuals with</w:t>
      </w:r>
      <w:r w:rsidRPr="00E9555E">
        <w:rPr>
          <w:rFonts w:cs="Arial"/>
          <w:szCs w:val="22"/>
        </w:rPr>
        <w:t xml:space="preserve"> non-typhoid </w:t>
      </w:r>
      <w:r>
        <w:rPr>
          <w:rFonts w:cs="Arial"/>
          <w:szCs w:val="22"/>
        </w:rPr>
        <w:t>salmonellosis</w:t>
      </w:r>
      <w:r w:rsidRPr="00E9555E">
        <w:rPr>
          <w:rFonts w:cs="Arial"/>
          <w:szCs w:val="22"/>
        </w:rPr>
        <w:t xml:space="preserve"> become long-term carriers and continue shedding the bacteria on an ongoing basis </w:t>
      </w:r>
      <w:r w:rsidRPr="00E9555E">
        <w:rPr>
          <w:rFonts w:cs="Arial"/>
          <w:noProof/>
          <w:szCs w:val="22"/>
        </w:rPr>
        <w:t>(Jay et al. 2003; Crum-Cianflone 2008)</w:t>
      </w:r>
      <w:r w:rsidRPr="00E9555E">
        <w:rPr>
          <w:rFonts w:cs="Arial"/>
          <w:szCs w:val="22"/>
        </w:rPr>
        <w:t>.</w:t>
      </w:r>
    </w:p>
    <w:p w14:paraId="39273838" w14:textId="77777777" w:rsidR="00285EF0" w:rsidRPr="00E9555E" w:rsidRDefault="00285EF0" w:rsidP="00787E56">
      <w:pPr>
        <w:pStyle w:val="Heading3"/>
      </w:pPr>
      <w:bookmarkStart w:id="1225" w:name="_Toc123010683"/>
      <w:bookmarkStart w:id="1226" w:name="_Toc66881470"/>
      <w:bookmarkStart w:id="1227" w:name="_Toc66883096"/>
      <w:bookmarkStart w:id="1228" w:name="_Toc87614496"/>
      <w:bookmarkStart w:id="1229" w:name="_Toc87860135"/>
      <w:r w:rsidRPr="00807167">
        <w:t>Virulence and infectivity</w:t>
      </w:r>
      <w:bookmarkEnd w:id="1225"/>
      <w:bookmarkEnd w:id="1226"/>
      <w:bookmarkEnd w:id="1227"/>
      <w:bookmarkEnd w:id="1228"/>
      <w:bookmarkEnd w:id="1229"/>
    </w:p>
    <w:p w14:paraId="30A48ACC" w14:textId="420D855A" w:rsidR="00285EF0" w:rsidRPr="00E9555E" w:rsidRDefault="00285EF0" w:rsidP="00285EF0">
      <w:pPr>
        <w:rPr>
          <w:rFonts w:cs="Arial"/>
          <w:szCs w:val="22"/>
        </w:rPr>
      </w:pPr>
      <w:r w:rsidRPr="00E9555E">
        <w:rPr>
          <w:rFonts w:cs="Arial"/>
          <w:szCs w:val="22"/>
        </w:rPr>
        <w:t xml:space="preserve">Once ingested, </w:t>
      </w:r>
      <w:r w:rsidRPr="00E9555E">
        <w:rPr>
          <w:rFonts w:cs="Arial"/>
          <w:i/>
          <w:szCs w:val="22"/>
        </w:rPr>
        <w:t>Salmonella</w:t>
      </w:r>
      <w:r w:rsidRPr="00E9555E">
        <w:rPr>
          <w:rFonts w:cs="Arial"/>
          <w:szCs w:val="22"/>
        </w:rPr>
        <w:t xml:space="preserve"> spp. must survive the low pH of the stomach, adhere to the small intestine epithelial cells and overcome host defence mechanisms to enable infection </w:t>
      </w:r>
      <w:r w:rsidR="007C4D68">
        <w:rPr>
          <w:rFonts w:cs="Arial"/>
          <w:noProof/>
          <w:szCs w:val="22"/>
        </w:rPr>
        <w:t>(Jay et </w:t>
      </w:r>
      <w:r w:rsidRPr="00E9555E">
        <w:rPr>
          <w:rFonts w:cs="Arial"/>
          <w:noProof/>
          <w:szCs w:val="22"/>
        </w:rPr>
        <w:t>al. 2003)</w:t>
      </w:r>
      <w:r w:rsidRPr="00E9555E">
        <w:rPr>
          <w:rFonts w:cs="Arial"/>
          <w:szCs w:val="22"/>
        </w:rPr>
        <w:t xml:space="preserve">. </w:t>
      </w:r>
    </w:p>
    <w:p w14:paraId="336D6E68" w14:textId="77777777" w:rsidR="00285EF0" w:rsidRPr="00E9555E" w:rsidRDefault="00285EF0" w:rsidP="00285EF0">
      <w:pPr>
        <w:rPr>
          <w:rFonts w:cs="Arial"/>
          <w:szCs w:val="22"/>
        </w:rPr>
      </w:pPr>
    </w:p>
    <w:p w14:paraId="08314B66" w14:textId="77777777" w:rsidR="00285EF0" w:rsidRPr="00E9555E" w:rsidRDefault="00285EF0" w:rsidP="00285EF0">
      <w:pPr>
        <w:rPr>
          <w:rFonts w:cs="Arial"/>
          <w:szCs w:val="22"/>
        </w:rPr>
      </w:pPr>
      <w:r w:rsidRPr="00E9555E">
        <w:rPr>
          <w:rFonts w:cs="Arial"/>
          <w:i/>
          <w:szCs w:val="22"/>
        </w:rPr>
        <w:t>Salmonella</w:t>
      </w:r>
      <w:r w:rsidRPr="00E9555E">
        <w:rPr>
          <w:rFonts w:cs="Arial"/>
          <w:szCs w:val="22"/>
        </w:rPr>
        <w:t xml:space="preserve"> </w:t>
      </w:r>
      <w:r>
        <w:rPr>
          <w:rFonts w:cs="Arial"/>
          <w:szCs w:val="22"/>
        </w:rPr>
        <w:t>spp. possess</w:t>
      </w:r>
      <w:r w:rsidRPr="00E9555E">
        <w:rPr>
          <w:rFonts w:cs="Arial"/>
          <w:szCs w:val="22"/>
        </w:rPr>
        <w:t xml:space="preserve"> a number of structural and physiological virulence factors</w:t>
      </w:r>
      <w:r>
        <w:rPr>
          <w:rFonts w:cs="Arial"/>
          <w:szCs w:val="22"/>
        </w:rPr>
        <w:t>,</w:t>
      </w:r>
      <w:r w:rsidRPr="00E9555E">
        <w:rPr>
          <w:rFonts w:cs="Arial"/>
          <w:szCs w:val="22"/>
        </w:rPr>
        <w:t xml:space="preserve"> enabling </w:t>
      </w:r>
      <w:r>
        <w:rPr>
          <w:rFonts w:cs="Arial"/>
          <w:szCs w:val="22"/>
        </w:rPr>
        <w:t>them</w:t>
      </w:r>
      <w:r w:rsidRPr="00E9555E">
        <w:rPr>
          <w:rFonts w:cs="Arial"/>
          <w:szCs w:val="22"/>
        </w:rPr>
        <w:t xml:space="preserve"> to cause acute and chronic disease in humans. The virulence of </w:t>
      </w:r>
      <w:r w:rsidRPr="00E9555E">
        <w:rPr>
          <w:rFonts w:cs="Arial"/>
          <w:i/>
          <w:szCs w:val="22"/>
        </w:rPr>
        <w:t>Salmonella</w:t>
      </w:r>
      <w:r w:rsidRPr="00E9555E">
        <w:rPr>
          <w:rFonts w:cs="Arial"/>
          <w:szCs w:val="22"/>
        </w:rPr>
        <w:t xml:space="preserve"> </w:t>
      </w:r>
      <w:r>
        <w:rPr>
          <w:rFonts w:cs="Arial"/>
          <w:szCs w:val="22"/>
        </w:rPr>
        <w:t xml:space="preserve">spp. </w:t>
      </w:r>
      <w:r w:rsidRPr="00E9555E">
        <w:rPr>
          <w:rFonts w:cs="Arial"/>
          <w:szCs w:val="22"/>
        </w:rPr>
        <w:t>varies with the length and structure of the O side cha</w:t>
      </w:r>
      <w:r>
        <w:rPr>
          <w:rFonts w:cs="Arial"/>
          <w:szCs w:val="22"/>
        </w:rPr>
        <w:t xml:space="preserve">ins of lipopolysaccharide </w:t>
      </w:r>
      <w:r w:rsidRPr="00E9555E">
        <w:rPr>
          <w:rFonts w:cs="Arial"/>
          <w:szCs w:val="22"/>
        </w:rPr>
        <w:t xml:space="preserve">molecules at the surface of the </w:t>
      </w:r>
      <w:r>
        <w:rPr>
          <w:rFonts w:cs="Arial"/>
          <w:szCs w:val="22"/>
        </w:rPr>
        <w:t xml:space="preserve">bacterial </w:t>
      </w:r>
      <w:r w:rsidRPr="00E9555E">
        <w:rPr>
          <w:rFonts w:cs="Arial"/>
          <w:szCs w:val="22"/>
        </w:rPr>
        <w:t xml:space="preserve">cell. Resistance of </w:t>
      </w:r>
      <w:r w:rsidRPr="00E9555E">
        <w:rPr>
          <w:rFonts w:cs="Arial"/>
          <w:i/>
          <w:szCs w:val="22"/>
        </w:rPr>
        <w:t>Salmonella</w:t>
      </w:r>
      <w:r w:rsidRPr="00E9555E">
        <w:rPr>
          <w:rFonts w:cs="Arial"/>
          <w:szCs w:val="22"/>
        </w:rPr>
        <w:t xml:space="preserve"> </w:t>
      </w:r>
      <w:r>
        <w:rPr>
          <w:rFonts w:cs="Arial"/>
          <w:szCs w:val="22"/>
        </w:rPr>
        <w:t xml:space="preserve">spp. </w:t>
      </w:r>
      <w:r w:rsidRPr="00E9555E">
        <w:rPr>
          <w:rFonts w:cs="Arial"/>
          <w:szCs w:val="22"/>
        </w:rPr>
        <w:t xml:space="preserve">to the lytic action of complement (part of the immune response) is directly related to the length of the O side chain </w:t>
      </w:r>
      <w:r w:rsidRPr="00E9555E">
        <w:rPr>
          <w:rFonts w:cs="Arial"/>
          <w:noProof/>
          <w:szCs w:val="22"/>
        </w:rPr>
        <w:t>(Jay et al. 2003)</w:t>
      </w:r>
      <w:r w:rsidRPr="00E9555E">
        <w:rPr>
          <w:rFonts w:cs="Arial"/>
          <w:szCs w:val="22"/>
        </w:rPr>
        <w:t xml:space="preserve">. Other important virulence factors include the presence and type of fimbriae, which is related to the ability of </w:t>
      </w:r>
      <w:r w:rsidRPr="00E9555E">
        <w:rPr>
          <w:rFonts w:cs="Arial"/>
          <w:i/>
          <w:szCs w:val="22"/>
        </w:rPr>
        <w:t>Salmonella</w:t>
      </w:r>
      <w:r w:rsidRPr="00E9555E">
        <w:rPr>
          <w:rFonts w:cs="Arial"/>
          <w:szCs w:val="22"/>
        </w:rPr>
        <w:t xml:space="preserve"> </w:t>
      </w:r>
      <w:r>
        <w:rPr>
          <w:rFonts w:cs="Arial"/>
          <w:szCs w:val="22"/>
        </w:rPr>
        <w:t xml:space="preserve">spp. </w:t>
      </w:r>
      <w:r w:rsidRPr="00E9555E">
        <w:rPr>
          <w:rFonts w:cs="Arial"/>
          <w:szCs w:val="22"/>
        </w:rPr>
        <w:t xml:space="preserve">to attach to </w:t>
      </w:r>
      <w:r>
        <w:rPr>
          <w:rFonts w:cs="Arial"/>
          <w:szCs w:val="22"/>
        </w:rPr>
        <w:t xml:space="preserve">host </w:t>
      </w:r>
      <w:r w:rsidRPr="00E9555E">
        <w:rPr>
          <w:rFonts w:cs="Arial"/>
          <w:szCs w:val="22"/>
        </w:rPr>
        <w:t xml:space="preserve">epithelium cells, as well as the expression of genes responsible for invasion into cells </w:t>
      </w:r>
      <w:r w:rsidRPr="00E9555E">
        <w:rPr>
          <w:rFonts w:cs="Arial"/>
          <w:noProof/>
          <w:szCs w:val="22"/>
        </w:rPr>
        <w:t>(Jones 2005)</w:t>
      </w:r>
      <w:r w:rsidRPr="00E9555E">
        <w:rPr>
          <w:rFonts w:cs="Arial"/>
          <w:szCs w:val="22"/>
        </w:rPr>
        <w:t xml:space="preserve">. Some of these virulence genes are encoded on </w:t>
      </w:r>
      <w:r w:rsidRPr="00E9555E">
        <w:rPr>
          <w:rFonts w:cs="Arial"/>
          <w:i/>
          <w:szCs w:val="22"/>
        </w:rPr>
        <w:t>Salmonella</w:t>
      </w:r>
      <w:r w:rsidRPr="00E9555E">
        <w:rPr>
          <w:rFonts w:cs="Arial"/>
          <w:szCs w:val="22"/>
        </w:rPr>
        <w:t xml:space="preserve"> pathogenicity islands (SPI). </w:t>
      </w:r>
      <w:r w:rsidRPr="00E9555E">
        <w:rPr>
          <w:rFonts w:cs="Arial"/>
          <w:szCs w:val="22"/>
          <w:lang w:val="en-US"/>
        </w:rPr>
        <w:t xml:space="preserve">SPI-1 is required for </w:t>
      </w:r>
      <w:r>
        <w:rPr>
          <w:rFonts w:cs="Arial"/>
          <w:szCs w:val="22"/>
          <w:lang w:val="en-US"/>
        </w:rPr>
        <w:t>bacterial</w:t>
      </w:r>
      <w:r w:rsidRPr="00E9555E">
        <w:rPr>
          <w:rFonts w:cs="Arial"/>
          <w:szCs w:val="22"/>
          <w:lang w:val="en-US"/>
        </w:rPr>
        <w:t xml:space="preserve"> invasion into intestinal epithelial cells, while systemic infections and intracellular accumulation of </w:t>
      </w:r>
      <w:r w:rsidRPr="00E9555E">
        <w:rPr>
          <w:rFonts w:cs="Arial"/>
          <w:i/>
          <w:iCs/>
          <w:szCs w:val="22"/>
          <w:lang w:val="en-US"/>
        </w:rPr>
        <w:t xml:space="preserve">Salmonella </w:t>
      </w:r>
      <w:r>
        <w:rPr>
          <w:rFonts w:cs="Arial"/>
          <w:iCs/>
          <w:szCs w:val="22"/>
          <w:lang w:val="en-US"/>
        </w:rPr>
        <w:t xml:space="preserve">spp. </w:t>
      </w:r>
      <w:r w:rsidRPr="00E9555E">
        <w:rPr>
          <w:rFonts w:cs="Arial"/>
          <w:szCs w:val="22"/>
          <w:lang w:val="en-US"/>
        </w:rPr>
        <w:t xml:space="preserve">are dependent on the function of SPI-2 </w:t>
      </w:r>
      <w:r w:rsidRPr="00E9555E">
        <w:rPr>
          <w:rFonts w:cs="Arial"/>
          <w:noProof/>
          <w:szCs w:val="22"/>
          <w:lang w:val="en-US"/>
        </w:rPr>
        <w:t>(Valle and Guiney 2005)</w:t>
      </w:r>
      <w:r w:rsidRPr="00E9555E">
        <w:rPr>
          <w:rFonts w:cs="Arial"/>
          <w:szCs w:val="22"/>
          <w:lang w:val="en-US"/>
        </w:rPr>
        <w:t>.</w:t>
      </w:r>
    </w:p>
    <w:p w14:paraId="662643B2" w14:textId="77777777" w:rsidR="00285EF0" w:rsidRPr="00E9555E" w:rsidRDefault="00285EF0" w:rsidP="00285EF0">
      <w:pPr>
        <w:rPr>
          <w:rFonts w:cs="Arial"/>
          <w:szCs w:val="22"/>
        </w:rPr>
      </w:pPr>
    </w:p>
    <w:p w14:paraId="64FFF3FB" w14:textId="77777777" w:rsidR="00285EF0" w:rsidRPr="00E9555E" w:rsidRDefault="00285EF0" w:rsidP="00285EF0">
      <w:pPr>
        <w:rPr>
          <w:rFonts w:cs="Arial"/>
          <w:szCs w:val="22"/>
        </w:rPr>
      </w:pPr>
      <w:r w:rsidRPr="00E9555E">
        <w:rPr>
          <w:rFonts w:cs="Arial"/>
          <w:i/>
          <w:szCs w:val="22"/>
        </w:rPr>
        <w:t>Salmonella</w:t>
      </w:r>
      <w:r w:rsidRPr="00E9555E">
        <w:rPr>
          <w:rFonts w:cs="Arial"/>
          <w:szCs w:val="22"/>
        </w:rPr>
        <w:t xml:space="preserve"> spp. produce a heat labile enterotoxin, resulting in the loss of intestinal fluids (causing diarrhoea). This enterotoxin is closely related functionally, immunologically and genetically to the toxin of </w:t>
      </w:r>
      <w:r w:rsidRPr="00E9555E">
        <w:rPr>
          <w:rFonts w:cs="Arial"/>
          <w:i/>
          <w:szCs w:val="22"/>
        </w:rPr>
        <w:t>Vibrio cholerae</w:t>
      </w:r>
      <w:r w:rsidRPr="00E9555E">
        <w:rPr>
          <w:rFonts w:cs="Arial"/>
          <w:szCs w:val="22"/>
        </w:rPr>
        <w:t xml:space="preserve"> and the heat labile toxin</w:t>
      </w:r>
      <w:r>
        <w:rPr>
          <w:rFonts w:cs="Arial"/>
          <w:szCs w:val="22"/>
        </w:rPr>
        <w:t xml:space="preserve"> </w:t>
      </w:r>
      <w:r w:rsidRPr="00E9555E">
        <w:rPr>
          <w:rFonts w:cs="Arial"/>
          <w:szCs w:val="22"/>
        </w:rPr>
        <w:t xml:space="preserve">of pathogenic </w:t>
      </w:r>
      <w:r>
        <w:rPr>
          <w:rFonts w:cs="Arial"/>
          <w:szCs w:val="22"/>
        </w:rPr>
        <w:br/>
      </w:r>
      <w:r>
        <w:rPr>
          <w:rFonts w:cs="Arial"/>
          <w:i/>
          <w:szCs w:val="22"/>
        </w:rPr>
        <w:t>Escherichia</w:t>
      </w:r>
      <w:r w:rsidRPr="00E9555E">
        <w:rPr>
          <w:rFonts w:cs="Arial"/>
          <w:i/>
          <w:szCs w:val="22"/>
        </w:rPr>
        <w:t xml:space="preserve"> </w:t>
      </w:r>
      <w:r w:rsidRPr="00694011">
        <w:rPr>
          <w:rFonts w:cs="Arial"/>
          <w:i/>
          <w:szCs w:val="22"/>
        </w:rPr>
        <w:t>coli</w:t>
      </w:r>
      <w:r w:rsidRPr="00E9555E">
        <w:rPr>
          <w:rFonts w:cs="Arial"/>
          <w:szCs w:val="22"/>
        </w:rPr>
        <w:t xml:space="preserve"> </w:t>
      </w:r>
      <w:r w:rsidRPr="00E9555E">
        <w:rPr>
          <w:rFonts w:cs="Arial"/>
          <w:noProof/>
          <w:szCs w:val="22"/>
        </w:rPr>
        <w:t>(Jay et al. 2003)</w:t>
      </w:r>
      <w:r w:rsidRPr="00E9555E">
        <w:rPr>
          <w:rFonts w:cs="Arial"/>
          <w:szCs w:val="22"/>
        </w:rPr>
        <w:t xml:space="preserve">. Most </w:t>
      </w:r>
      <w:r w:rsidRPr="00E9555E">
        <w:rPr>
          <w:rFonts w:cs="Arial"/>
          <w:i/>
          <w:szCs w:val="22"/>
        </w:rPr>
        <w:t>Salmonella</w:t>
      </w:r>
      <w:r w:rsidRPr="00E9555E">
        <w:rPr>
          <w:rFonts w:cs="Arial"/>
          <w:szCs w:val="22"/>
        </w:rPr>
        <w:t xml:space="preserve"> strains also produce heat labile cytotoxin which may cause damage to the intestinal mucosal surface and results in general enteric symptoms and inflammation. Infection with non-typhoidal </w:t>
      </w:r>
      <w:r w:rsidRPr="00E9555E">
        <w:rPr>
          <w:rFonts w:cs="Arial"/>
          <w:i/>
          <w:szCs w:val="22"/>
        </w:rPr>
        <w:t>Salmonella</w:t>
      </w:r>
      <w:r w:rsidRPr="00E9555E">
        <w:rPr>
          <w:rFonts w:cs="Arial"/>
          <w:szCs w:val="22"/>
        </w:rPr>
        <w:t xml:space="preserve"> is generally limited to a localised intestinal event. However, the presence of virulence plasmids has been associated with non-typhoidal </w:t>
      </w:r>
      <w:r w:rsidRPr="00E9555E">
        <w:rPr>
          <w:rFonts w:cs="Arial"/>
          <w:i/>
          <w:szCs w:val="22"/>
        </w:rPr>
        <w:t xml:space="preserve">Salmonella </w:t>
      </w:r>
      <w:r w:rsidRPr="00E9555E">
        <w:rPr>
          <w:rFonts w:cs="Arial"/>
          <w:szCs w:val="22"/>
        </w:rPr>
        <w:t xml:space="preserve">spp. surviving in phagocytes and spreading from the small intestine to the spleen and liver </w:t>
      </w:r>
      <w:r w:rsidRPr="00E9555E">
        <w:rPr>
          <w:rFonts w:cs="Arial"/>
          <w:noProof/>
          <w:szCs w:val="22"/>
        </w:rPr>
        <w:t>(Jay et al. 2003; Hanes 2003)</w:t>
      </w:r>
      <w:r w:rsidRPr="00E9555E">
        <w:rPr>
          <w:rFonts w:cs="Arial"/>
          <w:szCs w:val="22"/>
        </w:rPr>
        <w:t>.</w:t>
      </w:r>
    </w:p>
    <w:p w14:paraId="4A3FC8BD" w14:textId="77777777" w:rsidR="00285EF0" w:rsidRPr="00E9555E" w:rsidRDefault="00285EF0" w:rsidP="00285EF0">
      <w:pPr>
        <w:rPr>
          <w:rFonts w:cs="Arial"/>
          <w:szCs w:val="22"/>
        </w:rPr>
      </w:pPr>
    </w:p>
    <w:p w14:paraId="0C04CB5D" w14:textId="3AA47420" w:rsidR="00285EF0" w:rsidRPr="00E9555E" w:rsidRDefault="00285EF0" w:rsidP="00285EF0">
      <w:pPr>
        <w:rPr>
          <w:rFonts w:cs="Arial"/>
          <w:szCs w:val="22"/>
        </w:rPr>
      </w:pPr>
      <w:r w:rsidRPr="00E9555E">
        <w:rPr>
          <w:rFonts w:cs="Arial"/>
          <w:szCs w:val="22"/>
        </w:rPr>
        <w:t xml:space="preserve">Multiple antibiotic resistant strains of </w:t>
      </w:r>
      <w:r w:rsidRPr="00E9555E">
        <w:rPr>
          <w:rFonts w:cs="Arial"/>
          <w:i/>
          <w:szCs w:val="22"/>
        </w:rPr>
        <w:t>Salmonella</w:t>
      </w:r>
      <w:r w:rsidRPr="00E9555E">
        <w:rPr>
          <w:rFonts w:cs="Arial"/>
          <w:szCs w:val="22"/>
        </w:rPr>
        <w:t xml:space="preserve"> have emerged, an example being </w:t>
      </w:r>
      <w:r>
        <w:rPr>
          <w:rFonts w:cs="Arial"/>
          <w:szCs w:val="22"/>
        </w:rPr>
        <w:br/>
      </w:r>
      <w:r w:rsidRPr="00E9555E">
        <w:rPr>
          <w:rFonts w:cs="Arial"/>
          <w:i/>
          <w:szCs w:val="22"/>
        </w:rPr>
        <w:t>S</w:t>
      </w:r>
      <w:r w:rsidRPr="00E9555E">
        <w:rPr>
          <w:rFonts w:cs="Arial"/>
          <w:szCs w:val="22"/>
        </w:rPr>
        <w:t xml:space="preserve">. Typhimurium definitive phage type 104 (DT104). Multi-resistant </w:t>
      </w:r>
      <w:r w:rsidRPr="00E9555E">
        <w:rPr>
          <w:rFonts w:cs="Arial"/>
          <w:i/>
          <w:iCs/>
          <w:szCs w:val="22"/>
        </w:rPr>
        <w:t>S</w:t>
      </w:r>
      <w:r w:rsidRPr="00E9555E">
        <w:rPr>
          <w:rFonts w:cs="Arial"/>
          <w:szCs w:val="22"/>
        </w:rPr>
        <w:t>. Typhimurium DT104 infects both humans and animals, such as cattle and sheep. To date, this organism is not endemic in Australia, although it is a significant health problem in European countries, North</w:t>
      </w:r>
      <w:r w:rsidR="007C4D68">
        <w:rPr>
          <w:rFonts w:cs="Arial"/>
          <w:szCs w:val="22"/>
        </w:rPr>
        <w:t> </w:t>
      </w:r>
      <w:r w:rsidRPr="00E9555E">
        <w:rPr>
          <w:rFonts w:cs="Arial"/>
          <w:szCs w:val="22"/>
        </w:rPr>
        <w:t xml:space="preserve">America, the Middle East, South Africa and South-East Asia </w:t>
      </w:r>
      <w:r w:rsidRPr="00E9555E">
        <w:rPr>
          <w:rFonts w:cs="Arial"/>
          <w:noProof/>
          <w:szCs w:val="22"/>
        </w:rPr>
        <w:t>(Jay et al. 2003)</w:t>
      </w:r>
      <w:r>
        <w:rPr>
          <w:rFonts w:cs="Arial"/>
          <w:szCs w:val="22"/>
        </w:rPr>
        <w:t>.</w:t>
      </w:r>
    </w:p>
    <w:p w14:paraId="2EFA53F3" w14:textId="77777777" w:rsidR="00285EF0" w:rsidRPr="00E9555E" w:rsidRDefault="00285EF0" w:rsidP="00787E56">
      <w:pPr>
        <w:pStyle w:val="Heading3"/>
      </w:pPr>
      <w:bookmarkStart w:id="1230" w:name="_Toc123010680"/>
      <w:bookmarkStart w:id="1231" w:name="_Toc66881471"/>
      <w:bookmarkStart w:id="1232" w:name="_Toc66883097"/>
      <w:bookmarkStart w:id="1233" w:name="_Toc87614497"/>
      <w:bookmarkStart w:id="1234" w:name="_Toc87860136"/>
      <w:r w:rsidRPr="00807167">
        <w:t>Mode of transmission</w:t>
      </w:r>
      <w:bookmarkEnd w:id="1230"/>
      <w:bookmarkEnd w:id="1231"/>
      <w:bookmarkEnd w:id="1232"/>
      <w:bookmarkEnd w:id="1233"/>
      <w:bookmarkEnd w:id="1234"/>
    </w:p>
    <w:p w14:paraId="54736EB6" w14:textId="77777777" w:rsidR="00285EF0" w:rsidRPr="00E9555E" w:rsidRDefault="00285EF0" w:rsidP="00285EF0">
      <w:pPr>
        <w:rPr>
          <w:rFonts w:cs="Arial"/>
          <w:szCs w:val="22"/>
        </w:rPr>
      </w:pPr>
      <w:r w:rsidRPr="00E9555E">
        <w:rPr>
          <w:rFonts w:cs="Arial"/>
          <w:i/>
          <w:szCs w:val="22"/>
        </w:rPr>
        <w:t>Salmonella</w:t>
      </w:r>
      <w:r w:rsidRPr="00E9555E">
        <w:rPr>
          <w:rFonts w:cs="Arial"/>
          <w:szCs w:val="22"/>
        </w:rPr>
        <w:t xml:space="preserve"> spp. are transmitted by the faecal-oral route by either consumption of contaminated food or water, person-to-person contact, or from direct contact with infected animals </w:t>
      </w:r>
      <w:r w:rsidRPr="00E9555E">
        <w:rPr>
          <w:rFonts w:cs="Arial"/>
          <w:noProof/>
          <w:szCs w:val="22"/>
        </w:rPr>
        <w:t>(Jay et al. 2003)</w:t>
      </w:r>
      <w:r>
        <w:rPr>
          <w:rFonts w:cs="Arial"/>
          <w:szCs w:val="22"/>
        </w:rPr>
        <w:t>.</w:t>
      </w:r>
    </w:p>
    <w:p w14:paraId="6B6B295C" w14:textId="77777777" w:rsidR="00285EF0" w:rsidRPr="00E9555E" w:rsidRDefault="00285EF0" w:rsidP="00787E56">
      <w:pPr>
        <w:pStyle w:val="Heading3"/>
      </w:pPr>
      <w:bookmarkStart w:id="1235" w:name="_Toc85613209"/>
      <w:bookmarkStart w:id="1236" w:name="_Toc98909587"/>
      <w:bookmarkStart w:id="1237" w:name="_Toc123010681"/>
      <w:bookmarkStart w:id="1238" w:name="_Toc66881472"/>
      <w:bookmarkStart w:id="1239" w:name="_Toc66883098"/>
      <w:bookmarkStart w:id="1240" w:name="_Toc87614498"/>
      <w:bookmarkStart w:id="1241" w:name="_Toc87860137"/>
      <w:r w:rsidRPr="00807167">
        <w:t>Incidence of illness and outbreak data</w:t>
      </w:r>
      <w:bookmarkEnd w:id="1235"/>
      <w:bookmarkEnd w:id="1236"/>
      <w:bookmarkEnd w:id="1237"/>
      <w:bookmarkEnd w:id="1238"/>
      <w:bookmarkEnd w:id="1239"/>
      <w:bookmarkEnd w:id="1240"/>
      <w:bookmarkEnd w:id="1241"/>
    </w:p>
    <w:p w14:paraId="091EA82F" w14:textId="77777777" w:rsidR="00285EF0" w:rsidRPr="00E9555E" w:rsidRDefault="00285EF0" w:rsidP="00285EF0">
      <w:pPr>
        <w:rPr>
          <w:rFonts w:cs="Arial"/>
          <w:szCs w:val="22"/>
        </w:rPr>
      </w:pPr>
      <w:r w:rsidRPr="00E9555E">
        <w:rPr>
          <w:rFonts w:cs="Arial"/>
          <w:szCs w:val="22"/>
        </w:rPr>
        <w:t>Salmonellosis is one of the most commonly reported enteric illnesses worldwide, being the second most frequently reported cause of enteric illness in Australia (behind campylobacteriosis). It is a notifiable disease in all Australian states and territories, with a notification rate in 201</w:t>
      </w:r>
      <w:r>
        <w:rPr>
          <w:rFonts w:cs="Arial"/>
          <w:szCs w:val="22"/>
        </w:rPr>
        <w:t>2</w:t>
      </w:r>
      <w:r w:rsidRPr="00E9555E">
        <w:rPr>
          <w:rFonts w:cs="Arial"/>
          <w:szCs w:val="22"/>
        </w:rPr>
        <w:t xml:space="preserve"> of </w:t>
      </w:r>
      <w:r>
        <w:rPr>
          <w:rFonts w:cs="Arial"/>
          <w:szCs w:val="22"/>
        </w:rPr>
        <w:t>49.8</w:t>
      </w:r>
      <w:r w:rsidRPr="00E9555E">
        <w:rPr>
          <w:rFonts w:cs="Arial"/>
          <w:szCs w:val="22"/>
        </w:rPr>
        <w:t xml:space="preserve"> cases per 100,000 population (11,</w:t>
      </w:r>
      <w:r>
        <w:rPr>
          <w:rFonts w:cs="Arial"/>
          <w:szCs w:val="22"/>
        </w:rPr>
        <w:t>273</w:t>
      </w:r>
      <w:r w:rsidRPr="00E9555E">
        <w:rPr>
          <w:rFonts w:cs="Arial"/>
          <w:szCs w:val="22"/>
        </w:rPr>
        <w:t xml:space="preserve"> cases). This was an increase on the previous 5 year mean of 4</w:t>
      </w:r>
      <w:r>
        <w:rPr>
          <w:rFonts w:cs="Arial"/>
          <w:szCs w:val="22"/>
        </w:rPr>
        <w:t>6.9</w:t>
      </w:r>
      <w:r w:rsidRPr="00E9555E">
        <w:rPr>
          <w:rFonts w:cs="Arial"/>
          <w:szCs w:val="22"/>
        </w:rPr>
        <w:t xml:space="preserve"> cases per 100,000 population per year (ranging from 38.</w:t>
      </w:r>
      <w:r>
        <w:rPr>
          <w:rFonts w:cs="Arial"/>
          <w:szCs w:val="22"/>
        </w:rPr>
        <w:t>6</w:t>
      </w:r>
      <w:r w:rsidRPr="00E9555E">
        <w:rPr>
          <w:rFonts w:cs="Arial"/>
          <w:szCs w:val="22"/>
        </w:rPr>
        <w:t>–</w:t>
      </w:r>
      <w:r>
        <w:rPr>
          <w:rFonts w:cs="Arial"/>
          <w:szCs w:val="22"/>
        </w:rPr>
        <w:t>54.2</w:t>
      </w:r>
      <w:r w:rsidRPr="00E9555E">
        <w:rPr>
          <w:rFonts w:cs="Arial"/>
          <w:szCs w:val="22"/>
        </w:rPr>
        <w:t xml:space="preserve"> cases per 100,000 population per year)</w:t>
      </w:r>
      <w:r>
        <w:rPr>
          <w:rFonts w:cs="Arial"/>
          <w:szCs w:val="22"/>
        </w:rPr>
        <w:t xml:space="preserve"> </w:t>
      </w:r>
      <w:r>
        <w:rPr>
          <w:rFonts w:cs="Arial"/>
          <w:noProof/>
          <w:szCs w:val="22"/>
        </w:rPr>
        <w:t>(NNDSS 2013)</w:t>
      </w:r>
      <w:r w:rsidRPr="00E9555E">
        <w:rPr>
          <w:rFonts w:cs="Arial"/>
          <w:szCs w:val="22"/>
        </w:rPr>
        <w:t>.</w:t>
      </w:r>
    </w:p>
    <w:p w14:paraId="7826CCFE" w14:textId="77777777" w:rsidR="00285EF0" w:rsidRPr="00E9555E" w:rsidRDefault="00285EF0" w:rsidP="00285EF0">
      <w:pPr>
        <w:rPr>
          <w:rFonts w:cs="Arial"/>
          <w:szCs w:val="22"/>
        </w:rPr>
      </w:pPr>
    </w:p>
    <w:p w14:paraId="039315C7" w14:textId="77777777" w:rsidR="00285EF0" w:rsidRPr="00E9555E" w:rsidRDefault="00285EF0" w:rsidP="00285EF0">
      <w:pPr>
        <w:rPr>
          <w:rFonts w:cs="Arial"/>
          <w:szCs w:val="22"/>
        </w:rPr>
      </w:pPr>
      <w:r w:rsidRPr="00165FF6">
        <w:rPr>
          <w:rFonts w:cs="Arial"/>
          <w:szCs w:val="22"/>
        </w:rPr>
        <w:t>The salmonellosis notification rate varied between jurisdictions from 40.</w:t>
      </w:r>
      <w:r>
        <w:rPr>
          <w:rFonts w:cs="Arial"/>
          <w:szCs w:val="22"/>
        </w:rPr>
        <w:t>5</w:t>
      </w:r>
      <w:r w:rsidRPr="00165FF6">
        <w:rPr>
          <w:rFonts w:cs="Arial"/>
          <w:szCs w:val="22"/>
        </w:rPr>
        <w:t xml:space="preserve"> cases per </w:t>
      </w:r>
      <w:r>
        <w:rPr>
          <w:rFonts w:cs="Arial"/>
          <w:szCs w:val="22"/>
        </w:rPr>
        <w:br/>
      </w:r>
      <w:r w:rsidRPr="00165FF6">
        <w:rPr>
          <w:rFonts w:cs="Arial"/>
          <w:szCs w:val="22"/>
        </w:rPr>
        <w:t xml:space="preserve">100,000 population in </w:t>
      </w:r>
      <w:r>
        <w:rPr>
          <w:rFonts w:cs="Arial"/>
          <w:szCs w:val="22"/>
        </w:rPr>
        <w:t>New South Wales</w:t>
      </w:r>
      <w:r w:rsidRPr="00165FF6">
        <w:rPr>
          <w:rFonts w:cs="Arial"/>
          <w:szCs w:val="22"/>
        </w:rPr>
        <w:t xml:space="preserve"> to </w:t>
      </w:r>
      <w:r>
        <w:rPr>
          <w:rFonts w:cs="Arial"/>
          <w:szCs w:val="22"/>
        </w:rPr>
        <w:t>180.1</w:t>
      </w:r>
      <w:r w:rsidRPr="00165FF6">
        <w:rPr>
          <w:rFonts w:cs="Arial"/>
          <w:szCs w:val="22"/>
        </w:rPr>
        <w:t xml:space="preserve"> cases per 100,000 population in the Northern Territory in 201</w:t>
      </w:r>
      <w:r>
        <w:rPr>
          <w:rFonts w:cs="Arial"/>
          <w:szCs w:val="22"/>
        </w:rPr>
        <w:t xml:space="preserve">2 </w:t>
      </w:r>
      <w:r>
        <w:rPr>
          <w:rFonts w:cs="Arial"/>
          <w:noProof/>
          <w:szCs w:val="22"/>
        </w:rPr>
        <w:t>(NNDSS 2013)</w:t>
      </w:r>
      <w:r w:rsidRPr="00165FF6">
        <w:rPr>
          <w:rFonts w:cs="Arial"/>
          <w:szCs w:val="22"/>
        </w:rPr>
        <w:t xml:space="preserve">. </w:t>
      </w:r>
      <w:r>
        <w:rPr>
          <w:rFonts w:cs="Arial"/>
          <w:szCs w:val="22"/>
        </w:rPr>
        <w:t xml:space="preserve">Children between 0–4 years had the highest notification rate, with 218.3 and 160.2 notifications per 100,000 population for males and females, respectively, in 2010 </w:t>
      </w:r>
      <w:r>
        <w:rPr>
          <w:rFonts w:cs="Arial"/>
          <w:noProof/>
          <w:szCs w:val="22"/>
        </w:rPr>
        <w:t>(OzFoodNet 2012)</w:t>
      </w:r>
      <w:r>
        <w:rPr>
          <w:rFonts w:cs="Arial"/>
          <w:szCs w:val="22"/>
        </w:rPr>
        <w:t xml:space="preserve"> </w:t>
      </w:r>
      <w:r w:rsidRPr="00165FF6">
        <w:rPr>
          <w:rFonts w:cs="Arial"/>
          <w:szCs w:val="22"/>
        </w:rPr>
        <w:t>The higher rate of notified cases in this age group may reflect an increased susceptibility upon first exposure, but may also be a result of other factors such as an increased likelihood of exposure and increased likelihood to seek medical care.</w:t>
      </w:r>
      <w:r w:rsidRPr="00E9555E">
        <w:rPr>
          <w:rFonts w:cs="Arial"/>
          <w:szCs w:val="22"/>
        </w:rPr>
        <w:t xml:space="preserve"> </w:t>
      </w:r>
    </w:p>
    <w:p w14:paraId="3CB71D2E" w14:textId="77777777" w:rsidR="00285EF0" w:rsidRPr="00E9555E" w:rsidRDefault="00285EF0" w:rsidP="00285EF0">
      <w:pPr>
        <w:rPr>
          <w:rFonts w:cs="Arial"/>
          <w:szCs w:val="22"/>
        </w:rPr>
      </w:pPr>
    </w:p>
    <w:p w14:paraId="57E735CA" w14:textId="77777777" w:rsidR="00285EF0" w:rsidRDefault="00285EF0" w:rsidP="00285EF0">
      <w:pPr>
        <w:rPr>
          <w:rFonts w:cs="Arial"/>
          <w:szCs w:val="22"/>
        </w:rPr>
      </w:pPr>
      <w:r w:rsidRPr="00E9555E">
        <w:rPr>
          <w:rFonts w:cs="Arial"/>
          <w:iCs/>
          <w:szCs w:val="22"/>
        </w:rPr>
        <w:t xml:space="preserve">The distribution of </w:t>
      </w:r>
      <w:r w:rsidRPr="00E9555E">
        <w:rPr>
          <w:rFonts w:cs="Arial"/>
          <w:i/>
          <w:iCs/>
          <w:szCs w:val="22"/>
        </w:rPr>
        <w:t>Salmonella</w:t>
      </w:r>
      <w:r w:rsidRPr="00E9555E">
        <w:rPr>
          <w:rFonts w:cs="Arial"/>
          <w:iCs/>
          <w:szCs w:val="22"/>
        </w:rPr>
        <w:t xml:space="preserve"> serovars in Australia varies geographically, however </w:t>
      </w:r>
      <w:r>
        <w:rPr>
          <w:rFonts w:cs="Arial"/>
          <w:iCs/>
          <w:szCs w:val="22"/>
        </w:rPr>
        <w:br/>
      </w:r>
      <w:r w:rsidRPr="00E9555E">
        <w:rPr>
          <w:rFonts w:cs="Arial"/>
          <w:i/>
          <w:szCs w:val="22"/>
        </w:rPr>
        <w:t>S</w:t>
      </w:r>
      <w:r w:rsidRPr="00E9555E">
        <w:rPr>
          <w:rFonts w:cs="Arial"/>
          <w:szCs w:val="22"/>
        </w:rPr>
        <w:t>. Typhimurium was the most commonly reported</w:t>
      </w:r>
      <w:r w:rsidRPr="00E9555E">
        <w:rPr>
          <w:rFonts w:cs="Arial"/>
          <w:iCs/>
          <w:szCs w:val="22"/>
        </w:rPr>
        <w:t xml:space="preserve"> serovar in</w:t>
      </w:r>
      <w:r>
        <w:rPr>
          <w:rFonts w:cs="Arial"/>
          <w:iCs/>
          <w:szCs w:val="22"/>
        </w:rPr>
        <w:t xml:space="preserve"> 2010, representing 44</w:t>
      </w:r>
      <w:r w:rsidRPr="00E9555E">
        <w:rPr>
          <w:rFonts w:cs="Arial"/>
          <w:iCs/>
          <w:szCs w:val="22"/>
        </w:rPr>
        <w:t>% of all notified</w:t>
      </w:r>
      <w:r>
        <w:rPr>
          <w:rFonts w:cs="Arial"/>
          <w:iCs/>
          <w:szCs w:val="22"/>
        </w:rPr>
        <w:t xml:space="preserve"> </w:t>
      </w:r>
      <w:r w:rsidRPr="001C6EE1">
        <w:rPr>
          <w:rFonts w:cs="Arial"/>
          <w:i/>
          <w:iCs/>
          <w:szCs w:val="22"/>
        </w:rPr>
        <w:t>Salmonella</w:t>
      </w:r>
      <w:r w:rsidRPr="00E9555E">
        <w:rPr>
          <w:rFonts w:cs="Arial"/>
          <w:iCs/>
          <w:szCs w:val="22"/>
        </w:rPr>
        <w:t xml:space="preserve"> infections</w:t>
      </w:r>
      <w:r>
        <w:rPr>
          <w:rFonts w:cs="Arial"/>
          <w:iCs/>
          <w:szCs w:val="22"/>
        </w:rPr>
        <w:t xml:space="preserve"> in Australia</w:t>
      </w:r>
      <w:r w:rsidRPr="00E9555E">
        <w:rPr>
          <w:rFonts w:cs="Arial"/>
          <w:szCs w:val="22"/>
        </w:rPr>
        <w:t xml:space="preserve">. Internationally, </w:t>
      </w:r>
      <w:r w:rsidRPr="00E9555E">
        <w:rPr>
          <w:rFonts w:cs="Arial"/>
          <w:i/>
          <w:szCs w:val="22"/>
        </w:rPr>
        <w:t xml:space="preserve">S. </w:t>
      </w:r>
      <w:r w:rsidRPr="00E9555E">
        <w:rPr>
          <w:rFonts w:cs="Arial"/>
          <w:szCs w:val="22"/>
        </w:rPr>
        <w:t>Enteritidis is frequently reported as causing human illness</w:t>
      </w:r>
      <w:r>
        <w:rPr>
          <w:rFonts w:cs="Arial"/>
          <w:szCs w:val="22"/>
        </w:rPr>
        <w:t>;</w:t>
      </w:r>
      <w:r w:rsidRPr="00E9555E">
        <w:rPr>
          <w:rFonts w:cs="Arial"/>
          <w:szCs w:val="22"/>
        </w:rPr>
        <w:t xml:space="preserve"> however it </w:t>
      </w:r>
      <w:r>
        <w:rPr>
          <w:rFonts w:cs="Arial"/>
          <w:szCs w:val="22"/>
        </w:rPr>
        <w:t xml:space="preserve">is not endemic in Australia. In 2010, 93% of </w:t>
      </w:r>
      <w:r>
        <w:rPr>
          <w:rFonts w:cs="Arial"/>
          <w:szCs w:val="22"/>
        </w:rPr>
        <w:br/>
      </w:r>
      <w:r w:rsidRPr="00E9555E">
        <w:rPr>
          <w:rFonts w:cs="Arial"/>
          <w:i/>
          <w:szCs w:val="22"/>
        </w:rPr>
        <w:t xml:space="preserve">S. </w:t>
      </w:r>
      <w:r w:rsidRPr="00E9555E">
        <w:rPr>
          <w:rFonts w:cs="Arial"/>
          <w:szCs w:val="22"/>
        </w:rPr>
        <w:t>Enteritidis</w:t>
      </w:r>
      <w:r>
        <w:rPr>
          <w:rFonts w:cs="Arial"/>
          <w:szCs w:val="22"/>
        </w:rPr>
        <w:t xml:space="preserve"> cases reported in Australia were acquired overseas </w:t>
      </w:r>
      <w:r>
        <w:rPr>
          <w:rFonts w:cs="Arial"/>
          <w:noProof/>
          <w:szCs w:val="22"/>
        </w:rPr>
        <w:t>(Greig and Ravel 2009; OzFoodNet 2012)</w:t>
      </w:r>
      <w:r>
        <w:rPr>
          <w:rFonts w:cs="Arial"/>
          <w:szCs w:val="22"/>
        </w:rPr>
        <w:t>.</w:t>
      </w:r>
    </w:p>
    <w:p w14:paraId="5C077C8B" w14:textId="77777777" w:rsidR="00285EF0" w:rsidRPr="00E9555E" w:rsidRDefault="00285EF0" w:rsidP="00285EF0">
      <w:pPr>
        <w:rPr>
          <w:rFonts w:cs="Arial"/>
          <w:szCs w:val="22"/>
        </w:rPr>
      </w:pPr>
    </w:p>
    <w:p w14:paraId="2641CB7F" w14:textId="77777777" w:rsidR="00285EF0" w:rsidRPr="00E9555E" w:rsidRDefault="00285EF0" w:rsidP="00285EF0">
      <w:pPr>
        <w:rPr>
          <w:rFonts w:cs="Arial"/>
          <w:szCs w:val="22"/>
        </w:rPr>
      </w:pPr>
      <w:r w:rsidRPr="00E9555E">
        <w:rPr>
          <w:rFonts w:cs="Arial"/>
          <w:szCs w:val="22"/>
        </w:rPr>
        <w:t>The notification rate for salmonellosis i</w:t>
      </w:r>
      <w:r>
        <w:rPr>
          <w:rFonts w:cs="Arial"/>
          <w:szCs w:val="22"/>
        </w:rPr>
        <w:t>n New Zealand in 2011</w:t>
      </w:r>
      <w:r w:rsidRPr="00E9555E">
        <w:rPr>
          <w:rFonts w:cs="Arial"/>
          <w:szCs w:val="22"/>
        </w:rPr>
        <w:t xml:space="preserve"> was </w:t>
      </w:r>
      <w:r>
        <w:rPr>
          <w:rFonts w:cs="Arial"/>
          <w:szCs w:val="22"/>
        </w:rPr>
        <w:t>24</w:t>
      </w:r>
      <w:r w:rsidRPr="00E9555E">
        <w:rPr>
          <w:rFonts w:cs="Arial"/>
          <w:szCs w:val="22"/>
        </w:rPr>
        <w:t xml:space="preserve"> cases per </w:t>
      </w:r>
      <w:r>
        <w:rPr>
          <w:rFonts w:cs="Arial"/>
          <w:szCs w:val="22"/>
        </w:rPr>
        <w:br/>
      </w:r>
      <w:r w:rsidRPr="00E9555E">
        <w:rPr>
          <w:rFonts w:cs="Arial"/>
          <w:szCs w:val="22"/>
        </w:rPr>
        <w:t xml:space="preserve">100,000 </w:t>
      </w:r>
      <w:r>
        <w:rPr>
          <w:rFonts w:cs="Arial"/>
          <w:szCs w:val="22"/>
        </w:rPr>
        <w:t>population (1,056</w:t>
      </w:r>
      <w:r w:rsidRPr="00E9555E">
        <w:rPr>
          <w:rFonts w:cs="Arial"/>
          <w:szCs w:val="22"/>
        </w:rPr>
        <w:t xml:space="preserve"> cases). This was </w:t>
      </w:r>
      <w:r>
        <w:rPr>
          <w:rFonts w:cs="Arial"/>
          <w:szCs w:val="22"/>
        </w:rPr>
        <w:t>a slight decrease from the 2010</w:t>
      </w:r>
      <w:r w:rsidRPr="00E9555E">
        <w:rPr>
          <w:rFonts w:cs="Arial"/>
          <w:szCs w:val="22"/>
        </w:rPr>
        <w:t xml:space="preserve"> rate of </w:t>
      </w:r>
      <w:r>
        <w:rPr>
          <w:rFonts w:cs="Arial"/>
          <w:szCs w:val="22"/>
        </w:rPr>
        <w:br/>
        <w:t>26.2</w:t>
      </w:r>
      <w:r w:rsidRPr="00E9555E">
        <w:rPr>
          <w:rFonts w:cs="Arial"/>
          <w:szCs w:val="22"/>
        </w:rPr>
        <w:t xml:space="preserve"> cases per 100,000 population</w:t>
      </w:r>
      <w:r>
        <w:rPr>
          <w:rFonts w:cs="Arial"/>
          <w:szCs w:val="22"/>
        </w:rPr>
        <w:t xml:space="preserve"> </w:t>
      </w:r>
      <w:r>
        <w:rPr>
          <w:rFonts w:cs="Arial"/>
          <w:noProof/>
          <w:szCs w:val="22"/>
        </w:rPr>
        <w:t>(Lim et al. 2012)</w:t>
      </w:r>
      <w:r w:rsidRPr="00E9555E">
        <w:rPr>
          <w:rFonts w:cs="Arial"/>
          <w:szCs w:val="22"/>
        </w:rPr>
        <w:t xml:space="preserve">. In the </w:t>
      </w:r>
      <w:r>
        <w:rPr>
          <w:rFonts w:cs="Arial"/>
          <w:szCs w:val="22"/>
        </w:rPr>
        <w:t>United States (</w:t>
      </w:r>
      <w:r w:rsidRPr="00E9555E">
        <w:rPr>
          <w:rFonts w:cs="Arial"/>
          <w:szCs w:val="22"/>
        </w:rPr>
        <w:t>US</w:t>
      </w:r>
      <w:r>
        <w:rPr>
          <w:rFonts w:cs="Arial"/>
          <w:szCs w:val="22"/>
        </w:rPr>
        <w:t>)</w:t>
      </w:r>
      <w:r w:rsidRPr="00E9555E">
        <w:rPr>
          <w:rFonts w:cs="Arial"/>
          <w:szCs w:val="22"/>
        </w:rPr>
        <w:t xml:space="preserve"> </w:t>
      </w:r>
      <w:r>
        <w:rPr>
          <w:rFonts w:cs="Arial"/>
          <w:szCs w:val="22"/>
        </w:rPr>
        <w:t>17.73</w:t>
      </w:r>
      <w:r w:rsidRPr="00E9555E">
        <w:rPr>
          <w:rFonts w:cs="Arial"/>
          <w:szCs w:val="22"/>
        </w:rPr>
        <w:t xml:space="preserve"> cases of salmonellosis were notified per 100,000 population</w:t>
      </w:r>
      <w:r>
        <w:rPr>
          <w:rFonts w:cs="Arial"/>
          <w:szCs w:val="22"/>
        </w:rPr>
        <w:t xml:space="preserve"> in 2010</w:t>
      </w:r>
      <w:r w:rsidRPr="00E9555E">
        <w:rPr>
          <w:rFonts w:cs="Arial"/>
          <w:szCs w:val="22"/>
        </w:rPr>
        <w:t xml:space="preserve">. This was </w:t>
      </w:r>
      <w:r>
        <w:rPr>
          <w:rFonts w:cs="Arial"/>
          <w:szCs w:val="22"/>
        </w:rPr>
        <w:t>a slight increase from the 2009 rate of 16.18</w:t>
      </w:r>
      <w:r w:rsidRPr="00E9555E">
        <w:rPr>
          <w:rFonts w:cs="Arial"/>
          <w:szCs w:val="22"/>
        </w:rPr>
        <w:t xml:space="preserve"> cases per 100,000 population</w:t>
      </w:r>
      <w:r>
        <w:rPr>
          <w:rFonts w:cs="Arial"/>
          <w:szCs w:val="22"/>
        </w:rPr>
        <w:t xml:space="preserve"> </w:t>
      </w:r>
      <w:r>
        <w:rPr>
          <w:rFonts w:cs="Arial"/>
          <w:noProof/>
          <w:szCs w:val="22"/>
        </w:rPr>
        <w:t>(CDC 2012)</w:t>
      </w:r>
      <w:r>
        <w:rPr>
          <w:rFonts w:cs="Arial"/>
          <w:szCs w:val="22"/>
        </w:rPr>
        <w:t xml:space="preserve">. </w:t>
      </w:r>
      <w:r w:rsidRPr="00E9555E">
        <w:rPr>
          <w:rFonts w:cs="Arial"/>
          <w:szCs w:val="22"/>
        </w:rPr>
        <w:t xml:space="preserve">In the </w:t>
      </w:r>
      <w:r>
        <w:rPr>
          <w:rFonts w:cs="Arial"/>
          <w:szCs w:val="22"/>
        </w:rPr>
        <w:t>European Union</w:t>
      </w:r>
      <w:r w:rsidRPr="00E9555E">
        <w:rPr>
          <w:rFonts w:cs="Arial"/>
          <w:szCs w:val="22"/>
        </w:rPr>
        <w:t xml:space="preserve"> the notification rate for salmonellosis was </w:t>
      </w:r>
      <w:r>
        <w:rPr>
          <w:rFonts w:cs="Arial"/>
          <w:szCs w:val="22"/>
        </w:rPr>
        <w:t>20.7</w:t>
      </w:r>
      <w:r w:rsidRPr="00E9555E">
        <w:rPr>
          <w:rFonts w:cs="Arial"/>
          <w:szCs w:val="22"/>
        </w:rPr>
        <w:t xml:space="preserve"> case</w:t>
      </w:r>
      <w:r>
        <w:rPr>
          <w:rFonts w:cs="Arial"/>
          <w:szCs w:val="22"/>
        </w:rPr>
        <w:t>s per 100,000 population in 2011</w:t>
      </w:r>
      <w:r w:rsidRPr="00E9555E">
        <w:rPr>
          <w:rFonts w:cs="Arial"/>
          <w:szCs w:val="22"/>
        </w:rPr>
        <w:t xml:space="preserve"> (ranging from </w:t>
      </w:r>
      <w:r>
        <w:rPr>
          <w:rFonts w:cs="Arial"/>
          <w:szCs w:val="22"/>
        </w:rPr>
        <w:t>1.6–80.7</w:t>
      </w:r>
      <w:r w:rsidRPr="00E9555E">
        <w:rPr>
          <w:rFonts w:cs="Arial"/>
          <w:szCs w:val="22"/>
        </w:rPr>
        <w:t xml:space="preserve"> cases per 100,000 </w:t>
      </w:r>
      <w:r>
        <w:rPr>
          <w:rFonts w:cs="Arial"/>
          <w:szCs w:val="22"/>
        </w:rPr>
        <w:t xml:space="preserve">population </w:t>
      </w:r>
      <w:r w:rsidRPr="00E9555E">
        <w:rPr>
          <w:rFonts w:cs="Arial"/>
          <w:szCs w:val="22"/>
        </w:rPr>
        <w:t xml:space="preserve">between countries). This was a </w:t>
      </w:r>
      <w:r>
        <w:rPr>
          <w:rFonts w:cs="Arial"/>
          <w:szCs w:val="22"/>
        </w:rPr>
        <w:br/>
        <w:t>5.4</w:t>
      </w:r>
      <w:r w:rsidRPr="00E9555E">
        <w:rPr>
          <w:rFonts w:cs="Arial"/>
          <w:szCs w:val="22"/>
        </w:rPr>
        <w:t xml:space="preserve">% decrease </w:t>
      </w:r>
      <w:r>
        <w:rPr>
          <w:rFonts w:cs="Arial"/>
          <w:szCs w:val="22"/>
        </w:rPr>
        <w:t xml:space="preserve">in the number of cases from 2010 </w:t>
      </w:r>
      <w:r>
        <w:rPr>
          <w:rFonts w:cs="Arial"/>
          <w:noProof/>
          <w:szCs w:val="22"/>
        </w:rPr>
        <w:t>(EFSA 2013)</w:t>
      </w:r>
      <w:r w:rsidRPr="00E9555E">
        <w:rPr>
          <w:rFonts w:cs="Arial"/>
          <w:szCs w:val="22"/>
        </w:rPr>
        <w:t>.</w:t>
      </w:r>
    </w:p>
    <w:p w14:paraId="4528894C" w14:textId="77777777" w:rsidR="00285EF0" w:rsidRPr="00E9555E" w:rsidRDefault="00285EF0" w:rsidP="00285EF0">
      <w:pPr>
        <w:rPr>
          <w:rFonts w:cs="Arial"/>
          <w:szCs w:val="22"/>
        </w:rPr>
      </w:pPr>
    </w:p>
    <w:p w14:paraId="3F28115C" w14:textId="77777777" w:rsidR="00285EF0" w:rsidRPr="00E9555E" w:rsidRDefault="00285EF0" w:rsidP="00285EF0">
      <w:pPr>
        <w:rPr>
          <w:rFonts w:cs="Arial"/>
          <w:szCs w:val="22"/>
        </w:rPr>
      </w:pPr>
      <w:r w:rsidRPr="00E9555E">
        <w:rPr>
          <w:rFonts w:cs="Arial"/>
          <w:szCs w:val="22"/>
        </w:rPr>
        <w:t xml:space="preserve">Outbreaks attributed to </w:t>
      </w:r>
      <w:r w:rsidRPr="00E9555E">
        <w:rPr>
          <w:rFonts w:cs="Arial"/>
          <w:i/>
          <w:szCs w:val="22"/>
        </w:rPr>
        <w:t>Salmonella</w:t>
      </w:r>
      <w:r w:rsidRPr="00E9555E">
        <w:rPr>
          <w:rFonts w:cs="Arial"/>
          <w:szCs w:val="22"/>
        </w:rPr>
        <w:t xml:space="preserve"> spp. have</w:t>
      </w:r>
      <w:r>
        <w:rPr>
          <w:rFonts w:cs="Arial"/>
          <w:szCs w:val="22"/>
        </w:rPr>
        <w:t xml:space="preserve"> predominantly</w:t>
      </w:r>
      <w:r w:rsidRPr="00E9555E">
        <w:rPr>
          <w:rFonts w:cs="Arial"/>
          <w:szCs w:val="22"/>
        </w:rPr>
        <w:t xml:space="preserve"> been associated with </w:t>
      </w:r>
      <w:r>
        <w:rPr>
          <w:rFonts w:cs="Arial"/>
          <w:szCs w:val="22"/>
        </w:rPr>
        <w:t xml:space="preserve">animal products such as </w:t>
      </w:r>
      <w:r w:rsidRPr="00E9555E">
        <w:rPr>
          <w:rFonts w:cs="Arial"/>
          <w:szCs w:val="22"/>
        </w:rPr>
        <w:t xml:space="preserve">eggs, poultry, raw meat, milk and dairy products, </w:t>
      </w:r>
      <w:r>
        <w:rPr>
          <w:rFonts w:cs="Arial"/>
          <w:szCs w:val="22"/>
        </w:rPr>
        <w:t xml:space="preserve">but also include </w:t>
      </w:r>
      <w:r w:rsidRPr="00E9555E">
        <w:rPr>
          <w:rFonts w:cs="Arial"/>
          <w:szCs w:val="22"/>
        </w:rPr>
        <w:t xml:space="preserve">fresh produce, </w:t>
      </w:r>
      <w:r>
        <w:rPr>
          <w:rFonts w:cs="Arial"/>
          <w:szCs w:val="22"/>
        </w:rPr>
        <w:t xml:space="preserve">spices, </w:t>
      </w:r>
      <w:r w:rsidRPr="00E9555E">
        <w:rPr>
          <w:rFonts w:cs="Arial"/>
          <w:szCs w:val="22"/>
        </w:rPr>
        <w:t xml:space="preserve">salad dressing, fruit juice, peanut butter and chocolate </w:t>
      </w:r>
      <w:r>
        <w:rPr>
          <w:rFonts w:cs="Arial"/>
          <w:noProof/>
          <w:szCs w:val="22"/>
        </w:rPr>
        <w:t>(CDC 2010; Jay et al. 2003; Montville and Matthews 2005)</w:t>
      </w:r>
      <w:r w:rsidRPr="00E9555E">
        <w:rPr>
          <w:rFonts w:cs="Arial"/>
          <w:szCs w:val="22"/>
        </w:rPr>
        <w:t>.</w:t>
      </w:r>
    </w:p>
    <w:p w14:paraId="7F2ECDB6" w14:textId="77777777" w:rsidR="00285EF0" w:rsidRPr="00E9555E" w:rsidRDefault="00285EF0" w:rsidP="00787E56">
      <w:pPr>
        <w:pStyle w:val="Heading3"/>
      </w:pPr>
      <w:bookmarkStart w:id="1242" w:name="_Toc85613210"/>
      <w:bookmarkStart w:id="1243" w:name="_Toc98909588"/>
      <w:bookmarkStart w:id="1244" w:name="_Toc123010682"/>
      <w:bookmarkStart w:id="1245" w:name="_Toc66881473"/>
      <w:bookmarkStart w:id="1246" w:name="_Toc66883099"/>
      <w:bookmarkStart w:id="1247" w:name="_Toc87614499"/>
      <w:bookmarkStart w:id="1248" w:name="_Toc87860138"/>
      <w:r w:rsidRPr="00807167">
        <w:t>Occurrence in food</w:t>
      </w:r>
      <w:bookmarkEnd w:id="1242"/>
      <w:bookmarkEnd w:id="1243"/>
      <w:bookmarkEnd w:id="1244"/>
      <w:bookmarkEnd w:id="1245"/>
      <w:bookmarkEnd w:id="1246"/>
      <w:bookmarkEnd w:id="1247"/>
      <w:bookmarkEnd w:id="1248"/>
    </w:p>
    <w:p w14:paraId="4196B069" w14:textId="77777777" w:rsidR="00285EF0" w:rsidRPr="00E9555E" w:rsidRDefault="00285EF0" w:rsidP="00285EF0">
      <w:pPr>
        <w:rPr>
          <w:rFonts w:cs="Arial"/>
          <w:szCs w:val="22"/>
        </w:rPr>
      </w:pPr>
      <w:r w:rsidRPr="00E9555E">
        <w:rPr>
          <w:rFonts w:cs="Arial"/>
          <w:szCs w:val="22"/>
        </w:rPr>
        <w:t xml:space="preserve">The primary reservoir of </w:t>
      </w:r>
      <w:r w:rsidRPr="00E9555E">
        <w:rPr>
          <w:rFonts w:cs="Arial"/>
          <w:i/>
          <w:szCs w:val="22"/>
        </w:rPr>
        <w:t>Salmonella</w:t>
      </w:r>
      <w:r w:rsidRPr="00E9555E">
        <w:rPr>
          <w:rFonts w:cs="Arial"/>
          <w:szCs w:val="22"/>
        </w:rPr>
        <w:t xml:space="preserve"> </w:t>
      </w:r>
      <w:r>
        <w:rPr>
          <w:rFonts w:cs="Arial"/>
          <w:szCs w:val="22"/>
        </w:rPr>
        <w:t xml:space="preserve">spp. </w:t>
      </w:r>
      <w:r w:rsidRPr="00E9555E">
        <w:rPr>
          <w:rFonts w:cs="Arial"/>
          <w:szCs w:val="22"/>
        </w:rPr>
        <w:t xml:space="preserve">is the intestinal tract of warm and cold-blooded vertebrates, with many animals showing no sign of illness. Unlike diseased animals which can be removed from production and/or treated, these asymptomatic (carrier) animals can shed large numbers of </w:t>
      </w:r>
      <w:r w:rsidRPr="00E9555E">
        <w:rPr>
          <w:rFonts w:cs="Arial"/>
          <w:i/>
          <w:szCs w:val="22"/>
        </w:rPr>
        <w:t>Salmonella</w:t>
      </w:r>
      <w:r w:rsidRPr="00E9555E">
        <w:rPr>
          <w:rFonts w:cs="Arial"/>
          <w:szCs w:val="22"/>
        </w:rPr>
        <w:t xml:space="preserve"> spp. in their faeces and are therefore an important source of contamination. Faecal shedding of </w:t>
      </w:r>
      <w:r w:rsidRPr="00E9555E">
        <w:rPr>
          <w:rFonts w:cs="Arial"/>
          <w:i/>
          <w:szCs w:val="22"/>
        </w:rPr>
        <w:t xml:space="preserve">Salmonella </w:t>
      </w:r>
      <w:r w:rsidRPr="00E9555E">
        <w:rPr>
          <w:rFonts w:cs="Arial"/>
          <w:szCs w:val="22"/>
        </w:rPr>
        <w:t xml:space="preserve">spp. leads to contamination of the surrounding environment including soil, crops, plants, rivers and lakes. A wide range of foods have been implicated in foodborne salmonellosis, particularly those of animal origin and foods that have been subject to </w:t>
      </w:r>
      <w:r>
        <w:rPr>
          <w:rFonts w:cs="Arial"/>
          <w:szCs w:val="22"/>
        </w:rPr>
        <w:t>sewage pollution</w:t>
      </w:r>
      <w:r w:rsidRPr="00E9555E">
        <w:rPr>
          <w:rFonts w:cs="Arial"/>
          <w:szCs w:val="22"/>
        </w:rPr>
        <w:t xml:space="preserve"> </w:t>
      </w:r>
      <w:r>
        <w:rPr>
          <w:rFonts w:cs="Arial"/>
          <w:noProof/>
          <w:szCs w:val="22"/>
        </w:rPr>
        <w:t>(ICMSF 1996; Jay et al. 2003)</w:t>
      </w:r>
      <w:r>
        <w:rPr>
          <w:rFonts w:cs="Arial"/>
          <w:szCs w:val="22"/>
        </w:rPr>
        <w:t>.</w:t>
      </w:r>
    </w:p>
    <w:p w14:paraId="3FE1FE04" w14:textId="77777777" w:rsidR="00285EF0" w:rsidRPr="00E9555E" w:rsidRDefault="00285EF0" w:rsidP="00285EF0">
      <w:pPr>
        <w:rPr>
          <w:rFonts w:cs="Arial"/>
          <w:szCs w:val="22"/>
        </w:rPr>
      </w:pPr>
      <w:r w:rsidRPr="00E9555E">
        <w:rPr>
          <w:rFonts w:cs="Arial"/>
          <w:szCs w:val="22"/>
        </w:rPr>
        <w:t xml:space="preserve">At the time of slaughter, </w:t>
      </w:r>
      <w:r w:rsidRPr="00E9555E">
        <w:rPr>
          <w:rFonts w:cs="Arial"/>
          <w:i/>
          <w:szCs w:val="22"/>
        </w:rPr>
        <w:t>Salmonella</w:t>
      </w:r>
      <w:r w:rsidRPr="00E9555E">
        <w:rPr>
          <w:rFonts w:cs="Arial"/>
          <w:szCs w:val="22"/>
        </w:rPr>
        <w:t xml:space="preserve"> infected animals may have high numbers of organisms in their intestines as well as on the outside of the animal (faecal contamination of hides, fleece, skin or feathers) </w:t>
      </w:r>
      <w:r w:rsidRPr="00E9555E">
        <w:rPr>
          <w:rFonts w:cs="Arial"/>
          <w:noProof/>
          <w:szCs w:val="22"/>
        </w:rPr>
        <w:t>(Bryan and Doyle 1995; Jay et al. 2003)</w:t>
      </w:r>
      <w:r w:rsidRPr="00E9555E">
        <w:rPr>
          <w:rFonts w:cs="Arial"/>
          <w:szCs w:val="22"/>
        </w:rPr>
        <w:t>. In Australia</w:t>
      </w:r>
      <w:r>
        <w:rPr>
          <w:rFonts w:cs="Arial"/>
          <w:szCs w:val="22"/>
        </w:rPr>
        <w:t>,</w:t>
      </w:r>
      <w:r w:rsidRPr="00E9555E">
        <w:rPr>
          <w:rFonts w:cs="Arial"/>
          <w:szCs w:val="22"/>
        </w:rPr>
        <w:t xml:space="preserve"> </w:t>
      </w:r>
      <w:r>
        <w:rPr>
          <w:rFonts w:cs="Arial"/>
          <w:szCs w:val="22"/>
        </w:rPr>
        <w:br/>
      </w:r>
      <w:r w:rsidRPr="00E9555E">
        <w:rPr>
          <w:rFonts w:cs="Arial"/>
          <w:i/>
          <w:szCs w:val="22"/>
        </w:rPr>
        <w:t xml:space="preserve">Salmonella </w:t>
      </w:r>
      <w:r w:rsidRPr="00E9555E">
        <w:rPr>
          <w:rFonts w:cs="Arial"/>
          <w:szCs w:val="22"/>
        </w:rPr>
        <w:t xml:space="preserve">spp. have been isolated from 3% of chilled cattle carcass samples (n=100) </w:t>
      </w:r>
      <w:r w:rsidRPr="00E9555E">
        <w:rPr>
          <w:rFonts w:cs="Arial"/>
          <w:noProof/>
          <w:szCs w:val="22"/>
        </w:rPr>
        <w:t>(Fegan et al. 2005)</w:t>
      </w:r>
      <w:r w:rsidRPr="00E9555E">
        <w:rPr>
          <w:rFonts w:cs="Arial"/>
          <w:szCs w:val="22"/>
        </w:rPr>
        <w:t xml:space="preserve">. The distribution of </w:t>
      </w:r>
      <w:r w:rsidRPr="00E9555E">
        <w:rPr>
          <w:rFonts w:cs="Arial"/>
          <w:i/>
          <w:szCs w:val="22"/>
        </w:rPr>
        <w:t>Salmonella</w:t>
      </w:r>
      <w:r w:rsidRPr="00E9555E">
        <w:rPr>
          <w:rFonts w:cs="Arial"/>
          <w:szCs w:val="22"/>
        </w:rPr>
        <w:t xml:space="preserve"> spp. on contaminated meat carcasses is not uniform. For example, a US study by Stopforth et al. </w:t>
      </w:r>
      <w:r w:rsidRPr="00E9555E">
        <w:rPr>
          <w:rFonts w:cs="Arial"/>
          <w:noProof/>
          <w:szCs w:val="22"/>
        </w:rPr>
        <w:t>(2006)</w:t>
      </w:r>
      <w:r w:rsidRPr="00E9555E">
        <w:rPr>
          <w:rFonts w:cs="Arial"/>
          <w:szCs w:val="22"/>
        </w:rPr>
        <w:t xml:space="preserve"> found that the prevalence of </w:t>
      </w:r>
      <w:r w:rsidRPr="00E9555E">
        <w:rPr>
          <w:rFonts w:cs="Arial"/>
          <w:i/>
          <w:szCs w:val="22"/>
        </w:rPr>
        <w:t>Salmonella</w:t>
      </w:r>
      <w:r w:rsidRPr="00E9555E">
        <w:rPr>
          <w:rFonts w:cs="Arial"/>
          <w:szCs w:val="22"/>
        </w:rPr>
        <w:t xml:space="preserve"> spp. on fresh beef ranged from 0.8% (rib eye roll, n=133) to 9.6% (strip loins, n=52) depending on the cut of meat. </w:t>
      </w:r>
      <w:r>
        <w:rPr>
          <w:rFonts w:cs="Arial"/>
          <w:szCs w:val="22"/>
        </w:rPr>
        <w:t>Cross-</w:t>
      </w:r>
      <w:r w:rsidRPr="00E9555E">
        <w:rPr>
          <w:rFonts w:cs="Arial"/>
          <w:szCs w:val="22"/>
        </w:rPr>
        <w:t xml:space="preserve">contamination during processing may also lead to increased prevalence of </w:t>
      </w:r>
      <w:r w:rsidRPr="00E9555E">
        <w:rPr>
          <w:rFonts w:cs="Arial"/>
          <w:i/>
          <w:szCs w:val="22"/>
        </w:rPr>
        <w:t>Salmonella</w:t>
      </w:r>
      <w:r w:rsidRPr="00E9555E">
        <w:rPr>
          <w:rFonts w:cs="Arial"/>
          <w:szCs w:val="22"/>
        </w:rPr>
        <w:t xml:space="preserve"> in finished products </w:t>
      </w:r>
      <w:r w:rsidRPr="00E9555E">
        <w:rPr>
          <w:rFonts w:cs="Arial"/>
          <w:noProof/>
          <w:szCs w:val="22"/>
        </w:rPr>
        <w:t>(Bryan and Doyle 1995)</w:t>
      </w:r>
      <w:r w:rsidRPr="00E9555E">
        <w:rPr>
          <w:rFonts w:cs="Arial"/>
          <w:szCs w:val="22"/>
        </w:rPr>
        <w:t>.</w:t>
      </w:r>
    </w:p>
    <w:p w14:paraId="5BDAAFDA" w14:textId="77777777" w:rsidR="00285EF0" w:rsidRPr="00E9555E" w:rsidRDefault="00285EF0" w:rsidP="00285EF0">
      <w:pPr>
        <w:rPr>
          <w:rFonts w:cs="Arial"/>
          <w:szCs w:val="22"/>
        </w:rPr>
      </w:pPr>
    </w:p>
    <w:p w14:paraId="6F991436" w14:textId="77777777" w:rsidR="00285EF0" w:rsidRPr="00E9555E" w:rsidRDefault="00285EF0" w:rsidP="00285EF0">
      <w:pPr>
        <w:keepLines/>
        <w:rPr>
          <w:rFonts w:cs="Arial"/>
          <w:szCs w:val="22"/>
        </w:rPr>
      </w:pPr>
      <w:r w:rsidRPr="00E9555E">
        <w:rPr>
          <w:rFonts w:cs="Arial"/>
          <w:i/>
          <w:szCs w:val="22"/>
        </w:rPr>
        <w:t xml:space="preserve">Salmonella </w:t>
      </w:r>
      <w:r w:rsidRPr="00E9555E">
        <w:rPr>
          <w:rFonts w:cs="Arial"/>
          <w:szCs w:val="22"/>
        </w:rPr>
        <w:t xml:space="preserve">spp. </w:t>
      </w:r>
      <w:r>
        <w:rPr>
          <w:rFonts w:cs="Arial"/>
          <w:szCs w:val="22"/>
        </w:rPr>
        <w:t>have been detected</w:t>
      </w:r>
      <w:r w:rsidRPr="00E9555E">
        <w:rPr>
          <w:rFonts w:cs="Arial"/>
          <w:szCs w:val="22"/>
        </w:rPr>
        <w:t xml:space="preserve"> in a range of foods. The prevalence of </w:t>
      </w:r>
      <w:r w:rsidRPr="00E9555E">
        <w:rPr>
          <w:rFonts w:cs="Arial"/>
          <w:i/>
          <w:szCs w:val="22"/>
        </w:rPr>
        <w:t xml:space="preserve">Salmonella </w:t>
      </w:r>
      <w:r w:rsidRPr="00E9555E">
        <w:rPr>
          <w:rFonts w:cs="Arial"/>
          <w:szCs w:val="22"/>
        </w:rPr>
        <w:t xml:space="preserve">spp. in bulk tank milk internationally is 0–11.8% </w:t>
      </w:r>
      <w:r w:rsidRPr="00E9555E">
        <w:rPr>
          <w:rFonts w:cs="Arial"/>
          <w:noProof/>
          <w:szCs w:val="22"/>
        </w:rPr>
        <w:t>(FSANZ 2009a)</w:t>
      </w:r>
      <w:r w:rsidRPr="00E9555E">
        <w:rPr>
          <w:rFonts w:cs="Arial"/>
          <w:szCs w:val="22"/>
        </w:rPr>
        <w:t xml:space="preserve">. In shellfish (mussels, clams, oysters and cockles) collected off the coast of Spain, </w:t>
      </w:r>
      <w:r w:rsidRPr="00E9555E">
        <w:rPr>
          <w:rFonts w:cs="Arial"/>
          <w:i/>
          <w:szCs w:val="22"/>
        </w:rPr>
        <w:t>Salmonella</w:t>
      </w:r>
      <w:r w:rsidRPr="00E9555E">
        <w:rPr>
          <w:rFonts w:cs="Arial"/>
          <w:szCs w:val="22"/>
        </w:rPr>
        <w:t xml:space="preserve"> spp. were detected in </w:t>
      </w:r>
      <w:r>
        <w:rPr>
          <w:rFonts w:cs="Arial"/>
          <w:szCs w:val="22"/>
        </w:rPr>
        <w:br/>
      </w:r>
      <w:r w:rsidRPr="00E9555E">
        <w:rPr>
          <w:rFonts w:cs="Arial"/>
          <w:szCs w:val="22"/>
        </w:rPr>
        <w:t xml:space="preserve">1.8% samples (n=2980) </w:t>
      </w:r>
      <w:r w:rsidRPr="00E9555E">
        <w:rPr>
          <w:rFonts w:cs="Arial"/>
          <w:noProof/>
          <w:szCs w:val="22"/>
        </w:rPr>
        <w:t>(Martinez-Urtaza et al. 2003)</w:t>
      </w:r>
      <w:r w:rsidRPr="00E9555E">
        <w:rPr>
          <w:rFonts w:cs="Arial"/>
          <w:szCs w:val="22"/>
        </w:rPr>
        <w:t xml:space="preserve">. Boughton et al. </w:t>
      </w:r>
      <w:r w:rsidRPr="00E9555E">
        <w:rPr>
          <w:rFonts w:cs="Arial"/>
          <w:noProof/>
          <w:szCs w:val="22"/>
        </w:rPr>
        <w:t>(2004)</w:t>
      </w:r>
      <w:r w:rsidRPr="00E9555E">
        <w:rPr>
          <w:rFonts w:cs="Arial"/>
          <w:szCs w:val="22"/>
        </w:rPr>
        <w:t xml:space="preserve"> isolated</w:t>
      </w:r>
      <w:r w:rsidRPr="00E9555E">
        <w:rPr>
          <w:rFonts w:cs="Arial"/>
          <w:i/>
          <w:szCs w:val="22"/>
        </w:rPr>
        <w:t xml:space="preserve"> Salmonella</w:t>
      </w:r>
      <w:r w:rsidRPr="00E9555E">
        <w:rPr>
          <w:rFonts w:cs="Arial"/>
          <w:szCs w:val="22"/>
        </w:rPr>
        <w:t xml:space="preserve"> spp. from 2.9% of retail pork sausages samples i</w:t>
      </w:r>
      <w:r>
        <w:rPr>
          <w:rFonts w:cs="Arial"/>
          <w:szCs w:val="22"/>
        </w:rPr>
        <w:t>n Ireland (n=921), and in Spain</w:t>
      </w:r>
      <w:r w:rsidRPr="00E9555E">
        <w:rPr>
          <w:rFonts w:cs="Arial"/>
          <w:szCs w:val="22"/>
        </w:rPr>
        <w:t xml:space="preserve"> </w:t>
      </w:r>
      <w:r w:rsidRPr="00E9555E">
        <w:rPr>
          <w:rFonts w:cs="Arial"/>
          <w:i/>
          <w:szCs w:val="22"/>
        </w:rPr>
        <w:t>Salmonella</w:t>
      </w:r>
      <w:r w:rsidRPr="00E9555E">
        <w:rPr>
          <w:rFonts w:cs="Arial"/>
          <w:szCs w:val="22"/>
        </w:rPr>
        <w:t xml:space="preserve"> spp. were detected in</w:t>
      </w:r>
      <w:r w:rsidRPr="00E9555E">
        <w:rPr>
          <w:rFonts w:cs="Arial"/>
          <w:i/>
          <w:szCs w:val="22"/>
        </w:rPr>
        <w:t xml:space="preserve"> </w:t>
      </w:r>
      <w:r w:rsidRPr="00E9555E">
        <w:rPr>
          <w:rFonts w:cs="Arial"/>
          <w:szCs w:val="22"/>
        </w:rPr>
        <w:t xml:space="preserve">2% of cooked ham samples (n=53) and 11.1% of cured dried pork sausage samples (n=81) </w:t>
      </w:r>
      <w:r w:rsidRPr="00E9555E">
        <w:rPr>
          <w:rFonts w:cs="Arial"/>
          <w:noProof/>
          <w:szCs w:val="22"/>
        </w:rPr>
        <w:t>(Cabedo et al. 2008)</w:t>
      </w:r>
      <w:r w:rsidRPr="00E9555E">
        <w:rPr>
          <w:rFonts w:cs="Arial"/>
          <w:szCs w:val="22"/>
        </w:rPr>
        <w:t>.</w:t>
      </w:r>
    </w:p>
    <w:p w14:paraId="5EA94989" w14:textId="77777777" w:rsidR="00285EF0" w:rsidRPr="00E9555E" w:rsidRDefault="00285EF0" w:rsidP="00285EF0">
      <w:pPr>
        <w:rPr>
          <w:rFonts w:cs="Arial"/>
          <w:szCs w:val="22"/>
        </w:rPr>
      </w:pPr>
    </w:p>
    <w:p w14:paraId="1F76F898" w14:textId="77777777" w:rsidR="00285EF0" w:rsidRPr="00E9555E" w:rsidRDefault="00285EF0" w:rsidP="00285EF0">
      <w:pPr>
        <w:rPr>
          <w:rFonts w:cs="Arial"/>
          <w:szCs w:val="22"/>
        </w:rPr>
      </w:pPr>
      <w:r w:rsidRPr="00E9555E">
        <w:rPr>
          <w:rFonts w:cs="Arial"/>
          <w:szCs w:val="22"/>
        </w:rPr>
        <w:t xml:space="preserve">An Australian survey found 43.3% of chicken meat at retail (n=859) was positive for </w:t>
      </w:r>
      <w:r w:rsidRPr="00E9555E">
        <w:rPr>
          <w:rFonts w:cs="Arial"/>
          <w:i/>
          <w:szCs w:val="22"/>
        </w:rPr>
        <w:t xml:space="preserve">Salmonella </w:t>
      </w:r>
      <w:r w:rsidRPr="00E9555E">
        <w:rPr>
          <w:rFonts w:cs="Arial"/>
          <w:szCs w:val="22"/>
        </w:rPr>
        <w:t>spp</w:t>
      </w:r>
      <w:r w:rsidRPr="00E9555E">
        <w:rPr>
          <w:rFonts w:cs="Arial"/>
          <w:i/>
          <w:szCs w:val="22"/>
        </w:rPr>
        <w:t>.</w:t>
      </w:r>
      <w:r w:rsidRPr="00E9555E">
        <w:rPr>
          <w:rFonts w:cs="Arial"/>
          <w:szCs w:val="22"/>
        </w:rPr>
        <w:t xml:space="preserve"> The most prevalent serovar was </w:t>
      </w:r>
      <w:r w:rsidRPr="00E9555E">
        <w:rPr>
          <w:rFonts w:cs="Arial"/>
          <w:i/>
          <w:szCs w:val="22"/>
        </w:rPr>
        <w:t xml:space="preserve">S. </w:t>
      </w:r>
      <w:r w:rsidRPr="00E9555E">
        <w:rPr>
          <w:rFonts w:cs="Arial"/>
          <w:szCs w:val="22"/>
        </w:rPr>
        <w:t xml:space="preserve">Sofia, with 30.5% of chicken meat samples positive for this serovar </w:t>
      </w:r>
      <w:r w:rsidRPr="00E9555E">
        <w:rPr>
          <w:rFonts w:cs="Arial"/>
          <w:noProof/>
          <w:szCs w:val="22"/>
        </w:rPr>
        <w:t>(Pointon et al. 2008)</w:t>
      </w:r>
      <w:r w:rsidRPr="00E9555E">
        <w:rPr>
          <w:rFonts w:cs="Arial"/>
          <w:szCs w:val="22"/>
        </w:rPr>
        <w:t xml:space="preserve">. Although </w:t>
      </w:r>
      <w:r w:rsidRPr="00E9555E">
        <w:rPr>
          <w:rFonts w:cs="Arial"/>
          <w:i/>
          <w:szCs w:val="22"/>
        </w:rPr>
        <w:t xml:space="preserve">S. </w:t>
      </w:r>
      <w:r w:rsidRPr="00E9555E">
        <w:rPr>
          <w:rFonts w:cs="Arial"/>
          <w:szCs w:val="22"/>
        </w:rPr>
        <w:t>Sofia account</w:t>
      </w:r>
      <w:r>
        <w:rPr>
          <w:rFonts w:cs="Arial"/>
          <w:szCs w:val="22"/>
        </w:rPr>
        <w:t>ed</w:t>
      </w:r>
      <w:r w:rsidRPr="00E9555E">
        <w:rPr>
          <w:rFonts w:cs="Arial"/>
          <w:szCs w:val="22"/>
        </w:rPr>
        <w:t xml:space="preserve"> for a large proportion of </w:t>
      </w:r>
      <w:r>
        <w:rPr>
          <w:rFonts w:cs="Arial"/>
          <w:szCs w:val="22"/>
        </w:rPr>
        <w:t>isolates,</w:t>
      </w:r>
      <w:r w:rsidRPr="00E9555E">
        <w:rPr>
          <w:rFonts w:cs="Arial"/>
          <w:szCs w:val="22"/>
        </w:rPr>
        <w:t xml:space="preserve"> it appears to be a non-virulent serovar </w:t>
      </w:r>
      <w:r>
        <w:rPr>
          <w:rFonts w:cs="Arial"/>
          <w:szCs w:val="22"/>
        </w:rPr>
        <w:t>and has been</w:t>
      </w:r>
      <w:r w:rsidRPr="00E9555E">
        <w:rPr>
          <w:rFonts w:cs="Arial"/>
          <w:szCs w:val="22"/>
        </w:rPr>
        <w:t xml:space="preserve"> rarely associated with human or animal illness </w:t>
      </w:r>
      <w:r w:rsidRPr="00E9555E">
        <w:rPr>
          <w:rFonts w:cs="Arial"/>
          <w:noProof/>
          <w:szCs w:val="22"/>
        </w:rPr>
        <w:t>(Gan et al. 2011)</w:t>
      </w:r>
      <w:r w:rsidRPr="00E9555E">
        <w:rPr>
          <w:rFonts w:cs="Arial"/>
          <w:szCs w:val="22"/>
        </w:rPr>
        <w:t xml:space="preserve">. The predominance of </w:t>
      </w:r>
      <w:r w:rsidRPr="00E9555E">
        <w:rPr>
          <w:rFonts w:cs="Arial"/>
          <w:i/>
          <w:szCs w:val="22"/>
        </w:rPr>
        <w:t xml:space="preserve">S. </w:t>
      </w:r>
      <w:r w:rsidRPr="00E9555E">
        <w:rPr>
          <w:rFonts w:cs="Arial"/>
          <w:szCs w:val="22"/>
        </w:rPr>
        <w:t xml:space="preserve">Sofia in poultry is </w:t>
      </w:r>
      <w:r>
        <w:rPr>
          <w:rFonts w:cs="Arial"/>
          <w:szCs w:val="22"/>
        </w:rPr>
        <w:t>unique to Australia</w:t>
      </w:r>
      <w:r w:rsidRPr="00E9555E">
        <w:rPr>
          <w:rFonts w:cs="Arial"/>
          <w:szCs w:val="22"/>
        </w:rPr>
        <w:t xml:space="preserve"> as </w:t>
      </w:r>
      <w:r w:rsidRPr="00E9555E">
        <w:rPr>
          <w:rFonts w:cs="Arial"/>
          <w:i/>
          <w:szCs w:val="22"/>
        </w:rPr>
        <w:t xml:space="preserve">S. </w:t>
      </w:r>
      <w:r w:rsidRPr="00E9555E">
        <w:rPr>
          <w:rFonts w:cs="Arial"/>
          <w:szCs w:val="22"/>
        </w:rPr>
        <w:t xml:space="preserve">Sofia is essentially geographically isolated to Australia </w:t>
      </w:r>
      <w:r w:rsidRPr="00E9555E">
        <w:rPr>
          <w:rFonts w:cs="Arial"/>
          <w:noProof/>
          <w:szCs w:val="22"/>
        </w:rPr>
        <w:t>(Mellor et al. 2010)</w:t>
      </w:r>
      <w:r w:rsidRPr="00E9555E">
        <w:rPr>
          <w:rFonts w:cs="Arial"/>
          <w:szCs w:val="22"/>
        </w:rPr>
        <w:t>.</w:t>
      </w:r>
    </w:p>
    <w:p w14:paraId="322BA14F" w14:textId="77777777" w:rsidR="00285EF0" w:rsidRPr="00E9555E" w:rsidRDefault="00285EF0" w:rsidP="00285EF0">
      <w:pPr>
        <w:rPr>
          <w:rFonts w:cs="Arial"/>
          <w:szCs w:val="22"/>
        </w:rPr>
      </w:pPr>
    </w:p>
    <w:p w14:paraId="4ED80F1E" w14:textId="77777777" w:rsidR="00285EF0" w:rsidRPr="00E31655" w:rsidRDefault="00285EF0" w:rsidP="00285EF0">
      <w:pPr>
        <w:rPr>
          <w:rFonts w:cs="Arial"/>
          <w:szCs w:val="22"/>
        </w:rPr>
      </w:pPr>
      <w:r w:rsidRPr="00E9555E">
        <w:rPr>
          <w:rFonts w:cs="Arial"/>
          <w:i/>
          <w:iCs/>
          <w:szCs w:val="22"/>
        </w:rPr>
        <w:t>S</w:t>
      </w:r>
      <w:r w:rsidRPr="00E9555E">
        <w:rPr>
          <w:rFonts w:cs="Arial"/>
          <w:iCs/>
          <w:szCs w:val="22"/>
        </w:rPr>
        <w:t xml:space="preserve">. </w:t>
      </w:r>
      <w:r w:rsidRPr="00E9555E">
        <w:rPr>
          <w:rFonts w:cs="Arial"/>
          <w:szCs w:val="22"/>
        </w:rPr>
        <w:t xml:space="preserve">Enteritidis (in particular phage type 4) is a globally important </w:t>
      </w:r>
      <w:r w:rsidRPr="00E9555E">
        <w:rPr>
          <w:rFonts w:cs="Arial"/>
          <w:i/>
          <w:iCs/>
          <w:szCs w:val="22"/>
        </w:rPr>
        <w:t>Salmonella</w:t>
      </w:r>
      <w:r w:rsidRPr="00E9555E">
        <w:rPr>
          <w:rFonts w:cs="Arial"/>
          <w:iCs/>
          <w:szCs w:val="22"/>
        </w:rPr>
        <w:t xml:space="preserve"> </w:t>
      </w:r>
      <w:r w:rsidRPr="00E9555E">
        <w:rPr>
          <w:rFonts w:cs="Arial"/>
          <w:szCs w:val="22"/>
        </w:rPr>
        <w:t>serotype that can infect the reproductive tract of poultry and contaminate the internal contents of eggs</w:t>
      </w:r>
      <w:r>
        <w:rPr>
          <w:rFonts w:cs="Arial"/>
          <w:szCs w:val="22"/>
        </w:rPr>
        <w:t>.</w:t>
      </w:r>
      <w:r w:rsidRPr="00E9555E">
        <w:rPr>
          <w:rFonts w:cs="Arial"/>
          <w:szCs w:val="22"/>
        </w:rPr>
        <w:t xml:space="preserve"> </w:t>
      </w:r>
      <w:r>
        <w:rPr>
          <w:rFonts w:cs="Arial"/>
          <w:szCs w:val="22"/>
        </w:rPr>
        <w:t>H</w:t>
      </w:r>
      <w:r w:rsidRPr="00E9555E">
        <w:rPr>
          <w:rFonts w:cs="Arial"/>
          <w:szCs w:val="22"/>
        </w:rPr>
        <w:t xml:space="preserve">owever, it is not endemic in Australian egg layer flocks </w:t>
      </w:r>
      <w:r w:rsidRPr="00E9555E">
        <w:rPr>
          <w:rFonts w:cs="Arial"/>
          <w:noProof/>
          <w:szCs w:val="22"/>
        </w:rPr>
        <w:t>(FSANZ 2009b)</w:t>
      </w:r>
      <w:r>
        <w:rPr>
          <w:rFonts w:cs="Arial"/>
          <w:szCs w:val="22"/>
        </w:rPr>
        <w:t>.</w:t>
      </w:r>
    </w:p>
    <w:p w14:paraId="51C8CD4F" w14:textId="77777777" w:rsidR="00285EF0" w:rsidRPr="00E9555E" w:rsidRDefault="00285EF0" w:rsidP="00787E56">
      <w:pPr>
        <w:pStyle w:val="Heading3"/>
      </w:pPr>
      <w:bookmarkStart w:id="1249" w:name="_Toc66881474"/>
      <w:bookmarkStart w:id="1250" w:name="_Toc66883100"/>
      <w:bookmarkStart w:id="1251" w:name="_Toc87614500"/>
      <w:bookmarkStart w:id="1252" w:name="_Toc87860139"/>
      <w:r w:rsidRPr="00807167">
        <w:t>Host factors that influence disease</w:t>
      </w:r>
      <w:bookmarkEnd w:id="1249"/>
      <w:bookmarkEnd w:id="1250"/>
      <w:bookmarkEnd w:id="1251"/>
      <w:bookmarkEnd w:id="1252"/>
    </w:p>
    <w:p w14:paraId="1F79409E" w14:textId="77777777" w:rsidR="00285EF0" w:rsidRPr="00E9555E" w:rsidRDefault="00285EF0" w:rsidP="00285EF0">
      <w:pPr>
        <w:rPr>
          <w:rFonts w:cs="Arial"/>
          <w:szCs w:val="22"/>
        </w:rPr>
      </w:pPr>
      <w:r w:rsidRPr="00E9555E">
        <w:rPr>
          <w:rFonts w:cs="Arial"/>
          <w:szCs w:val="22"/>
        </w:rPr>
        <w:t xml:space="preserve">People of all ages are susceptible to </w:t>
      </w:r>
      <w:r w:rsidRPr="00E9555E">
        <w:rPr>
          <w:rFonts w:cs="Arial"/>
          <w:i/>
          <w:szCs w:val="22"/>
        </w:rPr>
        <w:t>Salmonella</w:t>
      </w:r>
      <w:r w:rsidRPr="00E9555E">
        <w:rPr>
          <w:rFonts w:cs="Arial"/>
          <w:szCs w:val="22"/>
        </w:rPr>
        <w:t xml:space="preserve"> spp. infection. However, the elderly, infants and immunocompromised individuals are at a greater risk of infection and generally have more severe symptoms</w:t>
      </w:r>
      <w:r>
        <w:rPr>
          <w:rFonts w:cs="Arial"/>
          <w:szCs w:val="22"/>
        </w:rPr>
        <w:t xml:space="preserve"> </w:t>
      </w:r>
      <w:r>
        <w:rPr>
          <w:rFonts w:cs="Arial"/>
          <w:noProof/>
          <w:szCs w:val="22"/>
        </w:rPr>
        <w:t>(Jay et al. 2003; FDA 2012)</w:t>
      </w:r>
      <w:r>
        <w:rPr>
          <w:rFonts w:cs="Arial"/>
          <w:szCs w:val="22"/>
        </w:rPr>
        <w:t>.</w:t>
      </w:r>
    </w:p>
    <w:p w14:paraId="09B0BCFA" w14:textId="77777777" w:rsidR="00285EF0" w:rsidRPr="00E9555E" w:rsidRDefault="00285EF0" w:rsidP="00787E56">
      <w:pPr>
        <w:pStyle w:val="Heading3"/>
      </w:pPr>
      <w:bookmarkStart w:id="1253" w:name="_Toc85613216"/>
      <w:bookmarkStart w:id="1254" w:name="_Toc98909594"/>
      <w:bookmarkStart w:id="1255" w:name="_Toc123010684"/>
      <w:bookmarkStart w:id="1256" w:name="_Toc66881475"/>
      <w:bookmarkStart w:id="1257" w:name="_Toc66883101"/>
      <w:bookmarkStart w:id="1258" w:name="_Toc87614501"/>
      <w:bookmarkStart w:id="1259" w:name="_Toc87860140"/>
      <w:bookmarkStart w:id="1260" w:name="_Toc85613215"/>
      <w:bookmarkStart w:id="1261" w:name="_Toc98909593"/>
      <w:r w:rsidRPr="00807167">
        <w:t>Dose response</w:t>
      </w:r>
      <w:bookmarkEnd w:id="1253"/>
      <w:bookmarkEnd w:id="1254"/>
      <w:bookmarkEnd w:id="1255"/>
      <w:bookmarkEnd w:id="1256"/>
      <w:bookmarkEnd w:id="1257"/>
      <w:bookmarkEnd w:id="1258"/>
      <w:bookmarkEnd w:id="1259"/>
    </w:p>
    <w:p w14:paraId="5C4E728C" w14:textId="77777777" w:rsidR="00285EF0" w:rsidRPr="00E9555E" w:rsidRDefault="00285EF0" w:rsidP="00285EF0">
      <w:pPr>
        <w:rPr>
          <w:rFonts w:cs="Arial"/>
          <w:szCs w:val="22"/>
        </w:rPr>
      </w:pPr>
      <w:r w:rsidRPr="00E9555E">
        <w:rPr>
          <w:rFonts w:cs="Arial"/>
          <w:szCs w:val="22"/>
        </w:rPr>
        <w:t xml:space="preserve">Human feeding trials were undertaken during the 1950s to determine the relationship between the dose of </w:t>
      </w:r>
      <w:r w:rsidRPr="00E9555E">
        <w:rPr>
          <w:rFonts w:cs="Arial"/>
          <w:i/>
          <w:szCs w:val="22"/>
        </w:rPr>
        <w:t xml:space="preserve">Salmonella </w:t>
      </w:r>
      <w:r w:rsidRPr="00E9555E">
        <w:rPr>
          <w:rFonts w:cs="Arial"/>
          <w:szCs w:val="22"/>
        </w:rPr>
        <w:t xml:space="preserve">spp. ingested and </w:t>
      </w:r>
      <w:r>
        <w:rPr>
          <w:rFonts w:cs="Arial"/>
          <w:szCs w:val="22"/>
        </w:rPr>
        <w:t xml:space="preserve">whether </w:t>
      </w:r>
      <w:r w:rsidRPr="00E9555E">
        <w:rPr>
          <w:rFonts w:cs="Arial"/>
          <w:szCs w:val="22"/>
        </w:rPr>
        <w:t>illness</w:t>
      </w:r>
      <w:r>
        <w:rPr>
          <w:rFonts w:cs="Arial"/>
          <w:szCs w:val="22"/>
        </w:rPr>
        <w:t xml:space="preserve"> occurred</w:t>
      </w:r>
      <w:r w:rsidRPr="00E9555E">
        <w:rPr>
          <w:rFonts w:cs="Arial"/>
          <w:szCs w:val="22"/>
        </w:rPr>
        <w:t xml:space="preserve">. These studies showed that ingestion of </w:t>
      </w:r>
      <w:r>
        <w:rPr>
          <w:rFonts w:cs="Arial"/>
          <w:szCs w:val="22"/>
        </w:rPr>
        <w:t xml:space="preserve">1.3 x </w:t>
      </w:r>
      <w:r w:rsidRPr="00E9555E">
        <w:rPr>
          <w:rFonts w:cs="Arial"/>
          <w:szCs w:val="22"/>
        </w:rPr>
        <w:t>10</w:t>
      </w:r>
      <w:r w:rsidRPr="00E9555E">
        <w:rPr>
          <w:rFonts w:cs="Arial"/>
          <w:szCs w:val="22"/>
          <w:vertAlign w:val="superscript"/>
        </w:rPr>
        <w:t>5</w:t>
      </w:r>
      <w:r>
        <w:rPr>
          <w:rFonts w:cs="Arial"/>
          <w:szCs w:val="22"/>
        </w:rPr>
        <w:t xml:space="preserve"> </w:t>
      </w:r>
      <w:r w:rsidRPr="00E9555E">
        <w:rPr>
          <w:rFonts w:cs="Arial"/>
          <w:szCs w:val="22"/>
        </w:rPr>
        <w:t>–</w:t>
      </w:r>
      <w:r>
        <w:rPr>
          <w:rFonts w:cs="Arial"/>
          <w:szCs w:val="22"/>
        </w:rPr>
        <w:t xml:space="preserve"> 2.4 x </w:t>
      </w:r>
      <w:r w:rsidRPr="000749BB">
        <w:rPr>
          <w:rFonts w:cs="Arial"/>
          <w:szCs w:val="22"/>
        </w:rPr>
        <w:t>10</w:t>
      </w:r>
      <w:r w:rsidRPr="000749BB">
        <w:rPr>
          <w:rFonts w:cs="Arial"/>
          <w:szCs w:val="22"/>
          <w:vertAlign w:val="superscript"/>
        </w:rPr>
        <w:t>7</w:t>
      </w:r>
      <w:r>
        <w:rPr>
          <w:rFonts w:cs="Arial"/>
          <w:szCs w:val="22"/>
        </w:rPr>
        <w:t xml:space="preserve"> </w:t>
      </w:r>
      <w:r w:rsidRPr="000749BB">
        <w:rPr>
          <w:rFonts w:cs="Arial"/>
          <w:szCs w:val="22"/>
        </w:rPr>
        <w:t>organisms</w:t>
      </w:r>
      <w:r w:rsidRPr="00E9555E">
        <w:rPr>
          <w:rFonts w:cs="Arial"/>
          <w:szCs w:val="22"/>
        </w:rPr>
        <w:t xml:space="preserve"> </w:t>
      </w:r>
      <w:r>
        <w:rPr>
          <w:rFonts w:cs="Arial"/>
          <w:szCs w:val="22"/>
        </w:rPr>
        <w:t xml:space="preserve">could </w:t>
      </w:r>
      <w:r w:rsidRPr="00E9555E">
        <w:rPr>
          <w:rFonts w:cs="Arial"/>
          <w:szCs w:val="22"/>
        </w:rPr>
        <w:t xml:space="preserve">cause </w:t>
      </w:r>
      <w:r>
        <w:rPr>
          <w:rFonts w:cs="Arial"/>
          <w:szCs w:val="22"/>
        </w:rPr>
        <w:t xml:space="preserve">illness; however, for some strains 1 x </w:t>
      </w:r>
      <w:r w:rsidRPr="00E9555E">
        <w:rPr>
          <w:rFonts w:cs="Arial"/>
          <w:szCs w:val="22"/>
        </w:rPr>
        <w:t>10</w:t>
      </w:r>
      <w:r w:rsidRPr="00E9555E">
        <w:rPr>
          <w:rFonts w:cs="Arial"/>
          <w:szCs w:val="22"/>
          <w:vertAlign w:val="superscript"/>
        </w:rPr>
        <w:t>10</w:t>
      </w:r>
      <w:r w:rsidRPr="00E9555E">
        <w:rPr>
          <w:rFonts w:cs="Arial"/>
          <w:szCs w:val="22"/>
        </w:rPr>
        <w:t xml:space="preserve"> </w:t>
      </w:r>
      <w:r>
        <w:rPr>
          <w:rFonts w:cs="Arial"/>
          <w:szCs w:val="22"/>
        </w:rPr>
        <w:t xml:space="preserve">organisms were required for illness to occur </w:t>
      </w:r>
      <w:r w:rsidRPr="00E9555E">
        <w:rPr>
          <w:rFonts w:cs="Arial"/>
          <w:noProof/>
          <w:szCs w:val="22"/>
        </w:rPr>
        <w:t>(McCullough and Eisele 1951a; McCullough and Eisele 1951b; McCullough and Eisele 1951c; McCullough and Eisele 1951d)</w:t>
      </w:r>
      <w:r w:rsidRPr="00E9555E">
        <w:rPr>
          <w:rFonts w:cs="Arial"/>
          <w:szCs w:val="22"/>
        </w:rPr>
        <w:t xml:space="preserve">. However, there are a number of limitations on the use of this feeding trial data. Firstly, the volunteers selected were all healthy adult males, so the results may underestimate the risk to the overall population. Secondly, low doses which are more likely to exist in real food contamination events were not considered </w:t>
      </w:r>
      <w:r w:rsidRPr="00E9555E">
        <w:rPr>
          <w:rFonts w:cs="Arial"/>
          <w:noProof/>
          <w:szCs w:val="22"/>
        </w:rPr>
        <w:t>(Kothary and Babu 2001; Bollaerts et al. 2008)</w:t>
      </w:r>
      <w:r w:rsidRPr="00E9555E">
        <w:rPr>
          <w:rFonts w:cs="Arial"/>
          <w:szCs w:val="22"/>
        </w:rPr>
        <w:t>. Investigation</w:t>
      </w:r>
      <w:r>
        <w:rPr>
          <w:rFonts w:cs="Arial"/>
          <w:szCs w:val="22"/>
        </w:rPr>
        <w:t>s</w:t>
      </w:r>
      <w:r w:rsidRPr="00E9555E">
        <w:rPr>
          <w:rFonts w:cs="Arial"/>
          <w:szCs w:val="22"/>
        </w:rPr>
        <w:t xml:space="preserve"> of salmonellosis outbreaks ha</w:t>
      </w:r>
      <w:r>
        <w:rPr>
          <w:rFonts w:cs="Arial"/>
          <w:szCs w:val="22"/>
        </w:rPr>
        <w:t>ve</w:t>
      </w:r>
      <w:r w:rsidRPr="00E9555E">
        <w:rPr>
          <w:rFonts w:cs="Arial"/>
          <w:szCs w:val="22"/>
        </w:rPr>
        <w:t xml:space="preserve"> estimated </w:t>
      </w:r>
      <w:r>
        <w:rPr>
          <w:rFonts w:cs="Arial"/>
          <w:szCs w:val="22"/>
        </w:rPr>
        <w:t xml:space="preserve">a wide range in the </w:t>
      </w:r>
      <w:r w:rsidRPr="00E9555E">
        <w:rPr>
          <w:rFonts w:cs="Arial"/>
          <w:szCs w:val="22"/>
        </w:rPr>
        <w:t xml:space="preserve">dose of organisms </w:t>
      </w:r>
      <w:r>
        <w:rPr>
          <w:rFonts w:cs="Arial"/>
          <w:szCs w:val="22"/>
        </w:rPr>
        <w:t xml:space="preserve">that has caused disease. Ranges reported vary from </w:t>
      </w:r>
      <w:r w:rsidRPr="00E9555E">
        <w:rPr>
          <w:rFonts w:cs="Arial"/>
          <w:szCs w:val="22"/>
        </w:rPr>
        <w:t>&lt;10</w:t>
      </w:r>
      <w:r>
        <w:rPr>
          <w:rFonts w:cs="Arial"/>
          <w:szCs w:val="22"/>
        </w:rPr>
        <w:t xml:space="preserve"> to </w:t>
      </w:r>
      <w:r w:rsidRPr="00E9555E">
        <w:rPr>
          <w:rFonts w:cs="Arial"/>
          <w:szCs w:val="22"/>
        </w:rPr>
        <w:t>10</w:t>
      </w:r>
      <w:r w:rsidRPr="00E9555E">
        <w:rPr>
          <w:rFonts w:cs="Arial"/>
          <w:szCs w:val="22"/>
          <w:vertAlign w:val="superscript"/>
        </w:rPr>
        <w:t>9</w:t>
      </w:r>
      <w:r w:rsidRPr="00E9555E">
        <w:rPr>
          <w:rFonts w:cs="Arial"/>
          <w:szCs w:val="22"/>
        </w:rPr>
        <w:t xml:space="preserve"> depending on the food</w:t>
      </w:r>
      <w:r>
        <w:rPr>
          <w:rFonts w:cs="Arial"/>
          <w:szCs w:val="22"/>
        </w:rPr>
        <w:t>. A</w:t>
      </w:r>
      <w:r w:rsidRPr="00E9555E">
        <w:rPr>
          <w:rFonts w:cs="Arial"/>
          <w:szCs w:val="22"/>
        </w:rPr>
        <w:t xml:space="preserve">s such, doses resulting in illness may be much lower than those reported in the feeding trials </w:t>
      </w:r>
      <w:r w:rsidRPr="00E9555E">
        <w:rPr>
          <w:rFonts w:cs="Arial"/>
          <w:noProof/>
          <w:szCs w:val="22"/>
        </w:rPr>
        <w:t>(Todd et al. 2008)</w:t>
      </w:r>
      <w:r w:rsidRPr="00E9555E">
        <w:rPr>
          <w:rFonts w:cs="Arial"/>
          <w:szCs w:val="22"/>
        </w:rPr>
        <w:t xml:space="preserve">. The WHO/FAO </w:t>
      </w:r>
      <w:r w:rsidRPr="00E9555E">
        <w:rPr>
          <w:rFonts w:cs="Arial"/>
          <w:noProof/>
          <w:szCs w:val="22"/>
        </w:rPr>
        <w:t>(2002)</w:t>
      </w:r>
      <w:r w:rsidRPr="00E9555E">
        <w:rPr>
          <w:rFonts w:cs="Arial"/>
          <w:szCs w:val="22"/>
        </w:rPr>
        <w:t xml:space="preserve"> developed a dose-response model based on outbreak data </w:t>
      </w:r>
      <w:r>
        <w:rPr>
          <w:rFonts w:cs="Arial"/>
          <w:szCs w:val="22"/>
        </w:rPr>
        <w:t>and estimated a 13%</w:t>
      </w:r>
      <w:r w:rsidRPr="00E9555E">
        <w:rPr>
          <w:rFonts w:cs="Arial"/>
          <w:szCs w:val="22"/>
        </w:rPr>
        <w:t xml:space="preserve"> probability </w:t>
      </w:r>
      <w:r>
        <w:rPr>
          <w:rFonts w:cs="Arial"/>
          <w:szCs w:val="22"/>
        </w:rPr>
        <w:t>of</w:t>
      </w:r>
      <w:r w:rsidRPr="00C70CC5">
        <w:rPr>
          <w:rFonts w:cs="Arial"/>
          <w:color w:val="000000"/>
          <w:szCs w:val="22"/>
        </w:rPr>
        <w:t xml:space="preserve"> </w:t>
      </w:r>
      <w:r>
        <w:rPr>
          <w:rFonts w:cs="Arial"/>
          <w:szCs w:val="22"/>
        </w:rPr>
        <w:t>illness from consumption of</w:t>
      </w:r>
      <w:r w:rsidRPr="00E9555E">
        <w:rPr>
          <w:rFonts w:cs="Arial"/>
          <w:szCs w:val="22"/>
        </w:rPr>
        <w:t xml:space="preserve"> 100 </w:t>
      </w:r>
      <w:r w:rsidRPr="000749BB">
        <w:rPr>
          <w:rFonts w:cs="Arial"/>
          <w:i/>
          <w:szCs w:val="22"/>
        </w:rPr>
        <w:t>Salmonella</w:t>
      </w:r>
      <w:r>
        <w:rPr>
          <w:rFonts w:cs="Arial"/>
          <w:szCs w:val="22"/>
        </w:rPr>
        <w:t xml:space="preserve"> </w:t>
      </w:r>
      <w:r w:rsidRPr="00E9555E">
        <w:rPr>
          <w:rFonts w:cs="Arial"/>
          <w:szCs w:val="22"/>
        </w:rPr>
        <w:t xml:space="preserve">organisms. </w:t>
      </w:r>
      <w:bookmarkStart w:id="1262" w:name="_Toc123010686"/>
      <w:bookmarkEnd w:id="1260"/>
      <w:bookmarkEnd w:id="1261"/>
    </w:p>
    <w:p w14:paraId="3452B726" w14:textId="77777777" w:rsidR="001B4D3A" w:rsidRPr="00145A61" w:rsidRDefault="00285EF0" w:rsidP="00787E56">
      <w:pPr>
        <w:pStyle w:val="Heading3"/>
      </w:pPr>
      <w:bookmarkStart w:id="1263" w:name="_Toc66881476"/>
      <w:bookmarkStart w:id="1264" w:name="_Toc66883102"/>
      <w:bookmarkStart w:id="1265" w:name="_Toc87614502"/>
      <w:bookmarkStart w:id="1266" w:name="_Toc87860141"/>
      <w:r w:rsidRPr="00807167">
        <w:t>References</w:t>
      </w:r>
      <w:bookmarkEnd w:id="1262"/>
      <w:bookmarkEnd w:id="1263"/>
      <w:bookmarkEnd w:id="1264"/>
      <w:bookmarkEnd w:id="1265"/>
      <w:bookmarkEnd w:id="1266"/>
    </w:p>
    <w:p w14:paraId="71B8DC03" w14:textId="3E5A96A9" w:rsidR="00285EF0" w:rsidRPr="001B4D3A" w:rsidRDefault="00285EF0" w:rsidP="001B4D3A">
      <w:pPr>
        <w:spacing w:after="120"/>
        <w:rPr>
          <w:noProof/>
          <w:sz w:val="20"/>
          <w:szCs w:val="20"/>
        </w:rPr>
      </w:pPr>
      <w:r w:rsidRPr="001B4D3A">
        <w:rPr>
          <w:noProof/>
          <w:sz w:val="20"/>
          <w:szCs w:val="20"/>
        </w:rPr>
        <w:t>Banerjee M, Sarkar PK (2004) Antibiotic resistance and susceptibility to some food preservative measures of spoilage and pathogenic micro-organisms from spices. Food Microbiology 21:335–342</w:t>
      </w:r>
    </w:p>
    <w:p w14:paraId="5BDD40F2" w14:textId="7870B005"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Bell C, Kyriakides A (2002) </w:t>
      </w:r>
      <w:r w:rsidRPr="00AF7526">
        <w:rPr>
          <w:rFonts w:cs="Arial"/>
          <w:i/>
          <w:noProof/>
          <w:sz w:val="20"/>
          <w:szCs w:val="20"/>
        </w:rPr>
        <w:t>Salmonella</w:t>
      </w:r>
      <w:r w:rsidRPr="00AF7526">
        <w:rPr>
          <w:rFonts w:cs="Arial"/>
          <w:noProof/>
          <w:sz w:val="20"/>
          <w:szCs w:val="20"/>
        </w:rPr>
        <w:t>: A practical approach to the orga</w:t>
      </w:r>
      <w:r w:rsidR="006B32C8">
        <w:rPr>
          <w:rFonts w:cs="Arial"/>
          <w:noProof/>
          <w:sz w:val="20"/>
          <w:szCs w:val="20"/>
        </w:rPr>
        <w:t xml:space="preserve">nism and its control in foods. </w:t>
      </w:r>
      <w:r w:rsidRPr="00AF7526">
        <w:rPr>
          <w:rFonts w:cs="Arial"/>
          <w:noProof/>
          <w:sz w:val="20"/>
          <w:szCs w:val="20"/>
        </w:rPr>
        <w:t>Blackwell Science, Oxford</w:t>
      </w:r>
    </w:p>
    <w:p w14:paraId="52116672"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Bollaerts K, Aerts M, Faes C, Grijspeerdt K, Dewulf J, Mintiens K (2008) Human salmonellosis: Estimation of dose-illness from outbreak data. Risk Analysis 28(2):427–440</w:t>
      </w:r>
    </w:p>
    <w:p w14:paraId="0093F7CA"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Boughton C, Leonard FC, Egan J, Kelly G, O'Mahony P, Markey BK, Griffin M (2004) Prevalence and number of </w:t>
      </w:r>
      <w:r w:rsidRPr="00AF7526">
        <w:rPr>
          <w:rFonts w:cs="Arial"/>
          <w:i/>
          <w:noProof/>
          <w:sz w:val="20"/>
          <w:szCs w:val="20"/>
        </w:rPr>
        <w:t xml:space="preserve">Salmonella </w:t>
      </w:r>
      <w:r w:rsidRPr="00AF7526">
        <w:rPr>
          <w:rFonts w:cs="Arial"/>
          <w:noProof/>
          <w:sz w:val="20"/>
          <w:szCs w:val="20"/>
        </w:rPr>
        <w:t>in Irish pork sausages. Journal of Food Protection 67(9):1834–1839</w:t>
      </w:r>
    </w:p>
    <w:p w14:paraId="4795A1BA"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Bryan FL, Doyle MP (1995) Health risks and consequence of </w:t>
      </w:r>
      <w:r w:rsidRPr="00AF7526">
        <w:rPr>
          <w:rFonts w:cs="Arial"/>
          <w:i/>
          <w:noProof/>
          <w:sz w:val="20"/>
          <w:szCs w:val="20"/>
        </w:rPr>
        <w:t>Salmonella</w:t>
      </w:r>
      <w:r w:rsidRPr="00AF7526">
        <w:rPr>
          <w:rFonts w:cs="Arial"/>
          <w:noProof/>
          <w:sz w:val="20"/>
          <w:szCs w:val="20"/>
        </w:rPr>
        <w:t xml:space="preserve"> and </w:t>
      </w:r>
      <w:r w:rsidRPr="00AF7526">
        <w:rPr>
          <w:rFonts w:cs="Arial"/>
          <w:i/>
          <w:noProof/>
          <w:sz w:val="20"/>
          <w:szCs w:val="20"/>
        </w:rPr>
        <w:t>Campylobacter jejuni</w:t>
      </w:r>
      <w:r w:rsidRPr="00AF7526">
        <w:rPr>
          <w:rFonts w:cs="Arial"/>
          <w:noProof/>
          <w:sz w:val="20"/>
          <w:szCs w:val="20"/>
        </w:rPr>
        <w:t xml:space="preserve"> in raw poultry. Journal of Food Protection 58(3):326–344</w:t>
      </w:r>
    </w:p>
    <w:p w14:paraId="526A2FE4"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Cabedo L, Barrot LPI, Canelles ATI (2008) Prevalence of </w:t>
      </w:r>
      <w:r w:rsidRPr="00AF7526">
        <w:rPr>
          <w:rFonts w:cs="Arial"/>
          <w:i/>
          <w:noProof/>
          <w:sz w:val="20"/>
          <w:szCs w:val="20"/>
        </w:rPr>
        <w:t>Listeria monocytogenes</w:t>
      </w:r>
      <w:r w:rsidRPr="00AF7526">
        <w:rPr>
          <w:rFonts w:cs="Arial"/>
          <w:noProof/>
          <w:sz w:val="20"/>
          <w:szCs w:val="20"/>
        </w:rPr>
        <w:t xml:space="preserve"> and </w:t>
      </w:r>
      <w:r w:rsidRPr="00AF7526">
        <w:rPr>
          <w:rFonts w:cs="Arial"/>
          <w:i/>
          <w:noProof/>
          <w:sz w:val="20"/>
          <w:szCs w:val="20"/>
        </w:rPr>
        <w:t>Salmonella</w:t>
      </w:r>
      <w:r w:rsidRPr="00AF7526">
        <w:rPr>
          <w:rFonts w:cs="Arial"/>
          <w:noProof/>
          <w:sz w:val="20"/>
          <w:szCs w:val="20"/>
        </w:rPr>
        <w:t xml:space="preserve"> in ready-to-eat food in Catalonia, Spain. Journal of Food Protection 71(4):855–859</w:t>
      </w:r>
    </w:p>
    <w:p w14:paraId="4EBC2288" w14:textId="77777777" w:rsidR="00285EF0" w:rsidRPr="00E31655" w:rsidRDefault="00285EF0" w:rsidP="00285EF0">
      <w:pPr>
        <w:tabs>
          <w:tab w:val="left" w:pos="0"/>
        </w:tabs>
        <w:spacing w:after="120"/>
        <w:rPr>
          <w:rFonts w:cs="Arial"/>
          <w:noProof/>
          <w:sz w:val="20"/>
          <w:szCs w:val="20"/>
        </w:rPr>
      </w:pPr>
      <w:r w:rsidRPr="00AF7526">
        <w:rPr>
          <w:rFonts w:cs="Arial"/>
          <w:noProof/>
          <w:sz w:val="20"/>
          <w:szCs w:val="20"/>
        </w:rPr>
        <w:t xml:space="preserve">CDC (2010) Investigation update: Multistate outbreak of human </w:t>
      </w:r>
      <w:r w:rsidRPr="00AF7526">
        <w:rPr>
          <w:rFonts w:cs="Arial"/>
          <w:i/>
          <w:noProof/>
          <w:sz w:val="20"/>
          <w:szCs w:val="20"/>
        </w:rPr>
        <w:t>Salmonella</w:t>
      </w:r>
      <w:r>
        <w:rPr>
          <w:rFonts w:cs="Arial"/>
          <w:noProof/>
          <w:sz w:val="20"/>
          <w:szCs w:val="20"/>
        </w:rPr>
        <w:t xml:space="preserve"> Montevideo infections. </w:t>
      </w:r>
      <w:hyperlink r:id="rId570" w:history="1">
        <w:r w:rsidRPr="00AF7526">
          <w:rPr>
            <w:rStyle w:val="Hyperlink"/>
            <w:rFonts w:cs="Arial"/>
            <w:noProof/>
            <w:color w:val="0000FF"/>
            <w:sz w:val="20"/>
            <w:szCs w:val="20"/>
          </w:rPr>
          <w:t>http://www.cdc.gov/salmonella/montevideo/</w:t>
        </w:r>
      </w:hyperlink>
      <w:r w:rsidRPr="00AF7526">
        <w:rPr>
          <w:rFonts w:cs="Arial"/>
          <w:noProof/>
          <w:sz w:val="20"/>
          <w:szCs w:val="20"/>
        </w:rPr>
        <w:t>. Accessed 14 May 2010</w:t>
      </w:r>
    </w:p>
    <w:p w14:paraId="22859A0B"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CDC (2012) Summary of notifiable diseases - United States, 2010. Morbidity and Mortality Weekly Report 59(53):1–111</w:t>
      </w:r>
    </w:p>
    <w:p w14:paraId="7A735B47"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Crum-Cianflone NF (2008) Salmonellosis and the GI tract: More than just peanut butter. Current Gastroenterology Reports 10(4):424–431</w:t>
      </w:r>
    </w:p>
    <w:p w14:paraId="3681B758"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Darby J, Sheorey H (2008) Searching for </w:t>
      </w:r>
      <w:r w:rsidRPr="00AF7526">
        <w:rPr>
          <w:rFonts w:cs="Arial"/>
          <w:i/>
          <w:noProof/>
          <w:sz w:val="20"/>
          <w:szCs w:val="20"/>
        </w:rPr>
        <w:t>Salmonella</w:t>
      </w:r>
      <w:r w:rsidRPr="00AF7526">
        <w:rPr>
          <w:rFonts w:cs="Arial"/>
          <w:noProof/>
          <w:sz w:val="20"/>
          <w:szCs w:val="20"/>
        </w:rPr>
        <w:t>. Australian Family Physician 37(10):806–810</w:t>
      </w:r>
    </w:p>
    <w:p w14:paraId="29636AE2"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EFSA (2013) The European Union summary report on trends and sources of zoonoses, zoonotic agents and foodborne outbreaks in 2011. EFSA Journal 11(4):3129</w:t>
      </w:r>
    </w:p>
    <w:p w14:paraId="6608379E" w14:textId="49535D7A" w:rsidR="00285EF0" w:rsidRPr="00E31655" w:rsidRDefault="00285EF0" w:rsidP="00285EF0">
      <w:pPr>
        <w:tabs>
          <w:tab w:val="left" w:pos="0"/>
        </w:tabs>
        <w:spacing w:after="120"/>
        <w:rPr>
          <w:rFonts w:cs="Arial"/>
          <w:noProof/>
          <w:sz w:val="20"/>
          <w:szCs w:val="20"/>
        </w:rPr>
      </w:pPr>
      <w:r w:rsidRPr="00AF7526">
        <w:rPr>
          <w:rFonts w:cs="Arial"/>
          <w:noProof/>
          <w:sz w:val="20"/>
          <w:szCs w:val="20"/>
        </w:rPr>
        <w:t>FDA (2012) Bad bug book: Foodborne pathogenic microorganisms a</w:t>
      </w:r>
      <w:r w:rsidR="007C4D68">
        <w:rPr>
          <w:rFonts w:cs="Arial"/>
          <w:noProof/>
          <w:sz w:val="20"/>
          <w:szCs w:val="20"/>
        </w:rPr>
        <w:t>nd natural toxins handbook, 2</w:t>
      </w:r>
      <w:r w:rsidR="007C4D68" w:rsidRPr="007C4D68">
        <w:rPr>
          <w:rFonts w:cs="Arial"/>
          <w:noProof/>
          <w:sz w:val="20"/>
          <w:szCs w:val="20"/>
          <w:vertAlign w:val="superscript"/>
        </w:rPr>
        <w:t>nd</w:t>
      </w:r>
      <w:r w:rsidR="007C4D68">
        <w:rPr>
          <w:rFonts w:cs="Arial"/>
          <w:noProof/>
          <w:sz w:val="20"/>
          <w:szCs w:val="20"/>
        </w:rPr>
        <w:t> </w:t>
      </w:r>
      <w:r w:rsidRPr="00AF7526">
        <w:rPr>
          <w:rFonts w:cs="Arial"/>
          <w:noProof/>
          <w:sz w:val="20"/>
          <w:szCs w:val="20"/>
        </w:rPr>
        <w:t>ed. US Food and Drug Administration, Silver Spring, p. 12</w:t>
      </w:r>
      <w:r w:rsidRPr="00AF7526">
        <w:rPr>
          <w:color w:val="000000"/>
          <w:sz w:val="20"/>
          <w:szCs w:val="20"/>
        </w:rPr>
        <w:t>–</w:t>
      </w:r>
      <w:r>
        <w:rPr>
          <w:rFonts w:cs="Arial"/>
          <w:noProof/>
          <w:sz w:val="20"/>
          <w:szCs w:val="20"/>
        </w:rPr>
        <w:t xml:space="preserve">16. </w:t>
      </w:r>
      <w:hyperlink r:id="rId571" w:history="1">
        <w:r w:rsidRPr="00AF7526">
          <w:rPr>
            <w:rStyle w:val="Hyperlink"/>
            <w:rFonts w:cs="Arial"/>
            <w:noProof/>
            <w:color w:val="0000FF"/>
            <w:sz w:val="20"/>
            <w:szCs w:val="20"/>
          </w:rPr>
          <w:t>http://www.fda.gov/Food/FoodborneIllnessContaminants/CausesOfIllnessBadBugBook/ucm2006773.htm</w:t>
        </w:r>
      </w:hyperlink>
      <w:r w:rsidRPr="00AF7526">
        <w:rPr>
          <w:rFonts w:cs="Arial"/>
          <w:noProof/>
          <w:sz w:val="20"/>
          <w:szCs w:val="20"/>
        </w:rPr>
        <w:t>. Accessed 27 March 2013</w:t>
      </w:r>
    </w:p>
    <w:p w14:paraId="644A883B"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Fegan N, Vanderlinde P, Higgs G, Desmarchelier P (2005) A study of the prevalence and enumeration of </w:t>
      </w:r>
      <w:r w:rsidRPr="00AF7526">
        <w:rPr>
          <w:rFonts w:cs="Arial"/>
          <w:i/>
          <w:noProof/>
          <w:sz w:val="20"/>
          <w:szCs w:val="20"/>
        </w:rPr>
        <w:t xml:space="preserve">Salmonella enterica </w:t>
      </w:r>
      <w:r w:rsidRPr="00AF7526">
        <w:rPr>
          <w:rFonts w:cs="Arial"/>
          <w:noProof/>
          <w:sz w:val="20"/>
          <w:szCs w:val="20"/>
        </w:rPr>
        <w:t>in cattle and on carcasses during processing. Journal of Food Protection 68(6):1147–1153</w:t>
      </w:r>
    </w:p>
    <w:p w14:paraId="1A59257D" w14:textId="795DB889" w:rsidR="00285EF0" w:rsidRPr="00E31655" w:rsidRDefault="00285EF0" w:rsidP="00285EF0">
      <w:pPr>
        <w:tabs>
          <w:tab w:val="left" w:pos="0"/>
        </w:tabs>
        <w:spacing w:after="120"/>
        <w:rPr>
          <w:rFonts w:cs="Arial"/>
          <w:noProof/>
          <w:sz w:val="20"/>
          <w:szCs w:val="20"/>
        </w:rPr>
      </w:pPr>
      <w:r w:rsidRPr="00AF7526">
        <w:rPr>
          <w:rFonts w:cs="Arial"/>
          <w:noProof/>
          <w:sz w:val="20"/>
          <w:szCs w:val="20"/>
        </w:rPr>
        <w:t>FSANZ (2009a) Microbiological risk assessment of raw cow milk. Food Standards A</w:t>
      </w:r>
      <w:r w:rsidR="007C4D68">
        <w:rPr>
          <w:rFonts w:cs="Arial"/>
          <w:noProof/>
          <w:sz w:val="20"/>
          <w:szCs w:val="20"/>
        </w:rPr>
        <w:t>ustralia New </w:t>
      </w:r>
      <w:r>
        <w:rPr>
          <w:rFonts w:cs="Arial"/>
          <w:noProof/>
          <w:sz w:val="20"/>
          <w:szCs w:val="20"/>
        </w:rPr>
        <w:t xml:space="preserve">Zealand, Canberra. </w:t>
      </w:r>
      <w:hyperlink r:id="rId572" w:history="1">
        <w:r w:rsidRPr="00AF7526">
          <w:rPr>
            <w:rStyle w:val="Hyperlink"/>
            <w:rFonts w:cs="Arial"/>
            <w:noProof/>
            <w:color w:val="0000FF"/>
            <w:sz w:val="20"/>
            <w:szCs w:val="20"/>
          </w:rPr>
          <w:t>http://www.foodstandards.gov.au/code/proposals/documents/P1007%20PPPS%20for%20raw%20milk%201AR%20SD1%20Cow%20milk%20Risk%20Assessment.pdf</w:t>
        </w:r>
      </w:hyperlink>
      <w:r w:rsidR="007C4D68">
        <w:rPr>
          <w:rFonts w:cs="Arial"/>
          <w:noProof/>
          <w:sz w:val="20"/>
          <w:szCs w:val="20"/>
        </w:rPr>
        <w:t xml:space="preserve">. Accessed </w:t>
      </w:r>
      <w:r w:rsidRPr="00AF7526">
        <w:rPr>
          <w:rFonts w:cs="Arial"/>
          <w:noProof/>
          <w:sz w:val="20"/>
          <w:szCs w:val="20"/>
        </w:rPr>
        <w:t>31 May 2013</w:t>
      </w:r>
    </w:p>
    <w:p w14:paraId="68FFEF05" w14:textId="77777777" w:rsidR="00285EF0" w:rsidRPr="00E31655" w:rsidRDefault="00285EF0" w:rsidP="00285EF0">
      <w:pPr>
        <w:tabs>
          <w:tab w:val="left" w:pos="0"/>
        </w:tabs>
        <w:spacing w:after="120"/>
        <w:rPr>
          <w:rFonts w:cs="Arial"/>
          <w:noProof/>
          <w:sz w:val="20"/>
          <w:szCs w:val="20"/>
        </w:rPr>
      </w:pPr>
      <w:r w:rsidRPr="00AF7526">
        <w:rPr>
          <w:rFonts w:cs="Arial"/>
          <w:noProof/>
          <w:sz w:val="20"/>
          <w:szCs w:val="20"/>
        </w:rPr>
        <w:t>FSANZ (2009b) Risk assessment of eggs and egg products. Food Standards A</w:t>
      </w:r>
      <w:r>
        <w:rPr>
          <w:rFonts w:cs="Arial"/>
          <w:noProof/>
          <w:sz w:val="20"/>
          <w:szCs w:val="20"/>
        </w:rPr>
        <w:t xml:space="preserve">ustralia New Zealand, Canberra. </w:t>
      </w:r>
      <w:hyperlink r:id="rId573" w:history="1">
        <w:r w:rsidRPr="00AF7526">
          <w:rPr>
            <w:rStyle w:val="Hyperlink"/>
            <w:rFonts w:cs="Arial"/>
            <w:noProof/>
            <w:color w:val="0000FF"/>
            <w:sz w:val="20"/>
            <w:szCs w:val="20"/>
          </w:rPr>
          <w:t>http://www.foodstandards.gov.au/code/proposals/documents/P301%20Eggs%20PPPS%20DAR%20SD1%20Risk%20Assessment.pdf</w:t>
        </w:r>
      </w:hyperlink>
      <w:r w:rsidRPr="00AF7526">
        <w:rPr>
          <w:rFonts w:cs="Arial"/>
          <w:noProof/>
          <w:sz w:val="20"/>
          <w:szCs w:val="20"/>
        </w:rPr>
        <w:t>. Accessed 31 May 2013</w:t>
      </w:r>
    </w:p>
    <w:p w14:paraId="3D817F03"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Gan E, Baird FJ, Coloe PJ, Smooker PM (2011) Phenotypic and molecular characterization of </w:t>
      </w:r>
      <w:r w:rsidRPr="00AF7526">
        <w:rPr>
          <w:rFonts w:cs="Arial"/>
          <w:i/>
          <w:noProof/>
          <w:sz w:val="20"/>
          <w:szCs w:val="20"/>
        </w:rPr>
        <w:t xml:space="preserve">Salmonella enterica </w:t>
      </w:r>
      <w:r w:rsidRPr="00AF7526">
        <w:rPr>
          <w:rFonts w:cs="Arial"/>
          <w:noProof/>
          <w:sz w:val="20"/>
          <w:szCs w:val="20"/>
        </w:rPr>
        <w:t>serovar Sofia, an avirulent species in Australian poultry. Microbiology 157:1056-1065</w:t>
      </w:r>
    </w:p>
    <w:p w14:paraId="2BF27B05"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Greig JD, Ravel A (2009) Analysis of foodborne outbreak data reported internationally for source attribution. International Journal of Food Microbiology 130:77–87</w:t>
      </w:r>
    </w:p>
    <w:p w14:paraId="10663BFF"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Ha S, Kim K, Bahk G, Park S, Bae D, Shin Y, Park S, Choi J (2004) The inhibitory effect of propionic acid on the growth response of </w:t>
      </w:r>
      <w:r w:rsidRPr="00AF7526">
        <w:rPr>
          <w:rFonts w:cs="Arial"/>
          <w:i/>
          <w:noProof/>
          <w:sz w:val="20"/>
          <w:szCs w:val="20"/>
        </w:rPr>
        <w:t>Salmonella typhimurium</w:t>
      </w:r>
      <w:r w:rsidRPr="00AF7526">
        <w:rPr>
          <w:rFonts w:cs="Arial"/>
          <w:noProof/>
          <w:sz w:val="20"/>
          <w:szCs w:val="20"/>
        </w:rPr>
        <w:t>. Food Science and Biotechnology 13(4):504–507</w:t>
      </w:r>
    </w:p>
    <w:p w14:paraId="6AA3B941"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Hanes D (2003) Nontyphoid </w:t>
      </w:r>
      <w:r w:rsidRPr="00AF7526">
        <w:rPr>
          <w:rFonts w:cs="Arial"/>
          <w:i/>
          <w:noProof/>
          <w:sz w:val="20"/>
          <w:szCs w:val="20"/>
        </w:rPr>
        <w:t>Salmonella</w:t>
      </w:r>
      <w:r w:rsidRPr="00AF7526">
        <w:rPr>
          <w:rFonts w:cs="Arial"/>
          <w:noProof/>
          <w:sz w:val="20"/>
          <w:szCs w:val="20"/>
        </w:rPr>
        <w:t>. Ch 9 In: Miliotis MD, Bier JW (eds) International handbook of foodborne pathogens. Marcel Dekker, New York, p. 137–149</w:t>
      </w:r>
    </w:p>
    <w:p w14:paraId="2606F49E"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Hohmann EL (2001) Nontyphoidal salmonellosis. Clinical Infectious Diseases 32(2):263–269</w:t>
      </w:r>
    </w:p>
    <w:p w14:paraId="55B4490D" w14:textId="77777777" w:rsidR="00E94ED2" w:rsidRDefault="00E94ED2">
      <w:pPr>
        <w:widowControl/>
        <w:rPr>
          <w:rFonts w:cs="Arial"/>
          <w:noProof/>
          <w:sz w:val="20"/>
          <w:szCs w:val="20"/>
        </w:rPr>
      </w:pPr>
      <w:r>
        <w:rPr>
          <w:rFonts w:cs="Arial"/>
          <w:noProof/>
          <w:sz w:val="20"/>
          <w:szCs w:val="20"/>
        </w:rPr>
        <w:br w:type="page"/>
      </w:r>
    </w:p>
    <w:p w14:paraId="73E30A7E" w14:textId="7309B010" w:rsidR="00285EF0" w:rsidRPr="00AF7526" w:rsidRDefault="00285EF0" w:rsidP="00285EF0">
      <w:pPr>
        <w:tabs>
          <w:tab w:val="left" w:pos="0"/>
        </w:tabs>
        <w:spacing w:after="120"/>
        <w:rPr>
          <w:rFonts w:cs="Arial"/>
          <w:noProof/>
          <w:sz w:val="20"/>
          <w:szCs w:val="20"/>
        </w:rPr>
      </w:pPr>
      <w:r w:rsidRPr="00AF7526">
        <w:rPr>
          <w:rFonts w:cs="Arial"/>
          <w:noProof/>
          <w:sz w:val="20"/>
          <w:szCs w:val="20"/>
        </w:rPr>
        <w:t>ICMSF</w:t>
      </w:r>
      <w:r w:rsidR="006B32C8">
        <w:rPr>
          <w:rFonts w:cs="Arial"/>
          <w:noProof/>
          <w:sz w:val="20"/>
          <w:szCs w:val="20"/>
        </w:rPr>
        <w:t xml:space="preserve"> (1996) Salmonellae. Ch 14 In: </w:t>
      </w:r>
      <w:r w:rsidRPr="00AF7526">
        <w:rPr>
          <w:rFonts w:cs="Arial"/>
          <w:noProof/>
          <w:sz w:val="20"/>
          <w:szCs w:val="20"/>
        </w:rPr>
        <w:t>Microorganisms in food 5: Microbiological specifications of food pathogens. Blackie Academic and Professional, London, p. 217–264</w:t>
      </w:r>
    </w:p>
    <w:p w14:paraId="68166D58"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Jay LS, Davos D, Dundas M, Frankish E, Lightfoot D (2003) </w:t>
      </w:r>
      <w:r w:rsidRPr="00AF7526">
        <w:rPr>
          <w:rFonts w:cs="Arial"/>
          <w:i/>
          <w:noProof/>
          <w:sz w:val="20"/>
          <w:szCs w:val="20"/>
        </w:rPr>
        <w:t>Salmonella</w:t>
      </w:r>
      <w:r w:rsidRPr="00AF7526">
        <w:rPr>
          <w:rFonts w:cs="Arial"/>
          <w:noProof/>
          <w:sz w:val="20"/>
          <w:szCs w:val="20"/>
        </w:rPr>
        <w:t>. Ch 8 In: Hocking AD (ed) Foodborne microorganisms of public health significance. 6th ed, Australian Institute of Food Science and Technology (NSW Branch), Sydney, p. 207–266</w:t>
      </w:r>
    </w:p>
    <w:p w14:paraId="3F6DC6A0"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Jones BD (2005) </w:t>
      </w:r>
      <w:r w:rsidRPr="00AF7526">
        <w:rPr>
          <w:rFonts w:cs="Arial"/>
          <w:i/>
          <w:noProof/>
          <w:sz w:val="20"/>
          <w:szCs w:val="20"/>
        </w:rPr>
        <w:t>Salmonella</w:t>
      </w:r>
      <w:r w:rsidRPr="00AF7526">
        <w:rPr>
          <w:rFonts w:cs="Arial"/>
          <w:noProof/>
          <w:sz w:val="20"/>
          <w:szCs w:val="20"/>
        </w:rPr>
        <w:t xml:space="preserve"> invasion gene regulation: A story of environmental awareness. The Journal of Microbiology 43(special issue No. S):110–117</w:t>
      </w:r>
    </w:p>
    <w:p w14:paraId="7169B30D"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Kothary MH, Babu US (2001) Infective dose of foodborne pathogens in volunteers: A review. Journal of Food Safety 21:49–73</w:t>
      </w:r>
    </w:p>
    <w:p w14:paraId="7F06EC22" w14:textId="77777777" w:rsidR="00285EF0" w:rsidRPr="00E31655" w:rsidRDefault="00285EF0" w:rsidP="00285EF0">
      <w:pPr>
        <w:tabs>
          <w:tab w:val="left" w:pos="0"/>
        </w:tabs>
        <w:spacing w:after="120"/>
        <w:rPr>
          <w:rFonts w:cs="Arial"/>
          <w:noProof/>
          <w:sz w:val="20"/>
          <w:szCs w:val="20"/>
        </w:rPr>
      </w:pPr>
      <w:r w:rsidRPr="00AF7526">
        <w:rPr>
          <w:rFonts w:cs="Arial"/>
          <w:noProof/>
          <w:sz w:val="20"/>
          <w:szCs w:val="20"/>
        </w:rPr>
        <w:t>Lim E, Lopez L, Borman A, Cressey P, Pirie R (2012) Annual report concerning foodborne disease in New Zealand 2011. Ministry for</w:t>
      </w:r>
      <w:r>
        <w:rPr>
          <w:rFonts w:cs="Arial"/>
          <w:noProof/>
          <w:sz w:val="20"/>
          <w:szCs w:val="20"/>
        </w:rPr>
        <w:t xml:space="preserve"> Primary Industry, New Zealand. </w:t>
      </w:r>
      <w:hyperlink r:id="rId574" w:history="1">
        <w:r w:rsidRPr="00AF7526">
          <w:rPr>
            <w:rStyle w:val="Hyperlink"/>
            <w:rFonts w:cs="Arial"/>
            <w:noProof/>
            <w:color w:val="0000FF"/>
            <w:sz w:val="20"/>
            <w:szCs w:val="20"/>
          </w:rPr>
          <w:t>http://www.foodsafety.govt.nz/science-risk/human-health-surveillance/foodborne-disease-annual-reports.htm</w:t>
        </w:r>
      </w:hyperlink>
      <w:r w:rsidRPr="00AF7526">
        <w:rPr>
          <w:rFonts w:cs="Arial"/>
          <w:noProof/>
          <w:sz w:val="20"/>
          <w:szCs w:val="20"/>
        </w:rPr>
        <w:t>. Accessed 11 April 2013</w:t>
      </w:r>
    </w:p>
    <w:p w14:paraId="479DE2A4"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Martinez-Urtaza J, Saco M, Hernandez-Cordova G, Lozano A, Garcia-Martin O, Espinosa J (2003) Identification of </w:t>
      </w:r>
      <w:r w:rsidRPr="00AF7526">
        <w:rPr>
          <w:rFonts w:cs="Arial"/>
          <w:i/>
          <w:noProof/>
          <w:sz w:val="20"/>
          <w:szCs w:val="20"/>
        </w:rPr>
        <w:t>Salmonella</w:t>
      </w:r>
      <w:r w:rsidRPr="00AF7526">
        <w:rPr>
          <w:rFonts w:cs="Arial"/>
          <w:noProof/>
          <w:sz w:val="20"/>
          <w:szCs w:val="20"/>
        </w:rPr>
        <w:t xml:space="preserve"> serovars isolated from live molluscan shellfish and their significance in the marine environment. Journal of Food Protection 66(2):226–232</w:t>
      </w:r>
    </w:p>
    <w:p w14:paraId="0F0C8506"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McCullough N, Eisele CW (1951a) Experimental human salmonellosis. III. Pathogenicity of strains of </w:t>
      </w:r>
      <w:r w:rsidRPr="00AF7526">
        <w:rPr>
          <w:rFonts w:cs="Arial"/>
          <w:i/>
          <w:noProof/>
          <w:sz w:val="20"/>
          <w:szCs w:val="20"/>
        </w:rPr>
        <w:t xml:space="preserve">Salmonella </w:t>
      </w:r>
      <w:r w:rsidRPr="00AF7526">
        <w:rPr>
          <w:rFonts w:cs="Arial"/>
          <w:noProof/>
          <w:sz w:val="20"/>
          <w:szCs w:val="20"/>
        </w:rPr>
        <w:t xml:space="preserve">Newport, </w:t>
      </w:r>
      <w:r w:rsidRPr="00AF7526">
        <w:rPr>
          <w:rFonts w:cs="Arial"/>
          <w:i/>
          <w:noProof/>
          <w:sz w:val="20"/>
          <w:szCs w:val="20"/>
        </w:rPr>
        <w:t xml:space="preserve">Salmonella </w:t>
      </w:r>
      <w:r w:rsidRPr="00AF7526">
        <w:rPr>
          <w:rFonts w:cs="Arial"/>
          <w:noProof/>
          <w:sz w:val="20"/>
          <w:szCs w:val="20"/>
        </w:rPr>
        <w:t xml:space="preserve">Derby, and </w:t>
      </w:r>
      <w:r w:rsidRPr="00AF7526">
        <w:rPr>
          <w:rFonts w:cs="Arial"/>
          <w:i/>
          <w:noProof/>
          <w:sz w:val="20"/>
          <w:szCs w:val="20"/>
        </w:rPr>
        <w:t xml:space="preserve">Salmonella </w:t>
      </w:r>
      <w:r w:rsidRPr="00AF7526">
        <w:rPr>
          <w:rFonts w:cs="Arial"/>
          <w:noProof/>
          <w:sz w:val="20"/>
          <w:szCs w:val="20"/>
        </w:rPr>
        <w:t>Bareilly obtained from spray-dried whole egg. Journal of Infectious Diseases 89(3):209–213</w:t>
      </w:r>
    </w:p>
    <w:p w14:paraId="6E57E9AE"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McCullough N, Eisele CW (1951b) Experimental human salmonellosis. IV. Pathogenicity of strains of </w:t>
      </w:r>
      <w:r w:rsidRPr="00AF7526">
        <w:rPr>
          <w:rFonts w:cs="Arial"/>
          <w:i/>
          <w:noProof/>
          <w:sz w:val="20"/>
          <w:szCs w:val="20"/>
        </w:rPr>
        <w:t xml:space="preserve">Salmonella </w:t>
      </w:r>
      <w:r w:rsidRPr="00AF7526">
        <w:rPr>
          <w:rFonts w:cs="Arial"/>
          <w:noProof/>
          <w:sz w:val="20"/>
          <w:szCs w:val="20"/>
        </w:rPr>
        <w:t>Pullorum obtained from spray-dried whole egg. Journal of Infectious Diseases 89(3):259–265</w:t>
      </w:r>
    </w:p>
    <w:p w14:paraId="3DACA263"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McCullough N, Eisele CW (1951c) Experimental human salmonellosis. II. Immunity studies following experimental illness with </w:t>
      </w:r>
      <w:r w:rsidRPr="00AF7526">
        <w:rPr>
          <w:rFonts w:cs="Arial"/>
          <w:i/>
          <w:noProof/>
          <w:sz w:val="20"/>
          <w:szCs w:val="20"/>
        </w:rPr>
        <w:t xml:space="preserve">Salmonella </w:t>
      </w:r>
      <w:r w:rsidRPr="00AF7526">
        <w:rPr>
          <w:rFonts w:cs="Arial"/>
          <w:noProof/>
          <w:sz w:val="20"/>
          <w:szCs w:val="20"/>
        </w:rPr>
        <w:t xml:space="preserve">Meleagridis and </w:t>
      </w:r>
      <w:r w:rsidRPr="00AF7526">
        <w:rPr>
          <w:rFonts w:cs="Arial"/>
          <w:i/>
          <w:noProof/>
          <w:sz w:val="20"/>
          <w:szCs w:val="20"/>
        </w:rPr>
        <w:t xml:space="preserve">Salmonella </w:t>
      </w:r>
      <w:r w:rsidRPr="00AF7526">
        <w:rPr>
          <w:rFonts w:cs="Arial"/>
          <w:noProof/>
          <w:sz w:val="20"/>
          <w:szCs w:val="20"/>
        </w:rPr>
        <w:t>Anatum. Journal of Immunology 66(5):595–608</w:t>
      </w:r>
    </w:p>
    <w:p w14:paraId="22DE7247"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McCullough N, Eisele CW (1951d) Experimental human salmonellosis. I. Pathogenicity of strains of </w:t>
      </w:r>
      <w:r w:rsidRPr="00AF7526">
        <w:rPr>
          <w:rFonts w:cs="Arial"/>
          <w:i/>
          <w:noProof/>
          <w:sz w:val="20"/>
          <w:szCs w:val="20"/>
        </w:rPr>
        <w:t xml:space="preserve">Salmonella </w:t>
      </w:r>
      <w:r w:rsidRPr="00AF7526">
        <w:rPr>
          <w:rFonts w:cs="Arial"/>
          <w:noProof/>
          <w:sz w:val="20"/>
          <w:szCs w:val="20"/>
        </w:rPr>
        <w:t xml:space="preserve">Meleagridis and </w:t>
      </w:r>
      <w:r w:rsidRPr="00AF7526">
        <w:rPr>
          <w:rFonts w:cs="Arial"/>
          <w:i/>
          <w:noProof/>
          <w:sz w:val="20"/>
          <w:szCs w:val="20"/>
        </w:rPr>
        <w:t xml:space="preserve">Salmonella </w:t>
      </w:r>
      <w:r w:rsidRPr="00AF7526">
        <w:rPr>
          <w:rFonts w:cs="Arial"/>
          <w:noProof/>
          <w:sz w:val="20"/>
          <w:szCs w:val="20"/>
        </w:rPr>
        <w:t>Anatum obtained from spray-dried whole egg. Journal of Infectious Diseases 88(3):278–289</w:t>
      </w:r>
    </w:p>
    <w:p w14:paraId="4AD2DE1E"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Mellor GE, Duffy LL, Dykes GA, Fegan N (2010) Relative prevalence of </w:t>
      </w:r>
      <w:r w:rsidRPr="00AF7526">
        <w:rPr>
          <w:rFonts w:cs="Arial"/>
          <w:i/>
          <w:noProof/>
          <w:sz w:val="20"/>
          <w:szCs w:val="20"/>
        </w:rPr>
        <w:t xml:space="preserve">Salmonella </w:t>
      </w:r>
      <w:r w:rsidRPr="00AF7526">
        <w:rPr>
          <w:rFonts w:cs="Arial"/>
          <w:noProof/>
          <w:sz w:val="20"/>
          <w:szCs w:val="20"/>
        </w:rPr>
        <w:t>Sofia on broiler chickens pre- and postprocessing in Australia. Poultry Science 89:1544–1548</w:t>
      </w:r>
    </w:p>
    <w:p w14:paraId="169FF3F3" w14:textId="3C2315E6"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Montville TJ, Matthews KR (2005) Food </w:t>
      </w:r>
      <w:r w:rsidR="006B32C8">
        <w:rPr>
          <w:rFonts w:cs="Arial"/>
          <w:noProof/>
          <w:sz w:val="20"/>
          <w:szCs w:val="20"/>
        </w:rPr>
        <w:t xml:space="preserve">microbiology: An introduction. </w:t>
      </w:r>
      <w:r w:rsidRPr="00AF7526">
        <w:rPr>
          <w:rFonts w:cs="Arial"/>
          <w:noProof/>
          <w:sz w:val="20"/>
          <w:szCs w:val="20"/>
        </w:rPr>
        <w:t>ASM Press, Washington D.C.</w:t>
      </w:r>
    </w:p>
    <w:p w14:paraId="115E7CF5" w14:textId="77777777" w:rsidR="00285EF0" w:rsidRPr="00E31655" w:rsidRDefault="00285EF0" w:rsidP="00285EF0">
      <w:pPr>
        <w:tabs>
          <w:tab w:val="left" w:pos="0"/>
        </w:tabs>
        <w:spacing w:after="120"/>
        <w:rPr>
          <w:rFonts w:cs="Arial"/>
          <w:noProof/>
          <w:sz w:val="20"/>
          <w:szCs w:val="20"/>
        </w:rPr>
      </w:pPr>
      <w:r w:rsidRPr="00AF7526">
        <w:rPr>
          <w:rFonts w:cs="Arial"/>
          <w:noProof/>
          <w:sz w:val="20"/>
          <w:szCs w:val="20"/>
        </w:rPr>
        <w:t>NNDSS (2013) Notifications for all disease by State &amp; Territory and year. National Notifiable Disease Surveillance System, Department of Health and Ageing, Can</w:t>
      </w:r>
      <w:r>
        <w:rPr>
          <w:rFonts w:cs="Arial"/>
          <w:noProof/>
          <w:sz w:val="20"/>
          <w:szCs w:val="20"/>
        </w:rPr>
        <w:t xml:space="preserve">berra. </w:t>
      </w:r>
      <w:hyperlink r:id="rId575" w:history="1">
        <w:r w:rsidRPr="00AF7526">
          <w:rPr>
            <w:rStyle w:val="Hyperlink"/>
            <w:rFonts w:cs="Arial"/>
            <w:noProof/>
            <w:color w:val="0000FF"/>
            <w:sz w:val="20"/>
            <w:szCs w:val="20"/>
          </w:rPr>
          <w:t>http://www9.health.gov.au/cda/source/cda-index.cfm</w:t>
        </w:r>
      </w:hyperlink>
      <w:r w:rsidRPr="00AF7526">
        <w:rPr>
          <w:rFonts w:cs="Arial"/>
          <w:noProof/>
          <w:sz w:val="20"/>
          <w:szCs w:val="20"/>
        </w:rPr>
        <w:t>. Accessed 17 April 2013</w:t>
      </w:r>
    </w:p>
    <w:p w14:paraId="70EC8803"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OzFoodNet (2012) Monitoring the incidence and causes of diseases potentially transmitted by food in Australia: Annual report of the OzFoodNet Network, 2010. Communicable Diseases Intelligence 36(3):E213–E241</w:t>
      </w:r>
    </w:p>
    <w:p w14:paraId="3D2AC018"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Podolak R, Enache E, Stone W, Black DG, Elliott PH (2010) Sources and risk factors for contamination, survival, persistence, and heat resisitance of </w:t>
      </w:r>
      <w:r w:rsidRPr="00AF7526">
        <w:rPr>
          <w:rFonts w:cs="Arial"/>
          <w:i/>
          <w:noProof/>
          <w:sz w:val="20"/>
          <w:szCs w:val="20"/>
        </w:rPr>
        <w:t>Salmonella</w:t>
      </w:r>
      <w:r w:rsidRPr="00AF7526">
        <w:rPr>
          <w:rFonts w:cs="Arial"/>
          <w:noProof/>
          <w:sz w:val="20"/>
          <w:szCs w:val="20"/>
        </w:rPr>
        <w:t xml:space="preserve"> in low-moisture foods. Journal of Food Protection 73(10):1919–1936</w:t>
      </w:r>
    </w:p>
    <w:p w14:paraId="2C182CDD"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Pointon A, Sexton M, Dowsett P, Saputra T, Kiermeier A, Lorimer M, Holds G, Arnold G, Davos D, Combs B, Fabiansson S, Raven G, McKenzie H, Chapman A, Sumner J (2008) A baseline survey of the microbiological quality of chicken portions and carcasses at retail in two Australian states (2005 to 2006). Journal of Food Protection 71(6):1123–1134</w:t>
      </w:r>
    </w:p>
    <w:p w14:paraId="367DF373"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Shachar D, Yaron S (2006) Heat tolerance of </w:t>
      </w:r>
      <w:r w:rsidRPr="00AF7526">
        <w:rPr>
          <w:rFonts w:cs="Arial"/>
          <w:i/>
          <w:noProof/>
          <w:sz w:val="20"/>
          <w:szCs w:val="20"/>
        </w:rPr>
        <w:t xml:space="preserve">Salmonella enterica </w:t>
      </w:r>
      <w:r w:rsidRPr="00AF7526">
        <w:rPr>
          <w:rFonts w:cs="Arial"/>
          <w:noProof/>
          <w:sz w:val="20"/>
          <w:szCs w:val="20"/>
        </w:rPr>
        <w:t>serovars Agona, Enteritidis, and Typhimurium in peanut butter. Journal of Food Protection 69(11):2687–2691</w:t>
      </w:r>
    </w:p>
    <w:p w14:paraId="7F5B20FB"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Stopforth JD, Lopes M, Shultz JE, Miksch RR, Samadpour M (2006) Microbiological status of fresh beef cuts. Journal of Food Protection 69(6):1456–1459</w:t>
      </w:r>
    </w:p>
    <w:p w14:paraId="660D2E66"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Strawn LK, Danyluk MD (2010) Fate of </w:t>
      </w:r>
      <w:r w:rsidRPr="00AF7526">
        <w:rPr>
          <w:rFonts w:cs="Arial"/>
          <w:i/>
          <w:noProof/>
          <w:sz w:val="20"/>
          <w:szCs w:val="20"/>
        </w:rPr>
        <w:t xml:space="preserve">Escherichia coli </w:t>
      </w:r>
      <w:r w:rsidRPr="00AF7526">
        <w:rPr>
          <w:rFonts w:cs="Arial"/>
          <w:noProof/>
          <w:sz w:val="20"/>
          <w:szCs w:val="20"/>
        </w:rPr>
        <w:t xml:space="preserve">O157:H7 and </w:t>
      </w:r>
      <w:r w:rsidRPr="00AF7526">
        <w:rPr>
          <w:rFonts w:cs="Arial"/>
          <w:i/>
          <w:noProof/>
          <w:sz w:val="20"/>
          <w:szCs w:val="20"/>
        </w:rPr>
        <w:t xml:space="preserve">Salmonella </w:t>
      </w:r>
      <w:r w:rsidRPr="00AF7526">
        <w:rPr>
          <w:rFonts w:cs="Arial"/>
          <w:noProof/>
          <w:sz w:val="20"/>
          <w:szCs w:val="20"/>
        </w:rPr>
        <w:t>spp. on fresh and frozen cut mangoes and papayas. International Journal of Food Microbiology 138:78–84</w:t>
      </w:r>
    </w:p>
    <w:p w14:paraId="22B9EA94"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Todd ECD, Greig JD, Bartleson CA, Michaels BS (2008) Outbreaks where food workers have been implicated in the spread of foodborne disease. Part 4. Infective doses and pathogen carriage. Journal of Food Protection 71(11):2339–2373</w:t>
      </w:r>
    </w:p>
    <w:p w14:paraId="5168FC57"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Valle E, Guiney DG (2005) Characterization of </w:t>
      </w:r>
      <w:r w:rsidRPr="00AF7526">
        <w:rPr>
          <w:rFonts w:cs="Arial"/>
          <w:i/>
          <w:noProof/>
          <w:sz w:val="20"/>
          <w:szCs w:val="20"/>
        </w:rPr>
        <w:t>Salmonella</w:t>
      </w:r>
      <w:r w:rsidRPr="00AF7526">
        <w:rPr>
          <w:rFonts w:cs="Arial"/>
          <w:noProof/>
          <w:sz w:val="20"/>
          <w:szCs w:val="20"/>
        </w:rPr>
        <w:t>-induced cell death in human macrophage-like THP-1 cells. Infection and Immunity 73(5):2835–2840</w:t>
      </w:r>
    </w:p>
    <w:p w14:paraId="43A587DF" w14:textId="77777777" w:rsidR="00285EF0" w:rsidRPr="00AF7526" w:rsidRDefault="00285EF0" w:rsidP="00285EF0">
      <w:pPr>
        <w:tabs>
          <w:tab w:val="left" w:pos="0"/>
        </w:tabs>
        <w:spacing w:after="120"/>
        <w:rPr>
          <w:rFonts w:cs="Arial"/>
          <w:noProof/>
          <w:sz w:val="20"/>
          <w:szCs w:val="20"/>
        </w:rPr>
      </w:pPr>
      <w:r w:rsidRPr="00AF7526">
        <w:rPr>
          <w:rFonts w:cs="Arial"/>
          <w:noProof/>
          <w:sz w:val="20"/>
          <w:szCs w:val="20"/>
        </w:rPr>
        <w:t xml:space="preserve">Wallis TS (2006) Host-specificity of </w:t>
      </w:r>
      <w:r w:rsidRPr="00AF7526">
        <w:rPr>
          <w:rFonts w:cs="Arial"/>
          <w:i/>
          <w:noProof/>
          <w:sz w:val="20"/>
          <w:szCs w:val="20"/>
        </w:rPr>
        <w:t xml:space="preserve">Salmonella </w:t>
      </w:r>
      <w:r w:rsidRPr="00AF7526">
        <w:rPr>
          <w:rFonts w:cs="Arial"/>
          <w:noProof/>
          <w:sz w:val="20"/>
          <w:szCs w:val="20"/>
        </w:rPr>
        <w:t xml:space="preserve">infections in animal species. Ch 3 In: Mastroeni P, Maskell D (eds) </w:t>
      </w:r>
      <w:r w:rsidRPr="00AF7526">
        <w:rPr>
          <w:rFonts w:cs="Arial"/>
          <w:i/>
          <w:noProof/>
          <w:sz w:val="20"/>
          <w:szCs w:val="20"/>
        </w:rPr>
        <w:t xml:space="preserve">Salmonella </w:t>
      </w:r>
      <w:r w:rsidRPr="00AF7526">
        <w:rPr>
          <w:rFonts w:cs="Arial"/>
          <w:noProof/>
          <w:sz w:val="20"/>
          <w:szCs w:val="20"/>
        </w:rPr>
        <w:t>infections: Clinical, immunological and molecular aspects. Cambridge University Press, Cambridge, p. 57–88</w:t>
      </w:r>
    </w:p>
    <w:p w14:paraId="405A4FED" w14:textId="078DB6D2" w:rsidR="00285EF0" w:rsidRPr="00E31655" w:rsidRDefault="00285EF0" w:rsidP="00285EF0">
      <w:pPr>
        <w:tabs>
          <w:tab w:val="left" w:pos="0"/>
        </w:tabs>
        <w:spacing w:after="120"/>
        <w:rPr>
          <w:rFonts w:cs="Arial"/>
          <w:noProof/>
          <w:sz w:val="20"/>
          <w:szCs w:val="20"/>
        </w:rPr>
      </w:pPr>
      <w:r w:rsidRPr="00AF7526">
        <w:rPr>
          <w:rFonts w:cs="Arial"/>
          <w:noProof/>
          <w:sz w:val="20"/>
          <w:szCs w:val="20"/>
        </w:rPr>
        <w:t xml:space="preserve">WHO/FAO (2002) Risk assessments of </w:t>
      </w:r>
      <w:r w:rsidRPr="00AF7526">
        <w:rPr>
          <w:rFonts w:cs="Arial"/>
          <w:i/>
          <w:noProof/>
          <w:sz w:val="20"/>
          <w:szCs w:val="20"/>
        </w:rPr>
        <w:t>Salmonella</w:t>
      </w:r>
      <w:r w:rsidRPr="00AF7526">
        <w:rPr>
          <w:rFonts w:cs="Arial"/>
          <w:noProof/>
          <w:sz w:val="20"/>
          <w:szCs w:val="20"/>
        </w:rPr>
        <w:t xml:space="preserve"> in eggs and broiler chickens. World Health Organization and Food and Agriculture Organization </w:t>
      </w:r>
      <w:r>
        <w:rPr>
          <w:rFonts w:cs="Arial"/>
          <w:noProof/>
          <w:sz w:val="20"/>
          <w:szCs w:val="20"/>
        </w:rPr>
        <w:t xml:space="preserve">of the United Nations, Geneva. </w:t>
      </w:r>
      <w:hyperlink r:id="rId576" w:history="1">
        <w:r w:rsidRPr="00AF7526">
          <w:rPr>
            <w:rStyle w:val="Hyperlink"/>
            <w:rFonts w:cs="Arial"/>
            <w:noProof/>
            <w:color w:val="0000FF"/>
            <w:sz w:val="20"/>
            <w:szCs w:val="20"/>
          </w:rPr>
          <w:t>http://www.who.int/foodsafety/publications/micro/salmonella/en/index.html</w:t>
        </w:r>
      </w:hyperlink>
      <w:r w:rsidR="007C4D68">
        <w:rPr>
          <w:rFonts w:cs="Arial"/>
          <w:noProof/>
          <w:sz w:val="20"/>
          <w:szCs w:val="20"/>
        </w:rPr>
        <w:t>. Accessed 11 February </w:t>
      </w:r>
      <w:r w:rsidRPr="00AF7526">
        <w:rPr>
          <w:rFonts w:cs="Arial"/>
          <w:noProof/>
          <w:sz w:val="20"/>
          <w:szCs w:val="20"/>
        </w:rPr>
        <w:t>2010</w:t>
      </w:r>
    </w:p>
    <w:p w14:paraId="63B90FBC" w14:textId="77777777" w:rsidR="00285EF0" w:rsidRDefault="00285EF0" w:rsidP="00285EF0">
      <w:pPr>
        <w:widowControl/>
      </w:pPr>
      <w:r>
        <w:br w:type="page"/>
      </w:r>
    </w:p>
    <w:p w14:paraId="4D9D9AEE" w14:textId="10B4C2D1" w:rsidR="00285EF0" w:rsidRDefault="00354E14" w:rsidP="00285EF0">
      <w:pPr>
        <w:pStyle w:val="Heading2"/>
      </w:pPr>
      <w:bookmarkStart w:id="1267" w:name="_Toc107115317"/>
      <w:bookmarkStart w:id="1268" w:name="_Toc111648430"/>
      <w:bookmarkStart w:id="1269" w:name="_Toc122940940"/>
      <w:bookmarkStart w:id="1270" w:name="_Toc122941639"/>
      <w:bookmarkStart w:id="1271" w:name="_Toc122947460"/>
      <w:bookmarkStart w:id="1272" w:name="_Toc123010634"/>
      <w:bookmarkStart w:id="1273" w:name="_Toc123010881"/>
      <w:bookmarkStart w:id="1274" w:name="_Toc123015559"/>
      <w:bookmarkStart w:id="1275" w:name="_Toc125276395"/>
      <w:bookmarkStart w:id="1276" w:name="_Toc125348631"/>
      <w:bookmarkStart w:id="1277" w:name="_Toc125358689"/>
      <w:bookmarkStart w:id="1278" w:name="_Toc125362529"/>
      <w:bookmarkStart w:id="1279" w:name="_Toc87860142"/>
      <w:r>
        <w:t>Appendix 10</w:t>
      </w:r>
      <w:r w:rsidRPr="00C839B6">
        <w:t xml:space="preserve"> – </w:t>
      </w:r>
      <w:r w:rsidR="00285EF0" w:rsidRPr="0029407A">
        <w:t>Shiga toxin-producing</w:t>
      </w:r>
      <w:r w:rsidR="00285EF0" w:rsidRPr="0029407A">
        <w:rPr>
          <w:i/>
        </w:rPr>
        <w:t xml:space="preserve"> Escherichia coli</w:t>
      </w:r>
      <w:bookmarkEnd w:id="1267"/>
      <w:bookmarkEnd w:id="1268"/>
      <w:bookmarkEnd w:id="1269"/>
      <w:bookmarkEnd w:id="1270"/>
      <w:bookmarkEnd w:id="1271"/>
      <w:bookmarkEnd w:id="1272"/>
      <w:bookmarkEnd w:id="1273"/>
      <w:bookmarkEnd w:id="1274"/>
      <w:bookmarkEnd w:id="1275"/>
      <w:bookmarkEnd w:id="1276"/>
      <w:bookmarkEnd w:id="1277"/>
      <w:bookmarkEnd w:id="1278"/>
      <w:r w:rsidR="00285EF0" w:rsidRPr="0029407A">
        <w:t xml:space="preserve"> (STEC)</w:t>
      </w:r>
      <w:r w:rsidR="00285EF0">
        <w:rPr>
          <w:rStyle w:val="FootnoteReference"/>
        </w:rPr>
        <w:footnoteReference w:id="33"/>
      </w:r>
      <w:bookmarkEnd w:id="1279"/>
    </w:p>
    <w:p w14:paraId="324D6B10" w14:textId="77777777" w:rsidR="00285EF0" w:rsidRPr="00787E56" w:rsidRDefault="00285EF0" w:rsidP="00787E56">
      <w:pPr>
        <w:spacing w:before="240" w:after="240"/>
        <w:rPr>
          <w:b/>
        </w:rPr>
      </w:pPr>
      <w:bookmarkStart w:id="1280" w:name="_Toc66881478"/>
      <w:bookmarkStart w:id="1281" w:name="_Toc66883104"/>
      <w:r w:rsidRPr="00787E56">
        <w:rPr>
          <w:b/>
        </w:rPr>
        <w:t xml:space="preserve">Shiga toxin-producing </w:t>
      </w:r>
      <w:r w:rsidRPr="00787E56">
        <w:rPr>
          <w:b/>
          <w:i/>
        </w:rPr>
        <w:t>Escherichia coli</w:t>
      </w:r>
      <w:r w:rsidRPr="00787E56">
        <w:rPr>
          <w:b/>
        </w:rPr>
        <w:t xml:space="preserve"> (STEC)</w:t>
      </w:r>
      <w:bookmarkEnd w:id="1280"/>
      <w:bookmarkEnd w:id="1281"/>
    </w:p>
    <w:p w14:paraId="5F110D0B" w14:textId="77777777" w:rsidR="00285EF0" w:rsidRPr="008F3DA2" w:rsidRDefault="00285EF0" w:rsidP="00285EF0">
      <w:pPr>
        <w:rPr>
          <w:rFonts w:cs="Arial"/>
          <w:szCs w:val="22"/>
        </w:rPr>
      </w:pPr>
      <w:r w:rsidRPr="006A1C3B">
        <w:rPr>
          <w:rFonts w:cs="Arial"/>
          <w:i/>
          <w:iCs/>
          <w:szCs w:val="22"/>
        </w:rPr>
        <w:t>Escherichia coli</w:t>
      </w:r>
      <w:r w:rsidRPr="006A1C3B">
        <w:rPr>
          <w:rFonts w:cs="Arial"/>
          <w:iCs/>
          <w:szCs w:val="22"/>
        </w:rPr>
        <w:t xml:space="preserve"> are bacteria that form </w:t>
      </w:r>
      <w:r w:rsidRPr="006A1C3B">
        <w:rPr>
          <w:rFonts w:cs="Arial"/>
          <w:szCs w:val="22"/>
        </w:rPr>
        <w:t>part of the normal gut flora of humans a</w:t>
      </w:r>
      <w:r>
        <w:rPr>
          <w:rFonts w:cs="Arial"/>
          <w:szCs w:val="22"/>
        </w:rPr>
        <w:t xml:space="preserve">nd other warm-blooded animals. </w:t>
      </w:r>
      <w:r w:rsidRPr="006A1C3B">
        <w:rPr>
          <w:rFonts w:cs="Arial"/>
          <w:iCs/>
          <w:szCs w:val="22"/>
        </w:rPr>
        <w:t xml:space="preserve">Although most </w:t>
      </w:r>
      <w:r w:rsidRPr="006A1C3B">
        <w:rPr>
          <w:rFonts w:cs="Arial"/>
          <w:i/>
          <w:iCs/>
          <w:szCs w:val="22"/>
        </w:rPr>
        <w:t>E. coli</w:t>
      </w:r>
      <w:r w:rsidRPr="006A1C3B">
        <w:rPr>
          <w:rFonts w:cs="Arial"/>
          <w:iCs/>
          <w:szCs w:val="22"/>
        </w:rPr>
        <w:t xml:space="preserve"> are considered harmless, certain strains</w:t>
      </w:r>
      <w:r w:rsidRPr="006A1C3B">
        <w:rPr>
          <w:rFonts w:cs="Arial"/>
          <w:i/>
          <w:iCs/>
          <w:szCs w:val="22"/>
        </w:rPr>
        <w:t xml:space="preserve"> </w:t>
      </w:r>
      <w:r w:rsidRPr="006A1C3B">
        <w:rPr>
          <w:rFonts w:cs="Arial"/>
          <w:iCs/>
          <w:szCs w:val="22"/>
        </w:rPr>
        <w:t>can cause severe illness</w:t>
      </w:r>
      <w:r>
        <w:rPr>
          <w:rFonts w:cs="Arial"/>
          <w:iCs/>
          <w:szCs w:val="22"/>
        </w:rPr>
        <w:t xml:space="preserve"> in humans</w:t>
      </w:r>
      <w:r w:rsidRPr="006A1C3B">
        <w:rPr>
          <w:rFonts w:cs="Arial"/>
          <w:iCs/>
          <w:szCs w:val="22"/>
        </w:rPr>
        <w:t xml:space="preserve">, particularly Shiga toxin-producing </w:t>
      </w:r>
      <w:r w:rsidRPr="006A1C3B">
        <w:rPr>
          <w:rFonts w:cs="Arial"/>
          <w:i/>
          <w:iCs/>
          <w:szCs w:val="22"/>
        </w:rPr>
        <w:t>E. coli</w:t>
      </w:r>
      <w:r w:rsidRPr="006A1C3B">
        <w:rPr>
          <w:rFonts w:cs="Arial"/>
          <w:iCs/>
          <w:szCs w:val="22"/>
        </w:rPr>
        <w:t xml:space="preserve"> (STEC). Infection with STEC is the main cause of </w:t>
      </w:r>
      <w:r w:rsidRPr="006A1C3B">
        <w:rPr>
          <w:rFonts w:cs="Arial"/>
          <w:szCs w:val="22"/>
        </w:rPr>
        <w:t>h</w:t>
      </w:r>
      <w:r>
        <w:rPr>
          <w:rFonts w:cs="Arial"/>
          <w:szCs w:val="22"/>
        </w:rPr>
        <w:t>aemolytic uraemic syndrome</w:t>
      </w:r>
      <w:r w:rsidRPr="006A1C3B">
        <w:rPr>
          <w:rFonts w:cs="Arial"/>
          <w:szCs w:val="22"/>
        </w:rPr>
        <w:t>, a condition which can be fatal</w:t>
      </w:r>
      <w:r>
        <w:rPr>
          <w:rFonts w:cs="Arial"/>
          <w:szCs w:val="22"/>
        </w:rPr>
        <w:t xml:space="preserve"> in humans.</w:t>
      </w:r>
    </w:p>
    <w:p w14:paraId="2C2E3CBC" w14:textId="77777777" w:rsidR="00285EF0" w:rsidRPr="008F3DA2" w:rsidRDefault="00285EF0" w:rsidP="00787E56">
      <w:pPr>
        <w:pStyle w:val="Heading3"/>
      </w:pPr>
      <w:bookmarkStart w:id="1282" w:name="_Toc66881479"/>
      <w:bookmarkStart w:id="1283" w:name="_Toc66883105"/>
      <w:bookmarkStart w:id="1284" w:name="_Toc87614504"/>
      <w:bookmarkStart w:id="1285" w:name="_Toc87860143"/>
      <w:r w:rsidRPr="0029407A">
        <w:t>Description of the organism</w:t>
      </w:r>
      <w:bookmarkEnd w:id="1282"/>
      <w:bookmarkEnd w:id="1283"/>
      <w:bookmarkEnd w:id="1284"/>
      <w:bookmarkEnd w:id="1285"/>
    </w:p>
    <w:p w14:paraId="04DCB4B1" w14:textId="6059823B" w:rsidR="00285EF0" w:rsidRPr="000F0B4C" w:rsidRDefault="00285EF0" w:rsidP="00285EF0">
      <w:pPr>
        <w:rPr>
          <w:rFonts w:cs="Arial"/>
          <w:szCs w:val="22"/>
        </w:rPr>
      </w:pPr>
      <w:r w:rsidRPr="006A1C3B">
        <w:rPr>
          <w:rFonts w:cs="Arial"/>
          <w:i/>
          <w:iCs/>
          <w:szCs w:val="22"/>
        </w:rPr>
        <w:t>E. coli</w:t>
      </w:r>
      <w:r w:rsidRPr="006A1C3B">
        <w:rPr>
          <w:rFonts w:cs="Arial"/>
          <w:szCs w:val="22"/>
        </w:rPr>
        <w:t xml:space="preserve"> are Gram-negative, rod-shaped bacteria and are members of the family </w:t>
      </w:r>
      <w:r w:rsidRPr="00D050BB">
        <w:rPr>
          <w:rFonts w:cs="Arial"/>
          <w:i/>
          <w:szCs w:val="22"/>
        </w:rPr>
        <w:t>Enterobacteriaceae</w:t>
      </w:r>
      <w:r w:rsidRPr="006A1C3B">
        <w:rPr>
          <w:rFonts w:cs="Arial"/>
          <w:szCs w:val="22"/>
        </w:rPr>
        <w:t xml:space="preserve">. Other species of the genus </w:t>
      </w:r>
      <w:r w:rsidRPr="006A1C3B">
        <w:rPr>
          <w:rFonts w:cs="Arial"/>
          <w:i/>
          <w:szCs w:val="22"/>
        </w:rPr>
        <w:t>Escherichia</w:t>
      </w:r>
      <w:r w:rsidRPr="006A1C3B">
        <w:rPr>
          <w:rFonts w:cs="Arial"/>
          <w:szCs w:val="22"/>
        </w:rPr>
        <w:t xml:space="preserve"> include </w:t>
      </w:r>
      <w:r w:rsidRPr="006A1C3B">
        <w:rPr>
          <w:rFonts w:cs="Arial"/>
          <w:i/>
          <w:szCs w:val="22"/>
        </w:rPr>
        <w:t>E. adecarboxy</w:t>
      </w:r>
      <w:r w:rsidR="007C4D68">
        <w:rPr>
          <w:rFonts w:cs="Arial"/>
          <w:i/>
          <w:szCs w:val="22"/>
        </w:rPr>
        <w:t>lata, E. </w:t>
      </w:r>
      <w:r w:rsidRPr="006A1C3B">
        <w:rPr>
          <w:rFonts w:cs="Arial"/>
          <w:i/>
          <w:szCs w:val="22"/>
        </w:rPr>
        <w:t xml:space="preserve">blattae, E. fergusonii, E. hermanii </w:t>
      </w:r>
      <w:r w:rsidRPr="006A1C3B">
        <w:rPr>
          <w:rFonts w:cs="Arial"/>
          <w:szCs w:val="22"/>
        </w:rPr>
        <w:t xml:space="preserve">and </w:t>
      </w:r>
      <w:r>
        <w:rPr>
          <w:rFonts w:cs="Arial"/>
          <w:i/>
          <w:szCs w:val="22"/>
        </w:rPr>
        <w:t>E. vulneris</w:t>
      </w:r>
      <w:r>
        <w:rPr>
          <w:rFonts w:cs="Arial"/>
          <w:szCs w:val="22"/>
        </w:rPr>
        <w:t xml:space="preserve"> </w:t>
      </w:r>
      <w:r>
        <w:rPr>
          <w:rFonts w:cs="Arial"/>
          <w:noProof/>
          <w:szCs w:val="22"/>
        </w:rPr>
        <w:t>(Meng and Schroeder 2007)</w:t>
      </w:r>
      <w:r>
        <w:rPr>
          <w:rFonts w:cs="Arial"/>
          <w:szCs w:val="22"/>
        </w:rPr>
        <w:t>.</w:t>
      </w:r>
    </w:p>
    <w:p w14:paraId="220CAD37" w14:textId="77777777" w:rsidR="00285EF0" w:rsidRPr="006A1C3B" w:rsidRDefault="00285EF0" w:rsidP="00285EF0">
      <w:pPr>
        <w:rPr>
          <w:rFonts w:cs="Arial"/>
          <w:szCs w:val="22"/>
        </w:rPr>
      </w:pPr>
    </w:p>
    <w:p w14:paraId="5B5DD253" w14:textId="7C9A72C9" w:rsidR="00285EF0" w:rsidRPr="006A1C3B" w:rsidRDefault="00285EF0" w:rsidP="00285EF0">
      <w:pPr>
        <w:rPr>
          <w:rFonts w:cs="Arial"/>
          <w:szCs w:val="22"/>
        </w:rPr>
      </w:pPr>
      <w:r w:rsidRPr="006A1C3B">
        <w:rPr>
          <w:rFonts w:cs="Arial"/>
          <w:szCs w:val="22"/>
        </w:rPr>
        <w:t xml:space="preserve">Pathogenic </w:t>
      </w:r>
      <w:r w:rsidRPr="006A1C3B">
        <w:rPr>
          <w:rFonts w:cs="Arial"/>
          <w:i/>
          <w:szCs w:val="22"/>
        </w:rPr>
        <w:t>E. coli</w:t>
      </w:r>
      <w:r w:rsidRPr="006A1C3B">
        <w:rPr>
          <w:rFonts w:cs="Arial"/>
          <w:szCs w:val="22"/>
        </w:rPr>
        <w:t xml:space="preserve"> are classified into specific groups based on the mechanisms by which they cause disease and clinical symptoms. These categories include enterohaemorrhagic </w:t>
      </w:r>
      <w:r w:rsidR="007C4D68">
        <w:rPr>
          <w:rFonts w:cs="Arial"/>
          <w:i/>
          <w:szCs w:val="22"/>
        </w:rPr>
        <w:t>E. </w:t>
      </w:r>
      <w:r w:rsidRPr="006A1C3B">
        <w:rPr>
          <w:rFonts w:cs="Arial"/>
          <w:i/>
          <w:szCs w:val="22"/>
        </w:rPr>
        <w:t>coli</w:t>
      </w:r>
      <w:r w:rsidRPr="006A1C3B">
        <w:rPr>
          <w:rFonts w:cs="Arial"/>
          <w:szCs w:val="22"/>
        </w:rPr>
        <w:t xml:space="preserve"> (EHEC), enteroaggregative </w:t>
      </w:r>
      <w:r w:rsidRPr="006A1C3B">
        <w:rPr>
          <w:rFonts w:cs="Arial"/>
          <w:i/>
          <w:szCs w:val="22"/>
        </w:rPr>
        <w:t>E. coli</w:t>
      </w:r>
      <w:r w:rsidRPr="006A1C3B">
        <w:rPr>
          <w:rFonts w:cs="Arial"/>
          <w:szCs w:val="22"/>
        </w:rPr>
        <w:t xml:space="preserve"> (EAEC), enteroinvasive </w:t>
      </w:r>
      <w:r w:rsidRPr="006A1C3B">
        <w:rPr>
          <w:rFonts w:cs="Arial"/>
          <w:i/>
          <w:szCs w:val="22"/>
        </w:rPr>
        <w:t>E. coli</w:t>
      </w:r>
      <w:r w:rsidRPr="006A1C3B">
        <w:rPr>
          <w:rFonts w:cs="Arial"/>
          <w:szCs w:val="22"/>
        </w:rPr>
        <w:t xml:space="preserve"> (EIEC), enteropathogenic </w:t>
      </w:r>
      <w:r w:rsidRPr="006A1C3B">
        <w:rPr>
          <w:rFonts w:cs="Arial"/>
          <w:i/>
          <w:szCs w:val="22"/>
        </w:rPr>
        <w:t>E. coli</w:t>
      </w:r>
      <w:r w:rsidRPr="006A1C3B">
        <w:rPr>
          <w:rFonts w:cs="Arial"/>
          <w:szCs w:val="22"/>
        </w:rPr>
        <w:t xml:space="preserve"> (EPEC), enterotoxigenic </w:t>
      </w:r>
      <w:r w:rsidRPr="006A1C3B">
        <w:rPr>
          <w:rFonts w:cs="Arial"/>
          <w:i/>
          <w:szCs w:val="22"/>
        </w:rPr>
        <w:t>E. coli</w:t>
      </w:r>
      <w:r w:rsidRPr="006A1C3B">
        <w:rPr>
          <w:rFonts w:cs="Arial"/>
          <w:szCs w:val="22"/>
        </w:rPr>
        <w:t xml:space="preserve"> (ETEC) and diffusely adhering </w:t>
      </w:r>
      <w:r w:rsidR="007C4D68">
        <w:rPr>
          <w:rFonts w:cs="Arial"/>
          <w:i/>
          <w:szCs w:val="22"/>
        </w:rPr>
        <w:t>E. </w:t>
      </w:r>
      <w:r w:rsidRPr="006A1C3B">
        <w:rPr>
          <w:rFonts w:cs="Arial"/>
          <w:szCs w:val="22"/>
        </w:rPr>
        <w:t xml:space="preserve">coli (DAEC) </w:t>
      </w:r>
      <w:r>
        <w:rPr>
          <w:rFonts w:cs="Arial"/>
          <w:noProof/>
          <w:szCs w:val="22"/>
        </w:rPr>
        <w:t>(Montville and Matthews 2005)</w:t>
      </w:r>
      <w:r>
        <w:rPr>
          <w:rFonts w:cs="Arial"/>
          <w:szCs w:val="22"/>
        </w:rPr>
        <w:t xml:space="preserve">. </w:t>
      </w:r>
      <w:r w:rsidRPr="006A1C3B">
        <w:rPr>
          <w:rFonts w:cs="Arial"/>
          <w:szCs w:val="22"/>
        </w:rPr>
        <w:t>STEC are Shiga</w:t>
      </w:r>
      <w:r>
        <w:rPr>
          <w:rFonts w:cs="Arial"/>
          <w:szCs w:val="22"/>
        </w:rPr>
        <w:t xml:space="preserve"> </w:t>
      </w:r>
      <w:r w:rsidRPr="006A1C3B">
        <w:rPr>
          <w:rFonts w:cs="Arial"/>
          <w:szCs w:val="22"/>
        </w:rPr>
        <w:t>toxi</w:t>
      </w:r>
      <w:r>
        <w:rPr>
          <w:rFonts w:cs="Arial"/>
          <w:szCs w:val="22"/>
        </w:rPr>
        <w:t>n-</w:t>
      </w:r>
      <w:r w:rsidRPr="006A1C3B">
        <w:rPr>
          <w:rFonts w:cs="Arial"/>
          <w:szCs w:val="22"/>
        </w:rPr>
        <w:t xml:space="preserve">producing </w:t>
      </w:r>
      <w:r w:rsidRPr="006A1C3B">
        <w:rPr>
          <w:rFonts w:cs="Arial"/>
          <w:i/>
          <w:szCs w:val="22"/>
        </w:rPr>
        <w:t>E. coli</w:t>
      </w:r>
      <w:r w:rsidRPr="006A1C3B">
        <w:rPr>
          <w:rFonts w:cs="Arial"/>
          <w:szCs w:val="22"/>
        </w:rPr>
        <w:t>,</w:t>
      </w:r>
      <w:r>
        <w:rPr>
          <w:rFonts w:cs="Arial"/>
          <w:szCs w:val="22"/>
        </w:rPr>
        <w:t xml:space="preserve"> also known as verocytotoxin-producing </w:t>
      </w:r>
      <w:r>
        <w:rPr>
          <w:rFonts w:cs="Arial"/>
          <w:i/>
          <w:szCs w:val="22"/>
        </w:rPr>
        <w:t xml:space="preserve">E. coli </w:t>
      </w:r>
      <w:r>
        <w:rPr>
          <w:rFonts w:cs="Arial"/>
          <w:szCs w:val="22"/>
        </w:rPr>
        <w:t>(VTEC).</w:t>
      </w:r>
      <w:r w:rsidRPr="006A1C3B">
        <w:rPr>
          <w:rFonts w:cs="Arial"/>
          <w:i/>
          <w:szCs w:val="22"/>
        </w:rPr>
        <w:t xml:space="preserve"> </w:t>
      </w:r>
      <w:r>
        <w:rPr>
          <w:rFonts w:cs="Arial"/>
          <w:szCs w:val="22"/>
        </w:rPr>
        <w:t>T</w:t>
      </w:r>
      <w:r w:rsidRPr="006A1C3B">
        <w:rPr>
          <w:rFonts w:cs="Arial"/>
          <w:szCs w:val="22"/>
        </w:rPr>
        <w:t>he STEC strains that cause haemorrhagic colitis (bloody diarrhoea) belong to the EHEC group</w:t>
      </w:r>
      <w:r>
        <w:rPr>
          <w:rFonts w:cs="Arial"/>
          <w:szCs w:val="22"/>
        </w:rPr>
        <w:t xml:space="preserve"> of pathogenic </w:t>
      </w:r>
      <w:r>
        <w:rPr>
          <w:rFonts w:cs="Arial"/>
          <w:i/>
          <w:szCs w:val="22"/>
        </w:rPr>
        <w:t>E. coli</w:t>
      </w:r>
      <w:r w:rsidRPr="006A1C3B">
        <w:rPr>
          <w:rFonts w:cs="Arial"/>
          <w:szCs w:val="22"/>
        </w:rPr>
        <w:t xml:space="preserve"> </w:t>
      </w:r>
      <w:r w:rsidRPr="006A1C3B">
        <w:rPr>
          <w:rFonts w:cs="Arial"/>
          <w:noProof/>
          <w:szCs w:val="22"/>
        </w:rPr>
        <w:t>(Yoon and Hovde 2008)</w:t>
      </w:r>
      <w:r w:rsidRPr="006A1C3B">
        <w:rPr>
          <w:rFonts w:cs="Arial"/>
          <w:szCs w:val="22"/>
        </w:rPr>
        <w:t xml:space="preserve">. </w:t>
      </w:r>
      <w:r>
        <w:rPr>
          <w:rFonts w:cs="Arial"/>
          <w:szCs w:val="22"/>
        </w:rPr>
        <w:t>In developed countries</w:t>
      </w:r>
      <w:r w:rsidRPr="006A1C3B">
        <w:rPr>
          <w:rFonts w:cs="Arial"/>
          <w:szCs w:val="22"/>
        </w:rPr>
        <w:t xml:space="preserve"> EHEC is the most serious of the pathogenic </w:t>
      </w:r>
      <w:r w:rsidRPr="006A1C3B">
        <w:rPr>
          <w:rFonts w:cs="Arial"/>
          <w:i/>
          <w:szCs w:val="22"/>
        </w:rPr>
        <w:t>E. coli</w:t>
      </w:r>
      <w:r>
        <w:rPr>
          <w:rFonts w:cs="Arial"/>
          <w:szCs w:val="22"/>
        </w:rPr>
        <w:t>, h</w:t>
      </w:r>
      <w:r w:rsidRPr="006A1C3B">
        <w:rPr>
          <w:rFonts w:cs="Arial"/>
          <w:szCs w:val="22"/>
        </w:rPr>
        <w:t xml:space="preserve">owever, in developing countries EPEC is a major </w:t>
      </w:r>
      <w:r>
        <w:rPr>
          <w:rFonts w:cs="Arial"/>
          <w:szCs w:val="22"/>
        </w:rPr>
        <w:t>disease causing agent</w:t>
      </w:r>
      <w:r w:rsidRPr="006A1C3B">
        <w:rPr>
          <w:rFonts w:cs="Arial"/>
          <w:szCs w:val="22"/>
        </w:rPr>
        <w:t xml:space="preserve"> in children </w:t>
      </w:r>
      <w:r w:rsidRPr="006A1C3B">
        <w:rPr>
          <w:rFonts w:cs="Arial"/>
          <w:noProof/>
          <w:szCs w:val="22"/>
        </w:rPr>
        <w:t>(Meng and Schroeder 2007; Ochoa et al. 2008)</w:t>
      </w:r>
      <w:r w:rsidRPr="006A1C3B">
        <w:rPr>
          <w:rFonts w:cs="Arial"/>
          <w:szCs w:val="22"/>
        </w:rPr>
        <w:t>.</w:t>
      </w:r>
    </w:p>
    <w:p w14:paraId="395A8E99" w14:textId="77777777" w:rsidR="00285EF0" w:rsidRPr="006A1C3B" w:rsidRDefault="00285EF0" w:rsidP="00285EF0">
      <w:pPr>
        <w:rPr>
          <w:rFonts w:cs="Arial"/>
          <w:szCs w:val="22"/>
        </w:rPr>
      </w:pPr>
    </w:p>
    <w:p w14:paraId="621D5241" w14:textId="531E2C55" w:rsidR="00285EF0" w:rsidRPr="006A1C3B" w:rsidRDefault="00285EF0" w:rsidP="00285EF0">
      <w:pPr>
        <w:rPr>
          <w:rFonts w:cs="Arial"/>
          <w:szCs w:val="22"/>
        </w:rPr>
      </w:pPr>
      <w:r w:rsidRPr="006A1C3B">
        <w:rPr>
          <w:rFonts w:cs="Arial"/>
          <w:szCs w:val="22"/>
        </w:rPr>
        <w:t xml:space="preserve">Strains of </w:t>
      </w:r>
      <w:r w:rsidRPr="006A1C3B">
        <w:rPr>
          <w:rFonts w:cs="Arial"/>
          <w:i/>
          <w:szCs w:val="22"/>
        </w:rPr>
        <w:t xml:space="preserve">E. coli </w:t>
      </w:r>
      <w:r w:rsidRPr="006A1C3B">
        <w:rPr>
          <w:rFonts w:cs="Arial"/>
          <w:szCs w:val="22"/>
        </w:rPr>
        <w:t>can be characterised serologically based</w:t>
      </w:r>
      <w:r w:rsidR="007C4D68">
        <w:rPr>
          <w:rFonts w:cs="Arial"/>
          <w:szCs w:val="22"/>
        </w:rPr>
        <w:t xml:space="preserve"> on the detection of specific O </w:t>
      </w:r>
      <w:r w:rsidRPr="006A1C3B">
        <w:rPr>
          <w:rFonts w:cs="Arial"/>
          <w:szCs w:val="22"/>
        </w:rPr>
        <w:t xml:space="preserve">(somatic), H (flagella) and K (capsule) antigens. For most </w:t>
      </w:r>
      <w:r w:rsidRPr="006A1C3B">
        <w:rPr>
          <w:rFonts w:cs="Arial"/>
          <w:i/>
          <w:szCs w:val="22"/>
        </w:rPr>
        <w:t xml:space="preserve">E. coli </w:t>
      </w:r>
      <w:r w:rsidR="007C4D68">
        <w:rPr>
          <w:rFonts w:cs="Arial"/>
          <w:szCs w:val="22"/>
        </w:rPr>
        <w:t>strains the O and H </w:t>
      </w:r>
      <w:r w:rsidRPr="006A1C3B">
        <w:rPr>
          <w:rFonts w:cs="Arial"/>
          <w:szCs w:val="22"/>
        </w:rPr>
        <w:t xml:space="preserve">antigens are sufficient to identify the strain. For example, </w:t>
      </w:r>
      <w:r w:rsidRPr="006A1C3B">
        <w:rPr>
          <w:rFonts w:cs="Arial"/>
          <w:i/>
          <w:szCs w:val="22"/>
        </w:rPr>
        <w:t>E. coli</w:t>
      </w:r>
      <w:r w:rsidRPr="006A1C3B">
        <w:rPr>
          <w:rFonts w:cs="Arial"/>
          <w:szCs w:val="22"/>
        </w:rPr>
        <w:t xml:space="preserve"> O157:H7 is the leading cause of STEC infections internationally </w:t>
      </w:r>
      <w:r>
        <w:rPr>
          <w:rFonts w:cs="Arial"/>
          <w:noProof/>
          <w:szCs w:val="22"/>
        </w:rPr>
        <w:t>(Meng and Schroeder 2007; Gyles 2007)</w:t>
      </w:r>
      <w:r>
        <w:rPr>
          <w:rFonts w:cs="Arial"/>
          <w:szCs w:val="22"/>
        </w:rPr>
        <w:t>.</w:t>
      </w:r>
    </w:p>
    <w:p w14:paraId="19E97D2E" w14:textId="77777777" w:rsidR="00285EF0" w:rsidRPr="006A1C3B" w:rsidRDefault="00285EF0" w:rsidP="00787E56">
      <w:pPr>
        <w:pStyle w:val="Heading3"/>
      </w:pPr>
      <w:bookmarkStart w:id="1286" w:name="_Toc66881480"/>
      <w:bookmarkStart w:id="1287" w:name="_Toc66883106"/>
      <w:bookmarkStart w:id="1288" w:name="_Toc87614505"/>
      <w:bookmarkStart w:id="1289" w:name="_Toc87860144"/>
      <w:r>
        <w:t>Growth and survival characteristics</w:t>
      </w:r>
      <w:bookmarkEnd w:id="1286"/>
      <w:bookmarkEnd w:id="1287"/>
      <w:bookmarkEnd w:id="1288"/>
      <w:bookmarkEnd w:id="1289"/>
    </w:p>
    <w:p w14:paraId="2D7400F7" w14:textId="77777777" w:rsidR="00285EF0" w:rsidRPr="006A1C3B" w:rsidRDefault="00285EF0" w:rsidP="00285EF0">
      <w:pPr>
        <w:rPr>
          <w:rFonts w:cs="Arial"/>
          <w:szCs w:val="22"/>
        </w:rPr>
      </w:pPr>
      <w:r w:rsidRPr="006A1C3B">
        <w:rPr>
          <w:rFonts w:cs="Arial"/>
          <w:szCs w:val="22"/>
        </w:rPr>
        <w:t xml:space="preserve">The growth and survival of </w:t>
      </w:r>
      <w:r w:rsidRPr="006A1C3B">
        <w:rPr>
          <w:rFonts w:cs="Arial"/>
          <w:i/>
          <w:szCs w:val="22"/>
        </w:rPr>
        <w:t>E. coli</w:t>
      </w:r>
      <w:r w:rsidRPr="006A1C3B">
        <w:rPr>
          <w:rFonts w:cs="Arial"/>
          <w:szCs w:val="22"/>
        </w:rPr>
        <w:t xml:space="preserve"> depends on a number of environmental factors such as temperature, pH, water activity </w:t>
      </w:r>
      <w:r>
        <w:rPr>
          <w:rFonts w:cs="Arial"/>
          <w:szCs w:val="22"/>
        </w:rPr>
        <w:t>(</w:t>
      </w:r>
      <w:r w:rsidRPr="006A1C3B">
        <w:rPr>
          <w:rFonts w:cs="Arial"/>
          <w:szCs w:val="22"/>
        </w:rPr>
        <w:t>a</w:t>
      </w:r>
      <w:r w:rsidRPr="006A1C3B">
        <w:rPr>
          <w:rFonts w:cs="Arial"/>
          <w:szCs w:val="22"/>
          <w:vertAlign w:val="subscript"/>
        </w:rPr>
        <w:t>w</w:t>
      </w:r>
      <w:r w:rsidRPr="006A1C3B">
        <w:rPr>
          <w:rFonts w:cs="Arial"/>
          <w:szCs w:val="22"/>
        </w:rPr>
        <w:t xml:space="preserve">) and the composition of the food (refer to Table </w:t>
      </w:r>
      <w:r>
        <w:rPr>
          <w:rFonts w:cs="Arial"/>
          <w:szCs w:val="22"/>
        </w:rPr>
        <w:t>A10-</w:t>
      </w:r>
      <w:r w:rsidRPr="006A1C3B">
        <w:rPr>
          <w:rFonts w:cs="Arial"/>
          <w:szCs w:val="22"/>
        </w:rPr>
        <w:t>1)</w:t>
      </w:r>
      <w:r>
        <w:rPr>
          <w:rFonts w:cs="Arial"/>
          <w:szCs w:val="22"/>
        </w:rPr>
        <w:t>.</w:t>
      </w:r>
    </w:p>
    <w:p w14:paraId="5655C07F" w14:textId="77777777" w:rsidR="00285EF0" w:rsidRPr="006A1C3B" w:rsidRDefault="00285EF0" w:rsidP="00285EF0">
      <w:pPr>
        <w:rPr>
          <w:rFonts w:cs="Arial"/>
          <w:szCs w:val="22"/>
        </w:rPr>
      </w:pPr>
    </w:p>
    <w:p w14:paraId="32C6ADE4" w14:textId="77777777" w:rsidR="00285EF0" w:rsidRDefault="00285EF0" w:rsidP="00285EF0">
      <w:pPr>
        <w:rPr>
          <w:rFonts w:cs="Arial"/>
          <w:szCs w:val="22"/>
        </w:rPr>
      </w:pPr>
      <w:r w:rsidRPr="006A1C3B">
        <w:rPr>
          <w:rFonts w:cs="Arial"/>
          <w:szCs w:val="22"/>
        </w:rPr>
        <w:t xml:space="preserve">The temperature range for growth of </w:t>
      </w:r>
      <w:r w:rsidRPr="006A1C3B">
        <w:rPr>
          <w:rFonts w:cs="Arial"/>
          <w:i/>
          <w:szCs w:val="22"/>
        </w:rPr>
        <w:t xml:space="preserve">E. coli </w:t>
      </w:r>
      <w:r w:rsidRPr="006A1C3B">
        <w:rPr>
          <w:rFonts w:cs="Arial"/>
          <w:szCs w:val="22"/>
        </w:rPr>
        <w:t>is 7–8°C to 46°C, with an optimum temperature of 35–40°C</w:t>
      </w:r>
      <w:r>
        <w:rPr>
          <w:rFonts w:cs="Arial"/>
          <w:szCs w:val="22"/>
        </w:rPr>
        <w:t xml:space="preserve"> </w:t>
      </w:r>
      <w:r>
        <w:rPr>
          <w:rFonts w:cs="Arial"/>
          <w:noProof/>
          <w:szCs w:val="22"/>
        </w:rPr>
        <w:t>(ICMSF 1996)</w:t>
      </w:r>
      <w:r>
        <w:rPr>
          <w:rFonts w:cs="Arial"/>
          <w:szCs w:val="22"/>
        </w:rPr>
        <w:t xml:space="preserve">. </w:t>
      </w:r>
      <w:r w:rsidRPr="006A1C3B">
        <w:rPr>
          <w:rFonts w:cs="Arial"/>
          <w:noProof/>
          <w:szCs w:val="22"/>
        </w:rPr>
        <w:t xml:space="preserve">Heat resistance of </w:t>
      </w:r>
      <w:r w:rsidRPr="006A1C3B">
        <w:rPr>
          <w:rFonts w:cs="Arial"/>
          <w:i/>
          <w:noProof/>
          <w:szCs w:val="22"/>
        </w:rPr>
        <w:t xml:space="preserve">E. </w:t>
      </w:r>
      <w:r w:rsidRPr="005B4F79">
        <w:rPr>
          <w:rFonts w:cs="Arial"/>
          <w:i/>
          <w:noProof/>
          <w:szCs w:val="22"/>
        </w:rPr>
        <w:t>coli</w:t>
      </w:r>
      <w:r w:rsidRPr="006A1C3B">
        <w:rPr>
          <w:rFonts w:cs="Arial"/>
          <w:noProof/>
          <w:szCs w:val="22"/>
        </w:rPr>
        <w:t xml:space="preserve"> in food is dependent on the co</w:t>
      </w:r>
      <w:r>
        <w:rPr>
          <w:rFonts w:cs="Arial"/>
          <w:noProof/>
          <w:szCs w:val="22"/>
        </w:rPr>
        <w:t>mposition, pH and</w:t>
      </w:r>
      <w:r w:rsidRPr="006A1C3B">
        <w:rPr>
          <w:rFonts w:cs="Arial"/>
          <w:noProof/>
          <w:szCs w:val="22"/>
        </w:rPr>
        <w:t xml:space="preserve"> </w:t>
      </w:r>
      <w:r w:rsidRPr="006A1C3B">
        <w:rPr>
          <w:rFonts w:cs="Arial"/>
          <w:szCs w:val="22"/>
        </w:rPr>
        <w:t>a</w:t>
      </w:r>
      <w:r w:rsidRPr="006A1C3B">
        <w:rPr>
          <w:rFonts w:cs="Arial"/>
          <w:szCs w:val="22"/>
          <w:vertAlign w:val="subscript"/>
        </w:rPr>
        <w:t>w</w:t>
      </w:r>
      <w:r w:rsidRPr="006A1C3B">
        <w:rPr>
          <w:rFonts w:cs="Arial"/>
          <w:szCs w:val="22"/>
        </w:rPr>
        <w:t xml:space="preserve"> </w:t>
      </w:r>
      <w:r w:rsidRPr="006A1C3B">
        <w:rPr>
          <w:rFonts w:cs="Arial"/>
          <w:noProof/>
          <w:szCs w:val="22"/>
        </w:rPr>
        <w:t xml:space="preserve">of the food. The heat resistance of </w:t>
      </w:r>
      <w:r w:rsidRPr="006A1C3B">
        <w:rPr>
          <w:rFonts w:cs="Arial"/>
          <w:i/>
          <w:noProof/>
          <w:szCs w:val="22"/>
        </w:rPr>
        <w:t xml:space="preserve">E. </w:t>
      </w:r>
      <w:r w:rsidRPr="005B4F79">
        <w:rPr>
          <w:rFonts w:cs="Arial"/>
          <w:i/>
          <w:noProof/>
          <w:szCs w:val="22"/>
        </w:rPr>
        <w:t>coli</w:t>
      </w:r>
      <w:r w:rsidRPr="006A1C3B">
        <w:rPr>
          <w:rFonts w:cs="Arial"/>
          <w:noProof/>
          <w:szCs w:val="22"/>
        </w:rPr>
        <w:t xml:space="preserve"> increases as the </w:t>
      </w:r>
      <w:r w:rsidRPr="006A1C3B">
        <w:rPr>
          <w:rFonts w:cs="Arial"/>
          <w:szCs w:val="22"/>
        </w:rPr>
        <w:t>a</w:t>
      </w:r>
      <w:r w:rsidRPr="006A1C3B">
        <w:rPr>
          <w:rFonts w:cs="Arial"/>
          <w:szCs w:val="22"/>
          <w:vertAlign w:val="subscript"/>
        </w:rPr>
        <w:t>w</w:t>
      </w:r>
      <w:r>
        <w:rPr>
          <w:rFonts w:cs="Arial"/>
          <w:szCs w:val="22"/>
        </w:rPr>
        <w:t xml:space="preserve"> </w:t>
      </w:r>
      <w:r w:rsidRPr="006A1C3B">
        <w:rPr>
          <w:rFonts w:cs="Arial"/>
          <w:noProof/>
          <w:szCs w:val="22"/>
        </w:rPr>
        <w:t xml:space="preserve">decreases. Also, </w:t>
      </w:r>
      <w:r w:rsidRPr="006A1C3B">
        <w:rPr>
          <w:rFonts w:cs="Arial"/>
          <w:i/>
          <w:noProof/>
          <w:szCs w:val="22"/>
        </w:rPr>
        <w:t xml:space="preserve">E. </w:t>
      </w:r>
      <w:r w:rsidRPr="005B4F79">
        <w:rPr>
          <w:rFonts w:cs="Arial"/>
          <w:i/>
          <w:noProof/>
          <w:szCs w:val="22"/>
        </w:rPr>
        <w:t>coli</w:t>
      </w:r>
      <w:r w:rsidRPr="006A1C3B">
        <w:rPr>
          <w:rFonts w:cs="Arial"/>
          <w:noProof/>
          <w:szCs w:val="22"/>
        </w:rPr>
        <w:t xml:space="preserve"> is more resistant to heat when it is in </w:t>
      </w:r>
      <w:r>
        <w:rPr>
          <w:rFonts w:cs="Arial"/>
          <w:noProof/>
          <w:szCs w:val="22"/>
        </w:rPr>
        <w:t xml:space="preserve">its </w:t>
      </w:r>
      <w:r w:rsidRPr="006A1C3B">
        <w:rPr>
          <w:rFonts w:cs="Arial"/>
          <w:noProof/>
          <w:szCs w:val="22"/>
        </w:rPr>
        <w:t xml:space="preserve">stationary phase </w:t>
      </w:r>
      <w:r>
        <w:rPr>
          <w:rFonts w:cs="Arial"/>
          <w:noProof/>
          <w:szCs w:val="22"/>
        </w:rPr>
        <w:t xml:space="preserve">of growth </w:t>
      </w:r>
      <w:r w:rsidRPr="006A1C3B">
        <w:rPr>
          <w:rFonts w:cs="Arial"/>
          <w:noProof/>
          <w:szCs w:val="22"/>
        </w:rPr>
        <w:t xml:space="preserve">compared to </w:t>
      </w:r>
      <w:r>
        <w:rPr>
          <w:rFonts w:cs="Arial"/>
          <w:noProof/>
          <w:szCs w:val="22"/>
        </w:rPr>
        <w:t xml:space="preserve">its </w:t>
      </w:r>
      <w:r w:rsidRPr="006A1C3B">
        <w:rPr>
          <w:rFonts w:cs="Arial"/>
          <w:noProof/>
          <w:szCs w:val="22"/>
        </w:rPr>
        <w:t xml:space="preserve">log phase </w:t>
      </w:r>
      <w:r>
        <w:rPr>
          <w:rFonts w:cs="Arial"/>
          <w:noProof/>
          <w:szCs w:val="22"/>
        </w:rPr>
        <w:t xml:space="preserve">of </w:t>
      </w:r>
      <w:r w:rsidRPr="006A1C3B">
        <w:rPr>
          <w:rFonts w:cs="Arial"/>
          <w:noProof/>
          <w:szCs w:val="22"/>
        </w:rPr>
        <w:t xml:space="preserve">growth (Desmarchelier and Fegan 2003). Low temperature has little effect on </w:t>
      </w:r>
      <w:r w:rsidRPr="006A1C3B">
        <w:rPr>
          <w:rFonts w:cs="Arial"/>
          <w:i/>
          <w:noProof/>
          <w:szCs w:val="22"/>
        </w:rPr>
        <w:t xml:space="preserve">E. coli </w:t>
      </w:r>
      <w:r w:rsidRPr="006A1C3B">
        <w:rPr>
          <w:rFonts w:cs="Arial"/>
          <w:noProof/>
          <w:szCs w:val="22"/>
        </w:rPr>
        <w:t>survival.</w:t>
      </w:r>
      <w:r w:rsidRPr="006A1C3B">
        <w:rPr>
          <w:rFonts w:cs="Arial"/>
          <w:i/>
          <w:noProof/>
          <w:szCs w:val="22"/>
        </w:rPr>
        <w:t xml:space="preserve"> </w:t>
      </w:r>
      <w:r w:rsidRPr="006A1C3B">
        <w:rPr>
          <w:rFonts w:cs="Arial"/>
          <w:szCs w:val="22"/>
        </w:rPr>
        <w:t xml:space="preserve">Strawn and Danyluk </w:t>
      </w:r>
      <w:r w:rsidRPr="006A1C3B">
        <w:rPr>
          <w:rFonts w:cs="Arial"/>
          <w:noProof/>
          <w:szCs w:val="22"/>
        </w:rPr>
        <w:t>(2010)</w:t>
      </w:r>
      <w:r w:rsidRPr="006A1C3B">
        <w:rPr>
          <w:rFonts w:cs="Arial"/>
          <w:szCs w:val="22"/>
        </w:rPr>
        <w:t xml:space="preserve"> showed that </w:t>
      </w:r>
      <w:r w:rsidRPr="006A1C3B">
        <w:rPr>
          <w:rFonts w:cs="Arial"/>
          <w:i/>
          <w:szCs w:val="22"/>
        </w:rPr>
        <w:t xml:space="preserve">E. coli </w:t>
      </w:r>
      <w:r w:rsidRPr="006A1C3B">
        <w:rPr>
          <w:rFonts w:cs="Arial"/>
          <w:szCs w:val="22"/>
        </w:rPr>
        <w:t>O157:H7 was able to survive on mangoes and papaya</w:t>
      </w:r>
      <w:r>
        <w:rPr>
          <w:rFonts w:cs="Arial"/>
          <w:szCs w:val="22"/>
        </w:rPr>
        <w:t>s stored at -20</w:t>
      </w:r>
      <w:r w:rsidRPr="006A1C3B">
        <w:rPr>
          <w:rFonts w:cs="Arial"/>
          <w:szCs w:val="22"/>
        </w:rPr>
        <w:t>°C for at least 180 days.</w:t>
      </w:r>
    </w:p>
    <w:p w14:paraId="0B09D0EF" w14:textId="77777777" w:rsidR="00285EF0" w:rsidRDefault="00285EF0" w:rsidP="00285EF0">
      <w:pPr>
        <w:rPr>
          <w:rFonts w:cs="Arial"/>
          <w:szCs w:val="22"/>
        </w:rPr>
      </w:pPr>
    </w:p>
    <w:p w14:paraId="3C896EC3" w14:textId="77777777" w:rsidR="00E94ED2" w:rsidRDefault="00E94ED2">
      <w:pPr>
        <w:widowControl/>
        <w:rPr>
          <w:rFonts w:cs="Arial"/>
          <w:i/>
          <w:szCs w:val="22"/>
        </w:rPr>
      </w:pPr>
      <w:r>
        <w:rPr>
          <w:rFonts w:cs="Arial"/>
          <w:i/>
          <w:szCs w:val="22"/>
        </w:rPr>
        <w:br w:type="page"/>
      </w:r>
    </w:p>
    <w:p w14:paraId="12A110C8" w14:textId="5A6DACC2" w:rsidR="00285EF0" w:rsidRDefault="00285EF0" w:rsidP="00285EF0">
      <w:pPr>
        <w:rPr>
          <w:rFonts w:cs="Arial"/>
          <w:szCs w:val="22"/>
        </w:rPr>
      </w:pPr>
      <w:r w:rsidRPr="006A1C3B">
        <w:rPr>
          <w:rFonts w:cs="Arial"/>
          <w:i/>
          <w:szCs w:val="22"/>
        </w:rPr>
        <w:t>E. coli</w:t>
      </w:r>
      <w:r w:rsidRPr="006A1C3B">
        <w:rPr>
          <w:rFonts w:cs="Arial"/>
          <w:szCs w:val="22"/>
        </w:rPr>
        <w:t xml:space="preserve"> grow in a broad pH range of 4.4–10.0, with an optimum pH of 6–7 </w:t>
      </w:r>
      <w:r>
        <w:rPr>
          <w:rFonts w:cs="Arial"/>
          <w:noProof/>
          <w:szCs w:val="22"/>
        </w:rPr>
        <w:t>(Desmarchelier and Fegan 2003)</w:t>
      </w:r>
      <w:r w:rsidRPr="006A1C3B">
        <w:rPr>
          <w:rFonts w:cs="Arial"/>
          <w:szCs w:val="22"/>
        </w:rPr>
        <w:t xml:space="preserve">. A study by Molina </w:t>
      </w:r>
      <w:r>
        <w:rPr>
          <w:rFonts w:cs="Arial"/>
          <w:szCs w:val="22"/>
        </w:rPr>
        <w:t xml:space="preserve">et al. </w:t>
      </w:r>
      <w:r w:rsidRPr="006A1C3B">
        <w:rPr>
          <w:rFonts w:cs="Arial"/>
          <w:noProof/>
          <w:szCs w:val="22"/>
        </w:rPr>
        <w:t>(2003)</w:t>
      </w:r>
      <w:r w:rsidRPr="006A1C3B">
        <w:rPr>
          <w:rFonts w:cs="Arial"/>
          <w:szCs w:val="22"/>
        </w:rPr>
        <w:t xml:space="preserve"> demonstrated</w:t>
      </w:r>
      <w:r>
        <w:rPr>
          <w:rFonts w:cs="Arial"/>
          <w:szCs w:val="22"/>
        </w:rPr>
        <w:t xml:space="preserve"> that</w:t>
      </w:r>
      <w:r w:rsidRPr="006A1C3B">
        <w:rPr>
          <w:rFonts w:cs="Arial"/>
          <w:szCs w:val="22"/>
        </w:rPr>
        <w:t xml:space="preserve"> STEC are tolerant to acidic conditions</w:t>
      </w:r>
      <w:r>
        <w:rPr>
          <w:rFonts w:cs="Arial"/>
          <w:szCs w:val="22"/>
        </w:rPr>
        <w:t>,</w:t>
      </w:r>
      <w:r w:rsidRPr="006A1C3B">
        <w:rPr>
          <w:rFonts w:cs="Arial"/>
          <w:szCs w:val="22"/>
        </w:rPr>
        <w:t xml:space="preserve"> with many STEC strains able to survive at pH 2.5–3.0 for over 4 hours. </w:t>
      </w:r>
      <w:r w:rsidR="007C4D68">
        <w:rPr>
          <w:rFonts w:cs="Arial"/>
          <w:i/>
          <w:szCs w:val="22"/>
        </w:rPr>
        <w:t>E. coli </w:t>
      </w:r>
      <w:r w:rsidRPr="006A1C3B">
        <w:rPr>
          <w:rFonts w:cs="Arial"/>
          <w:szCs w:val="22"/>
        </w:rPr>
        <w:t xml:space="preserve">O91:H21 was able to survive at pH 3.0 for more than 24 hours. Arnold and Kaspar </w:t>
      </w:r>
      <w:r w:rsidRPr="006A1C3B">
        <w:rPr>
          <w:rFonts w:cs="Arial"/>
          <w:noProof/>
          <w:szCs w:val="22"/>
        </w:rPr>
        <w:t>(1995)</w:t>
      </w:r>
      <w:r w:rsidRPr="006A1C3B">
        <w:rPr>
          <w:rFonts w:cs="Arial"/>
          <w:szCs w:val="22"/>
        </w:rPr>
        <w:t xml:space="preserve"> found that </w:t>
      </w:r>
      <w:r w:rsidRPr="006A1C3B">
        <w:rPr>
          <w:rFonts w:cs="Arial"/>
          <w:i/>
          <w:szCs w:val="22"/>
        </w:rPr>
        <w:t>E. coli</w:t>
      </w:r>
      <w:r w:rsidRPr="006A1C3B">
        <w:rPr>
          <w:rFonts w:cs="Arial"/>
          <w:szCs w:val="22"/>
        </w:rPr>
        <w:t xml:space="preserve"> O157:H7 is more tolerant to acid when it is in stationary </w:t>
      </w:r>
      <w:r>
        <w:rPr>
          <w:rFonts w:cs="Arial"/>
          <w:szCs w:val="22"/>
        </w:rPr>
        <w:t xml:space="preserve">growth </w:t>
      </w:r>
      <w:r w:rsidRPr="006A1C3B">
        <w:rPr>
          <w:rFonts w:cs="Arial"/>
          <w:szCs w:val="22"/>
        </w:rPr>
        <w:t>phase or s</w:t>
      </w:r>
      <w:r>
        <w:rPr>
          <w:rFonts w:cs="Arial"/>
          <w:szCs w:val="22"/>
        </w:rPr>
        <w:t>tarved during its log-phase of growth.</w:t>
      </w:r>
      <w:r w:rsidRPr="006A1C3B">
        <w:rPr>
          <w:rFonts w:cs="Arial"/>
          <w:szCs w:val="22"/>
        </w:rPr>
        <w:t xml:space="preserve"> Therefore STEC may be able to survive and grow in food products previously considered too acidic to support the su</w:t>
      </w:r>
      <w:r>
        <w:rPr>
          <w:rFonts w:cs="Arial"/>
          <w:szCs w:val="22"/>
        </w:rPr>
        <w:t xml:space="preserve">rvival of foodborne pathogens. </w:t>
      </w:r>
      <w:r w:rsidRPr="006A1C3B">
        <w:rPr>
          <w:rFonts w:cs="Arial"/>
          <w:szCs w:val="22"/>
        </w:rPr>
        <w:t xml:space="preserve">The effect of pH on </w:t>
      </w:r>
      <w:r w:rsidRPr="006A1C3B">
        <w:rPr>
          <w:rFonts w:cs="Arial"/>
          <w:i/>
          <w:szCs w:val="22"/>
        </w:rPr>
        <w:t>E. coli</w:t>
      </w:r>
      <w:r w:rsidRPr="006A1C3B">
        <w:rPr>
          <w:rFonts w:cs="Arial"/>
          <w:szCs w:val="22"/>
        </w:rPr>
        <w:t xml:space="preserve"> survival, however, is dependen</w:t>
      </w:r>
      <w:r>
        <w:rPr>
          <w:rFonts w:cs="Arial"/>
          <w:szCs w:val="22"/>
        </w:rPr>
        <w:t xml:space="preserve">t on the type of acid present. </w:t>
      </w:r>
      <w:r w:rsidRPr="006A1C3B">
        <w:rPr>
          <w:rFonts w:cs="Arial"/>
          <w:szCs w:val="22"/>
        </w:rPr>
        <w:t xml:space="preserve">For example, </w:t>
      </w:r>
      <w:r w:rsidRPr="006A1C3B">
        <w:rPr>
          <w:rFonts w:cs="Arial"/>
          <w:i/>
          <w:szCs w:val="22"/>
        </w:rPr>
        <w:t>E. coli</w:t>
      </w:r>
      <w:r w:rsidRPr="006A1C3B">
        <w:rPr>
          <w:rFonts w:cs="Arial"/>
          <w:szCs w:val="22"/>
        </w:rPr>
        <w:t xml:space="preserve"> O157:H7 can survive in a growth medium adjusted to pH 4.5 with hydrochloric acid but not when adjusted to the same pH with lactic acid </w:t>
      </w:r>
      <w:r>
        <w:rPr>
          <w:rFonts w:cs="Arial"/>
          <w:noProof/>
          <w:szCs w:val="22"/>
        </w:rPr>
        <w:t>(ICMSF 1996)</w:t>
      </w:r>
      <w:r>
        <w:rPr>
          <w:rFonts w:cs="Arial"/>
          <w:szCs w:val="22"/>
        </w:rPr>
        <w:t>.</w:t>
      </w:r>
    </w:p>
    <w:p w14:paraId="480D85B9" w14:textId="77777777" w:rsidR="00285EF0" w:rsidRDefault="00285EF0" w:rsidP="00285EF0">
      <w:pPr>
        <w:keepLines/>
        <w:rPr>
          <w:rFonts w:cs="Arial"/>
          <w:szCs w:val="22"/>
        </w:rPr>
      </w:pPr>
    </w:p>
    <w:p w14:paraId="49CFE578" w14:textId="77777777" w:rsidR="00285EF0" w:rsidRPr="006A1C3B" w:rsidRDefault="00285EF0" w:rsidP="00285EF0">
      <w:pPr>
        <w:keepLines/>
        <w:rPr>
          <w:rFonts w:cs="Arial"/>
          <w:szCs w:val="22"/>
        </w:rPr>
      </w:pPr>
      <w:r>
        <w:rPr>
          <w:rFonts w:cs="Arial"/>
          <w:szCs w:val="22"/>
        </w:rPr>
        <w:t xml:space="preserve">The minimum </w:t>
      </w:r>
      <w:r w:rsidRPr="006A1C3B">
        <w:rPr>
          <w:rFonts w:cs="Arial"/>
          <w:szCs w:val="22"/>
        </w:rPr>
        <w:t>a</w:t>
      </w:r>
      <w:r w:rsidRPr="006A1C3B">
        <w:rPr>
          <w:rFonts w:cs="Arial"/>
          <w:szCs w:val="22"/>
          <w:vertAlign w:val="subscript"/>
        </w:rPr>
        <w:t>w</w:t>
      </w:r>
      <w:r>
        <w:rPr>
          <w:rFonts w:cs="Arial"/>
          <w:szCs w:val="22"/>
        </w:rPr>
        <w:t xml:space="preserve"> </w:t>
      </w:r>
      <w:r w:rsidRPr="006A1C3B">
        <w:rPr>
          <w:rFonts w:cs="Arial"/>
          <w:szCs w:val="22"/>
        </w:rPr>
        <w:t xml:space="preserve">required for growth of </w:t>
      </w:r>
      <w:r w:rsidRPr="006A1C3B">
        <w:rPr>
          <w:rFonts w:cs="Arial"/>
          <w:i/>
          <w:szCs w:val="22"/>
        </w:rPr>
        <w:t>E. coli</w:t>
      </w:r>
      <w:r w:rsidRPr="006A1C3B">
        <w:rPr>
          <w:rFonts w:cs="Arial"/>
          <w:szCs w:val="22"/>
        </w:rPr>
        <w:t xml:space="preserve"> is 0.95</w:t>
      </w:r>
      <w:r>
        <w:rPr>
          <w:rFonts w:cs="Arial"/>
          <w:szCs w:val="22"/>
        </w:rPr>
        <w:t xml:space="preserve">. </w:t>
      </w:r>
      <w:r w:rsidRPr="006A1C3B">
        <w:rPr>
          <w:rFonts w:cs="Arial"/>
          <w:szCs w:val="22"/>
        </w:rPr>
        <w:t>In sub-optimal temperature or pH conditions, a higher a</w:t>
      </w:r>
      <w:r w:rsidRPr="006A1C3B">
        <w:rPr>
          <w:rFonts w:cs="Arial"/>
          <w:szCs w:val="22"/>
          <w:vertAlign w:val="subscript"/>
        </w:rPr>
        <w:t>w</w:t>
      </w:r>
      <w:r w:rsidRPr="006A1C3B">
        <w:rPr>
          <w:rFonts w:cs="Arial"/>
          <w:szCs w:val="22"/>
        </w:rPr>
        <w:t xml:space="preserve"> value is required for growth of </w:t>
      </w:r>
      <w:r w:rsidRPr="006A1C3B">
        <w:rPr>
          <w:rFonts w:cs="Arial"/>
          <w:i/>
          <w:szCs w:val="22"/>
        </w:rPr>
        <w:t>E. coli</w:t>
      </w:r>
      <w:r w:rsidRPr="006A1C3B">
        <w:rPr>
          <w:rFonts w:cs="Arial"/>
          <w:szCs w:val="22"/>
        </w:rPr>
        <w:t xml:space="preserve"> </w:t>
      </w:r>
      <w:r>
        <w:rPr>
          <w:rFonts w:cs="Arial"/>
          <w:noProof/>
          <w:szCs w:val="22"/>
        </w:rPr>
        <w:t>(Desmarchelier and Fegan 2003)</w:t>
      </w:r>
      <w:r w:rsidRPr="006A1C3B">
        <w:rPr>
          <w:rFonts w:cs="Arial"/>
          <w:szCs w:val="22"/>
        </w:rPr>
        <w:t>.</w:t>
      </w:r>
    </w:p>
    <w:p w14:paraId="47A30F93" w14:textId="77777777" w:rsidR="00285EF0" w:rsidRPr="006A1C3B" w:rsidRDefault="00285EF0" w:rsidP="00285EF0">
      <w:pPr>
        <w:rPr>
          <w:rFonts w:cs="Arial"/>
          <w:szCs w:val="22"/>
        </w:rPr>
      </w:pPr>
    </w:p>
    <w:p w14:paraId="55995238" w14:textId="77777777" w:rsidR="00285EF0" w:rsidRPr="006A1C3B" w:rsidRDefault="00285EF0" w:rsidP="00285EF0">
      <w:pPr>
        <w:rPr>
          <w:rFonts w:cs="Arial"/>
          <w:szCs w:val="22"/>
        </w:rPr>
      </w:pPr>
      <w:r w:rsidRPr="006A1C3B">
        <w:rPr>
          <w:rFonts w:cs="Arial"/>
          <w:i/>
          <w:szCs w:val="22"/>
        </w:rPr>
        <w:t xml:space="preserve">E. coli </w:t>
      </w:r>
      <w:r w:rsidRPr="006A1C3B">
        <w:rPr>
          <w:rFonts w:cs="Arial"/>
          <w:szCs w:val="22"/>
        </w:rPr>
        <w:t>are facultative anaerobic organisms so do not require oxygen for growth</w:t>
      </w:r>
      <w:r>
        <w:rPr>
          <w:rFonts w:cs="Arial"/>
          <w:szCs w:val="22"/>
        </w:rPr>
        <w:t>.</w:t>
      </w:r>
      <w:r w:rsidRPr="006A1C3B">
        <w:rPr>
          <w:rFonts w:cs="Arial"/>
          <w:szCs w:val="22"/>
        </w:rPr>
        <w:t xml:space="preserve"> </w:t>
      </w:r>
      <w:r>
        <w:rPr>
          <w:rFonts w:cs="Arial"/>
          <w:szCs w:val="22"/>
        </w:rPr>
        <w:t>H</w:t>
      </w:r>
      <w:r w:rsidRPr="006A1C3B">
        <w:rPr>
          <w:rFonts w:cs="Arial"/>
          <w:szCs w:val="22"/>
        </w:rPr>
        <w:t xml:space="preserve">owever, they grow better in aerobic conditions </w:t>
      </w:r>
      <w:r>
        <w:rPr>
          <w:rFonts w:cs="Arial"/>
          <w:noProof/>
          <w:szCs w:val="22"/>
        </w:rPr>
        <w:t>(Meng and Schroeder 2007)</w:t>
      </w:r>
      <w:r w:rsidRPr="006A1C3B">
        <w:rPr>
          <w:rFonts w:cs="Arial"/>
          <w:szCs w:val="22"/>
        </w:rPr>
        <w:t>.</w:t>
      </w:r>
    </w:p>
    <w:p w14:paraId="75F403AF" w14:textId="77777777" w:rsidR="00285EF0" w:rsidRPr="006A1C3B" w:rsidRDefault="00285EF0" w:rsidP="00285EF0">
      <w:pPr>
        <w:rPr>
          <w:rFonts w:cs="Arial"/>
          <w:szCs w:val="22"/>
        </w:rPr>
      </w:pPr>
    </w:p>
    <w:p w14:paraId="2D3E4C82" w14:textId="77777777" w:rsidR="00285EF0" w:rsidRDefault="00285EF0" w:rsidP="00285EF0">
      <w:pPr>
        <w:rPr>
          <w:rFonts w:cs="Arial"/>
          <w:noProof/>
          <w:szCs w:val="22"/>
        </w:rPr>
      </w:pPr>
      <w:r w:rsidRPr="009E0634">
        <w:rPr>
          <w:rFonts w:cs="Arial"/>
          <w:szCs w:val="22"/>
        </w:rPr>
        <w:t>Table A10-</w:t>
      </w:r>
      <w:r>
        <w:rPr>
          <w:rFonts w:cs="Arial"/>
          <w:szCs w:val="22"/>
        </w:rPr>
        <w:t>1.</w:t>
      </w:r>
      <w:r w:rsidRPr="009E0634">
        <w:rPr>
          <w:rFonts w:cs="Arial"/>
          <w:szCs w:val="22"/>
        </w:rPr>
        <w:t xml:space="preserve"> Limits</w:t>
      </w:r>
      <w:r w:rsidRPr="006A1C3B">
        <w:rPr>
          <w:rFonts w:cs="Arial"/>
          <w:szCs w:val="22"/>
        </w:rPr>
        <w:t xml:space="preserve"> for growth </w:t>
      </w:r>
      <w:r>
        <w:rPr>
          <w:rFonts w:cs="Arial"/>
          <w:szCs w:val="22"/>
        </w:rPr>
        <w:t xml:space="preserve">of </w:t>
      </w:r>
      <w:r w:rsidRPr="004F49A4">
        <w:rPr>
          <w:rFonts w:cs="Arial"/>
          <w:i/>
          <w:szCs w:val="22"/>
        </w:rPr>
        <w:t>E. coli</w:t>
      </w:r>
      <w:r>
        <w:rPr>
          <w:rFonts w:cs="Arial"/>
          <w:szCs w:val="22"/>
        </w:rPr>
        <w:t xml:space="preserve"> </w:t>
      </w:r>
      <w:r w:rsidRPr="006A1C3B">
        <w:rPr>
          <w:rFonts w:cs="Arial"/>
          <w:szCs w:val="22"/>
        </w:rPr>
        <w:t xml:space="preserve">when other conditions are near optimum </w:t>
      </w:r>
      <w:r>
        <w:rPr>
          <w:rFonts w:cs="Arial"/>
          <w:noProof/>
          <w:szCs w:val="22"/>
        </w:rPr>
        <w:t>(ICMSF 1996; Desmarchelier and Fegan 2003)</w:t>
      </w:r>
    </w:p>
    <w:p w14:paraId="4A09DB7C" w14:textId="77777777" w:rsidR="00285EF0" w:rsidRPr="006A1C3B" w:rsidRDefault="00285EF0" w:rsidP="00285EF0">
      <w:pPr>
        <w:rPr>
          <w:rFonts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A10-1. Limits for growth of E. coli when other conditions are near optimum "/>
      </w:tblPr>
      <w:tblGrid>
        <w:gridCol w:w="2265"/>
        <w:gridCol w:w="2249"/>
        <w:gridCol w:w="2250"/>
        <w:gridCol w:w="2252"/>
      </w:tblGrid>
      <w:tr w:rsidR="00285EF0" w:rsidRPr="006A3B1D" w14:paraId="5B64A273" w14:textId="77777777" w:rsidTr="00285EF0">
        <w:tc>
          <w:tcPr>
            <w:tcW w:w="2310" w:type="dxa"/>
            <w:shd w:val="clear" w:color="auto" w:fill="FFFFFF"/>
          </w:tcPr>
          <w:p w14:paraId="77361017" w14:textId="77777777" w:rsidR="00285EF0" w:rsidRPr="006A3B1D" w:rsidRDefault="00285EF0" w:rsidP="00285EF0">
            <w:pPr>
              <w:jc w:val="center"/>
              <w:rPr>
                <w:rFonts w:cs="Arial"/>
                <w:b/>
                <w:sz w:val="20"/>
                <w:szCs w:val="20"/>
                <w:lang w:eastAsia="en-AU"/>
              </w:rPr>
            </w:pPr>
          </w:p>
        </w:tc>
        <w:tc>
          <w:tcPr>
            <w:tcW w:w="2310" w:type="dxa"/>
            <w:shd w:val="clear" w:color="auto" w:fill="B8CCE4" w:themeFill="accent1" w:themeFillTint="66"/>
          </w:tcPr>
          <w:p w14:paraId="70143FB5" w14:textId="77777777" w:rsidR="00285EF0" w:rsidRPr="006A3B1D" w:rsidRDefault="00285EF0" w:rsidP="00285EF0">
            <w:pPr>
              <w:jc w:val="center"/>
              <w:rPr>
                <w:rFonts w:cs="Arial"/>
                <w:b/>
                <w:sz w:val="20"/>
                <w:szCs w:val="20"/>
                <w:lang w:eastAsia="en-AU"/>
              </w:rPr>
            </w:pPr>
            <w:r w:rsidRPr="006A3B1D">
              <w:rPr>
                <w:rFonts w:cs="Arial"/>
                <w:b/>
                <w:sz w:val="20"/>
                <w:szCs w:val="20"/>
                <w:lang w:eastAsia="en-AU"/>
              </w:rPr>
              <w:t>Minimum</w:t>
            </w:r>
          </w:p>
        </w:tc>
        <w:tc>
          <w:tcPr>
            <w:tcW w:w="2311" w:type="dxa"/>
            <w:shd w:val="clear" w:color="auto" w:fill="B8CCE4" w:themeFill="accent1" w:themeFillTint="66"/>
          </w:tcPr>
          <w:p w14:paraId="53DCFE9C" w14:textId="77777777" w:rsidR="00285EF0" w:rsidRPr="006A3B1D" w:rsidRDefault="00285EF0" w:rsidP="00285EF0">
            <w:pPr>
              <w:jc w:val="center"/>
              <w:rPr>
                <w:rFonts w:cs="Arial"/>
                <w:b/>
                <w:sz w:val="20"/>
                <w:szCs w:val="20"/>
                <w:lang w:eastAsia="en-AU"/>
              </w:rPr>
            </w:pPr>
            <w:r w:rsidRPr="006A3B1D">
              <w:rPr>
                <w:rFonts w:cs="Arial"/>
                <w:b/>
                <w:sz w:val="20"/>
                <w:szCs w:val="20"/>
                <w:lang w:eastAsia="en-AU"/>
              </w:rPr>
              <w:t>Optimum</w:t>
            </w:r>
          </w:p>
        </w:tc>
        <w:tc>
          <w:tcPr>
            <w:tcW w:w="2311" w:type="dxa"/>
            <w:shd w:val="clear" w:color="auto" w:fill="B8CCE4" w:themeFill="accent1" w:themeFillTint="66"/>
          </w:tcPr>
          <w:p w14:paraId="60208A40" w14:textId="77777777" w:rsidR="00285EF0" w:rsidRPr="006A3B1D" w:rsidRDefault="00285EF0" w:rsidP="00285EF0">
            <w:pPr>
              <w:jc w:val="center"/>
              <w:rPr>
                <w:rFonts w:cs="Arial"/>
                <w:b/>
                <w:sz w:val="20"/>
                <w:szCs w:val="20"/>
                <w:lang w:eastAsia="en-AU"/>
              </w:rPr>
            </w:pPr>
            <w:r w:rsidRPr="006A3B1D">
              <w:rPr>
                <w:rFonts w:cs="Arial"/>
                <w:b/>
                <w:sz w:val="20"/>
                <w:szCs w:val="20"/>
                <w:lang w:eastAsia="en-AU"/>
              </w:rPr>
              <w:t>Maximum</w:t>
            </w:r>
          </w:p>
        </w:tc>
      </w:tr>
      <w:tr w:rsidR="00285EF0" w:rsidRPr="006A3B1D" w14:paraId="2002991F" w14:textId="77777777" w:rsidTr="00285EF0">
        <w:tc>
          <w:tcPr>
            <w:tcW w:w="2310" w:type="dxa"/>
            <w:shd w:val="clear" w:color="auto" w:fill="B8CCE4" w:themeFill="accent1" w:themeFillTint="66"/>
          </w:tcPr>
          <w:p w14:paraId="3EB8F084" w14:textId="77777777" w:rsidR="00285EF0" w:rsidRPr="006A3B1D" w:rsidRDefault="00285EF0" w:rsidP="00285EF0">
            <w:pPr>
              <w:jc w:val="center"/>
              <w:rPr>
                <w:rFonts w:cs="Arial"/>
                <w:b/>
                <w:sz w:val="20"/>
                <w:szCs w:val="20"/>
                <w:lang w:eastAsia="en-AU"/>
              </w:rPr>
            </w:pPr>
            <w:r w:rsidRPr="006A3B1D">
              <w:rPr>
                <w:rFonts w:cs="Arial"/>
                <w:b/>
                <w:sz w:val="20"/>
                <w:szCs w:val="20"/>
                <w:lang w:eastAsia="en-AU"/>
              </w:rPr>
              <w:t>Temperature (°C)</w:t>
            </w:r>
          </w:p>
        </w:tc>
        <w:tc>
          <w:tcPr>
            <w:tcW w:w="2310" w:type="dxa"/>
            <w:shd w:val="clear" w:color="auto" w:fill="auto"/>
          </w:tcPr>
          <w:p w14:paraId="57EFD084" w14:textId="77777777" w:rsidR="00285EF0" w:rsidRPr="006A3B1D" w:rsidRDefault="00285EF0" w:rsidP="00285EF0">
            <w:pPr>
              <w:jc w:val="center"/>
              <w:rPr>
                <w:rFonts w:cs="Arial"/>
                <w:sz w:val="20"/>
                <w:szCs w:val="20"/>
                <w:lang w:eastAsia="en-AU"/>
              </w:rPr>
            </w:pPr>
            <w:r w:rsidRPr="006A3B1D">
              <w:rPr>
                <w:rFonts w:cs="Arial"/>
                <w:sz w:val="20"/>
                <w:szCs w:val="20"/>
                <w:lang w:eastAsia="en-AU"/>
              </w:rPr>
              <w:t>7–8</w:t>
            </w:r>
          </w:p>
        </w:tc>
        <w:tc>
          <w:tcPr>
            <w:tcW w:w="2311" w:type="dxa"/>
            <w:shd w:val="clear" w:color="auto" w:fill="auto"/>
          </w:tcPr>
          <w:p w14:paraId="261F4C9E" w14:textId="77777777" w:rsidR="00285EF0" w:rsidRPr="006A3B1D" w:rsidRDefault="00285EF0" w:rsidP="00285EF0">
            <w:pPr>
              <w:jc w:val="center"/>
              <w:rPr>
                <w:rFonts w:cs="Arial"/>
                <w:sz w:val="20"/>
                <w:szCs w:val="20"/>
                <w:lang w:eastAsia="en-AU"/>
              </w:rPr>
            </w:pPr>
            <w:r w:rsidRPr="006A3B1D">
              <w:rPr>
                <w:rFonts w:cs="Arial"/>
                <w:sz w:val="20"/>
                <w:szCs w:val="20"/>
                <w:lang w:eastAsia="en-AU"/>
              </w:rPr>
              <w:t>35–40</w:t>
            </w:r>
          </w:p>
        </w:tc>
        <w:tc>
          <w:tcPr>
            <w:tcW w:w="2311" w:type="dxa"/>
            <w:shd w:val="clear" w:color="auto" w:fill="auto"/>
          </w:tcPr>
          <w:p w14:paraId="19CB1C1F" w14:textId="77777777" w:rsidR="00285EF0" w:rsidRPr="006A3B1D" w:rsidRDefault="00285EF0" w:rsidP="00285EF0">
            <w:pPr>
              <w:jc w:val="center"/>
              <w:rPr>
                <w:rFonts w:cs="Arial"/>
                <w:sz w:val="20"/>
                <w:szCs w:val="20"/>
                <w:lang w:eastAsia="en-AU"/>
              </w:rPr>
            </w:pPr>
            <w:r w:rsidRPr="006A3B1D">
              <w:rPr>
                <w:rFonts w:cs="Arial"/>
                <w:sz w:val="20"/>
                <w:szCs w:val="20"/>
                <w:lang w:eastAsia="en-AU"/>
              </w:rPr>
              <w:t>46</w:t>
            </w:r>
          </w:p>
        </w:tc>
      </w:tr>
      <w:tr w:rsidR="00285EF0" w:rsidRPr="006A3B1D" w14:paraId="7B48BA87" w14:textId="77777777" w:rsidTr="00285EF0">
        <w:tc>
          <w:tcPr>
            <w:tcW w:w="2310" w:type="dxa"/>
            <w:shd w:val="clear" w:color="auto" w:fill="B8CCE4" w:themeFill="accent1" w:themeFillTint="66"/>
          </w:tcPr>
          <w:p w14:paraId="1EB8F528" w14:textId="77777777" w:rsidR="00285EF0" w:rsidRPr="006A3B1D" w:rsidRDefault="00285EF0" w:rsidP="00285EF0">
            <w:pPr>
              <w:jc w:val="center"/>
              <w:rPr>
                <w:rFonts w:cs="Arial"/>
                <w:b/>
                <w:sz w:val="20"/>
                <w:szCs w:val="20"/>
                <w:lang w:eastAsia="en-AU"/>
              </w:rPr>
            </w:pPr>
            <w:r w:rsidRPr="006A3B1D">
              <w:rPr>
                <w:rFonts w:cs="Arial"/>
                <w:b/>
                <w:sz w:val="20"/>
                <w:szCs w:val="20"/>
                <w:lang w:eastAsia="en-AU"/>
              </w:rPr>
              <w:t>pH</w:t>
            </w:r>
          </w:p>
        </w:tc>
        <w:tc>
          <w:tcPr>
            <w:tcW w:w="2310" w:type="dxa"/>
            <w:shd w:val="clear" w:color="auto" w:fill="auto"/>
          </w:tcPr>
          <w:p w14:paraId="38A1D088" w14:textId="77777777" w:rsidR="00285EF0" w:rsidRPr="006A3B1D" w:rsidRDefault="00285EF0" w:rsidP="00285EF0">
            <w:pPr>
              <w:jc w:val="center"/>
              <w:rPr>
                <w:rFonts w:cs="Arial"/>
                <w:sz w:val="20"/>
                <w:szCs w:val="20"/>
                <w:lang w:eastAsia="en-AU"/>
              </w:rPr>
            </w:pPr>
            <w:r w:rsidRPr="006A3B1D">
              <w:rPr>
                <w:rFonts w:cs="Arial"/>
                <w:sz w:val="20"/>
                <w:szCs w:val="20"/>
                <w:lang w:eastAsia="en-AU"/>
              </w:rPr>
              <w:t>4.4</w:t>
            </w:r>
          </w:p>
        </w:tc>
        <w:tc>
          <w:tcPr>
            <w:tcW w:w="2311" w:type="dxa"/>
            <w:shd w:val="clear" w:color="auto" w:fill="auto"/>
          </w:tcPr>
          <w:p w14:paraId="32C9B272" w14:textId="77777777" w:rsidR="00285EF0" w:rsidRPr="006A3B1D" w:rsidRDefault="00285EF0" w:rsidP="00285EF0">
            <w:pPr>
              <w:jc w:val="center"/>
              <w:rPr>
                <w:rFonts w:cs="Arial"/>
                <w:sz w:val="20"/>
                <w:szCs w:val="20"/>
                <w:lang w:eastAsia="en-AU"/>
              </w:rPr>
            </w:pPr>
            <w:r w:rsidRPr="006A3B1D">
              <w:rPr>
                <w:rFonts w:cs="Arial"/>
                <w:sz w:val="20"/>
                <w:szCs w:val="20"/>
                <w:lang w:eastAsia="en-AU"/>
              </w:rPr>
              <w:t>6–7</w:t>
            </w:r>
          </w:p>
        </w:tc>
        <w:tc>
          <w:tcPr>
            <w:tcW w:w="2311" w:type="dxa"/>
            <w:shd w:val="clear" w:color="auto" w:fill="auto"/>
          </w:tcPr>
          <w:p w14:paraId="7ECF8C5D" w14:textId="77777777" w:rsidR="00285EF0" w:rsidRPr="006A3B1D" w:rsidRDefault="00285EF0" w:rsidP="00285EF0">
            <w:pPr>
              <w:jc w:val="center"/>
              <w:rPr>
                <w:rFonts w:cs="Arial"/>
                <w:sz w:val="20"/>
                <w:szCs w:val="20"/>
                <w:lang w:eastAsia="en-AU"/>
              </w:rPr>
            </w:pPr>
            <w:r w:rsidRPr="006A3B1D">
              <w:rPr>
                <w:rFonts w:cs="Arial"/>
                <w:sz w:val="20"/>
                <w:szCs w:val="20"/>
                <w:lang w:eastAsia="en-AU"/>
              </w:rPr>
              <w:t>10.0</w:t>
            </w:r>
          </w:p>
        </w:tc>
      </w:tr>
      <w:tr w:rsidR="00285EF0" w:rsidRPr="006A3B1D" w14:paraId="03FFB40C" w14:textId="77777777" w:rsidTr="00285EF0">
        <w:tc>
          <w:tcPr>
            <w:tcW w:w="2310" w:type="dxa"/>
            <w:shd w:val="clear" w:color="auto" w:fill="B8CCE4" w:themeFill="accent1" w:themeFillTint="66"/>
          </w:tcPr>
          <w:p w14:paraId="3028B8DE" w14:textId="77777777" w:rsidR="00285EF0" w:rsidRPr="006A3B1D" w:rsidRDefault="00285EF0" w:rsidP="00285EF0">
            <w:pPr>
              <w:jc w:val="center"/>
              <w:rPr>
                <w:rFonts w:cs="Arial"/>
                <w:b/>
                <w:sz w:val="20"/>
                <w:szCs w:val="20"/>
                <w:lang w:eastAsia="en-AU"/>
              </w:rPr>
            </w:pPr>
            <w:r w:rsidRPr="006A3B1D">
              <w:rPr>
                <w:rFonts w:cs="Arial"/>
                <w:b/>
                <w:sz w:val="20"/>
                <w:szCs w:val="20"/>
                <w:lang w:eastAsia="en-AU"/>
              </w:rPr>
              <w:t>Water activity</w:t>
            </w:r>
          </w:p>
        </w:tc>
        <w:tc>
          <w:tcPr>
            <w:tcW w:w="2310" w:type="dxa"/>
            <w:shd w:val="clear" w:color="auto" w:fill="auto"/>
          </w:tcPr>
          <w:p w14:paraId="2548DED0" w14:textId="77777777" w:rsidR="00285EF0" w:rsidRPr="006A3B1D" w:rsidRDefault="00285EF0" w:rsidP="00285EF0">
            <w:pPr>
              <w:jc w:val="center"/>
              <w:rPr>
                <w:rFonts w:cs="Arial"/>
                <w:sz w:val="20"/>
                <w:szCs w:val="20"/>
                <w:lang w:eastAsia="en-AU"/>
              </w:rPr>
            </w:pPr>
            <w:r w:rsidRPr="006A3B1D">
              <w:rPr>
                <w:rFonts w:cs="Arial"/>
                <w:sz w:val="20"/>
                <w:szCs w:val="20"/>
                <w:lang w:eastAsia="en-AU"/>
              </w:rPr>
              <w:t>0.95</w:t>
            </w:r>
          </w:p>
        </w:tc>
        <w:tc>
          <w:tcPr>
            <w:tcW w:w="2311" w:type="dxa"/>
            <w:shd w:val="clear" w:color="auto" w:fill="auto"/>
          </w:tcPr>
          <w:p w14:paraId="779893F2" w14:textId="77777777" w:rsidR="00285EF0" w:rsidRPr="006A3B1D" w:rsidRDefault="00285EF0" w:rsidP="00285EF0">
            <w:pPr>
              <w:jc w:val="center"/>
              <w:rPr>
                <w:rFonts w:cs="Arial"/>
                <w:sz w:val="20"/>
                <w:szCs w:val="20"/>
                <w:lang w:eastAsia="en-AU"/>
              </w:rPr>
            </w:pPr>
            <w:r w:rsidRPr="006A3B1D">
              <w:rPr>
                <w:rFonts w:cs="Arial"/>
                <w:sz w:val="20"/>
                <w:szCs w:val="20"/>
                <w:lang w:eastAsia="en-AU"/>
              </w:rPr>
              <w:t>0.995</w:t>
            </w:r>
          </w:p>
        </w:tc>
        <w:tc>
          <w:tcPr>
            <w:tcW w:w="2311" w:type="dxa"/>
            <w:shd w:val="clear" w:color="auto" w:fill="auto"/>
          </w:tcPr>
          <w:p w14:paraId="3370A892" w14:textId="77777777" w:rsidR="00285EF0" w:rsidRPr="006A3B1D" w:rsidRDefault="00285EF0" w:rsidP="00285EF0">
            <w:pPr>
              <w:jc w:val="center"/>
              <w:rPr>
                <w:rFonts w:cs="Arial"/>
                <w:sz w:val="20"/>
                <w:szCs w:val="20"/>
                <w:lang w:eastAsia="en-AU"/>
              </w:rPr>
            </w:pPr>
            <w:r w:rsidRPr="006A3B1D">
              <w:rPr>
                <w:rFonts w:cs="Arial"/>
                <w:sz w:val="20"/>
                <w:szCs w:val="20"/>
                <w:lang w:eastAsia="en-AU"/>
              </w:rPr>
              <w:t>–</w:t>
            </w:r>
          </w:p>
        </w:tc>
      </w:tr>
    </w:tbl>
    <w:p w14:paraId="03AADD05" w14:textId="77777777" w:rsidR="00285EF0" w:rsidRPr="006A1C3B" w:rsidRDefault="00285EF0" w:rsidP="00787E56">
      <w:pPr>
        <w:pStyle w:val="Heading3"/>
      </w:pPr>
      <w:bookmarkStart w:id="1290" w:name="_Toc66881481"/>
      <w:bookmarkStart w:id="1291" w:name="_Toc66883107"/>
      <w:bookmarkStart w:id="1292" w:name="_Toc87614506"/>
      <w:bookmarkStart w:id="1293" w:name="_Toc87860145"/>
      <w:r>
        <w:t>Symptoms of</w:t>
      </w:r>
      <w:r w:rsidRPr="0029407A">
        <w:t xml:space="preserve"> disease</w:t>
      </w:r>
      <w:bookmarkEnd w:id="1290"/>
      <w:bookmarkEnd w:id="1291"/>
      <w:bookmarkEnd w:id="1292"/>
      <w:bookmarkEnd w:id="1293"/>
    </w:p>
    <w:p w14:paraId="4CEDC62F" w14:textId="77777777" w:rsidR="00285EF0" w:rsidRPr="0056719E" w:rsidRDefault="00285EF0" w:rsidP="00285EF0">
      <w:pPr>
        <w:rPr>
          <w:rFonts w:cs="Arial"/>
          <w:szCs w:val="22"/>
        </w:rPr>
      </w:pPr>
      <w:r w:rsidRPr="0056719E">
        <w:rPr>
          <w:rFonts w:cs="Arial"/>
          <w:szCs w:val="22"/>
        </w:rPr>
        <w:t>Infection with STEC can result in no clinical symptoms (asymptomatic infection) or can cause diarrhoea (may progress to bloody diarrhoea), abdominal cramps, vomiting and fever. The onset of illness is 3–8 days (median of 3–4 days)</w:t>
      </w:r>
      <w:r>
        <w:rPr>
          <w:rFonts w:cs="Arial"/>
          <w:szCs w:val="22"/>
        </w:rPr>
        <w:t>. M</w:t>
      </w:r>
      <w:r w:rsidRPr="0056719E">
        <w:rPr>
          <w:rFonts w:cs="Arial"/>
          <w:szCs w:val="22"/>
        </w:rPr>
        <w:t>ost patients recover</w:t>
      </w:r>
      <w:r>
        <w:rPr>
          <w:rFonts w:cs="Arial"/>
          <w:szCs w:val="22"/>
        </w:rPr>
        <w:t xml:space="preserve"> with</w:t>
      </w:r>
      <w:r w:rsidRPr="0056719E">
        <w:rPr>
          <w:rFonts w:cs="Arial"/>
          <w:szCs w:val="22"/>
        </w:rPr>
        <w:t>in 10 days</w:t>
      </w:r>
      <w:r>
        <w:rPr>
          <w:rFonts w:cs="Arial"/>
          <w:szCs w:val="22"/>
        </w:rPr>
        <w:t xml:space="preserve"> of the initial onset of symptoms</w:t>
      </w:r>
      <w:r w:rsidRPr="0056719E">
        <w:rPr>
          <w:rFonts w:cs="Arial"/>
          <w:szCs w:val="22"/>
        </w:rPr>
        <w:t xml:space="preserve"> </w:t>
      </w:r>
      <w:r w:rsidRPr="0056719E">
        <w:rPr>
          <w:rFonts w:cs="Arial"/>
          <w:noProof/>
          <w:szCs w:val="22"/>
        </w:rPr>
        <w:t>(Meng and Schroeder 2007; WHO 2011)</w:t>
      </w:r>
      <w:r w:rsidRPr="0056719E">
        <w:rPr>
          <w:rFonts w:cs="Arial"/>
          <w:szCs w:val="22"/>
        </w:rPr>
        <w:t xml:space="preserve">. In some cases, patients develop haemolytic uraemic syndrome (HUS). HUS is characterised by haemolytic anaemia, thrombocytopenia (decrease in blood platelets) and kidney failure. HUS can also have neurological effects and cause seizures, stroke and coma </w:t>
      </w:r>
      <w:r w:rsidRPr="0056719E">
        <w:rPr>
          <w:rFonts w:cs="Arial"/>
          <w:noProof/>
          <w:szCs w:val="22"/>
        </w:rPr>
        <w:t>(WHO 2011)</w:t>
      </w:r>
      <w:r w:rsidRPr="0056719E">
        <w:rPr>
          <w:rFonts w:cs="Arial"/>
          <w:szCs w:val="22"/>
        </w:rPr>
        <w:t xml:space="preserve">. Approximately 6.3% of STEC infected individuals develop HUS, with a fatality rate of 4.6%. Children are more susceptible, with 15.3% of children under five years of age developing HUS following STEC infection </w:t>
      </w:r>
      <w:r w:rsidRPr="0056719E">
        <w:rPr>
          <w:rFonts w:cs="Arial"/>
          <w:noProof/>
          <w:szCs w:val="22"/>
        </w:rPr>
        <w:t>(Gould et al. 2009)</w:t>
      </w:r>
      <w:r w:rsidRPr="0056719E">
        <w:rPr>
          <w:rFonts w:cs="Arial"/>
          <w:szCs w:val="22"/>
        </w:rPr>
        <w:t>.</w:t>
      </w:r>
    </w:p>
    <w:p w14:paraId="58D8C9D9" w14:textId="77777777" w:rsidR="00285EF0" w:rsidRPr="006A1C3B" w:rsidRDefault="00285EF0" w:rsidP="00285EF0">
      <w:pPr>
        <w:rPr>
          <w:rFonts w:cs="Arial"/>
          <w:szCs w:val="22"/>
        </w:rPr>
      </w:pPr>
    </w:p>
    <w:p w14:paraId="0FC45C55" w14:textId="77777777" w:rsidR="00285EF0" w:rsidRPr="006A1C3B" w:rsidRDefault="00285EF0" w:rsidP="00285EF0">
      <w:pPr>
        <w:rPr>
          <w:rFonts w:cs="Arial"/>
          <w:szCs w:val="22"/>
        </w:rPr>
      </w:pPr>
      <w:r w:rsidRPr="006A1C3B">
        <w:rPr>
          <w:rFonts w:cs="Arial"/>
          <w:szCs w:val="22"/>
        </w:rPr>
        <w:t>STEC are shed in the faeces of infected individuals for several weeks. In children the median shedding time is 13 days (range of 2–62 days) for individuals with diarrhoea. In people who develop HUS,</w:t>
      </w:r>
      <w:r>
        <w:rPr>
          <w:rFonts w:cs="Arial"/>
          <w:szCs w:val="22"/>
        </w:rPr>
        <w:t xml:space="preserve"> the median</w:t>
      </w:r>
      <w:r w:rsidRPr="006A1C3B">
        <w:rPr>
          <w:rFonts w:cs="Arial"/>
          <w:szCs w:val="22"/>
        </w:rPr>
        <w:t xml:space="preserve"> shedding </w:t>
      </w:r>
      <w:r>
        <w:rPr>
          <w:rFonts w:cs="Arial"/>
          <w:szCs w:val="22"/>
        </w:rPr>
        <w:t>time is</w:t>
      </w:r>
      <w:r w:rsidRPr="006A1C3B">
        <w:rPr>
          <w:rFonts w:cs="Arial"/>
          <w:szCs w:val="22"/>
        </w:rPr>
        <w:t xml:space="preserve"> 21 days (range 5–124 days) </w:t>
      </w:r>
      <w:r>
        <w:rPr>
          <w:rFonts w:cs="Arial"/>
          <w:noProof/>
          <w:szCs w:val="22"/>
        </w:rPr>
        <w:t>(Meng and Schroeder 2007; Pennington 2010)</w:t>
      </w:r>
      <w:r>
        <w:rPr>
          <w:rFonts w:cs="Arial"/>
          <w:szCs w:val="22"/>
        </w:rPr>
        <w:t>.</w:t>
      </w:r>
    </w:p>
    <w:p w14:paraId="7B16DBD4" w14:textId="77777777" w:rsidR="00285EF0" w:rsidRPr="006A1C3B" w:rsidRDefault="00285EF0" w:rsidP="00787E56">
      <w:pPr>
        <w:pStyle w:val="Heading3"/>
      </w:pPr>
      <w:bookmarkStart w:id="1294" w:name="_Toc66881482"/>
      <w:bookmarkStart w:id="1295" w:name="_Toc66883108"/>
      <w:bookmarkStart w:id="1296" w:name="_Toc87614507"/>
      <w:bookmarkStart w:id="1297" w:name="_Toc87860146"/>
      <w:r>
        <w:t>Virulence and infectivity</w:t>
      </w:r>
      <w:bookmarkEnd w:id="1294"/>
      <w:bookmarkEnd w:id="1295"/>
      <w:bookmarkEnd w:id="1296"/>
      <w:bookmarkEnd w:id="1297"/>
    </w:p>
    <w:p w14:paraId="36FC41A3" w14:textId="77777777" w:rsidR="00285EF0" w:rsidRPr="006A1C3B" w:rsidRDefault="00285EF0" w:rsidP="00285EF0">
      <w:pPr>
        <w:rPr>
          <w:rFonts w:cs="Arial"/>
          <w:szCs w:val="22"/>
        </w:rPr>
      </w:pPr>
      <w:r w:rsidRPr="006A1C3B">
        <w:rPr>
          <w:rFonts w:cs="Arial"/>
          <w:szCs w:val="22"/>
        </w:rPr>
        <w:t>STEC strains produce two types of Shiga toxins (Stx</w:t>
      </w:r>
      <w:r>
        <w:rPr>
          <w:rFonts w:cs="Arial"/>
          <w:szCs w:val="22"/>
        </w:rPr>
        <w:t>1 and Stx</w:t>
      </w:r>
      <w:r w:rsidRPr="006A1C3B">
        <w:rPr>
          <w:rFonts w:cs="Arial"/>
          <w:szCs w:val="22"/>
        </w:rPr>
        <w:t xml:space="preserve">2). Stx1 is virtually identical to the toxin produced by </w:t>
      </w:r>
      <w:r w:rsidRPr="006A1C3B">
        <w:rPr>
          <w:rFonts w:cs="Arial"/>
          <w:i/>
          <w:szCs w:val="22"/>
        </w:rPr>
        <w:t>Shigella dysenteriare</w:t>
      </w:r>
      <w:r w:rsidRPr="006A1C3B">
        <w:rPr>
          <w:rFonts w:cs="Arial"/>
          <w:szCs w:val="22"/>
        </w:rPr>
        <w:t xml:space="preserve"> </w:t>
      </w:r>
      <w:r>
        <w:rPr>
          <w:rFonts w:cs="Arial"/>
          <w:szCs w:val="22"/>
        </w:rPr>
        <w:t xml:space="preserve">serotype </w:t>
      </w:r>
      <w:r w:rsidRPr="006A1C3B">
        <w:rPr>
          <w:rFonts w:cs="Arial"/>
          <w:szCs w:val="22"/>
        </w:rPr>
        <w:t xml:space="preserve">1. </w:t>
      </w:r>
      <w:r>
        <w:rPr>
          <w:rFonts w:cs="Arial"/>
          <w:szCs w:val="22"/>
        </w:rPr>
        <w:t xml:space="preserve">The presence of </w:t>
      </w:r>
      <w:r w:rsidRPr="006A1C3B">
        <w:rPr>
          <w:rFonts w:cs="Arial"/>
          <w:szCs w:val="22"/>
        </w:rPr>
        <w:t xml:space="preserve">Stx2 is significantly associated with human disease </w:t>
      </w:r>
      <w:r w:rsidRPr="006A1C3B">
        <w:rPr>
          <w:rFonts w:cs="Arial"/>
          <w:noProof/>
          <w:szCs w:val="22"/>
        </w:rPr>
        <w:t>(Spears et al. 2006)</w:t>
      </w:r>
      <w:r w:rsidRPr="006A1C3B">
        <w:rPr>
          <w:rFonts w:cs="Arial"/>
          <w:szCs w:val="22"/>
        </w:rPr>
        <w:t xml:space="preserve">. Stx are toxic to Vero cells (African green monkey kidney cells) and so are also known as verotoxins (VT). The term STEC is used interchangeably with </w:t>
      </w:r>
      <w:r>
        <w:rPr>
          <w:rFonts w:cs="Arial"/>
          <w:szCs w:val="22"/>
        </w:rPr>
        <w:t>VTEC</w:t>
      </w:r>
      <w:r w:rsidRPr="006A1C3B">
        <w:rPr>
          <w:rFonts w:cs="Arial"/>
          <w:szCs w:val="22"/>
        </w:rPr>
        <w:t xml:space="preserve">. In the laboratory, Vero cells can be used to detect Stx activity, as Stx causes Vero cell death </w:t>
      </w:r>
      <w:r>
        <w:rPr>
          <w:rFonts w:cs="Arial"/>
          <w:noProof/>
          <w:szCs w:val="22"/>
        </w:rPr>
        <w:t>(Desmarchelier and Fegan 2003; Meng and Schroeder 2007)</w:t>
      </w:r>
      <w:r w:rsidRPr="006A1C3B">
        <w:rPr>
          <w:rFonts w:cs="Arial"/>
          <w:szCs w:val="22"/>
        </w:rPr>
        <w:t xml:space="preserve">. </w:t>
      </w:r>
    </w:p>
    <w:p w14:paraId="066EDA2B" w14:textId="77777777" w:rsidR="00285EF0" w:rsidRPr="006A1C3B" w:rsidRDefault="00285EF0" w:rsidP="00285EF0">
      <w:pPr>
        <w:rPr>
          <w:rFonts w:cs="Arial"/>
          <w:szCs w:val="22"/>
        </w:rPr>
      </w:pPr>
    </w:p>
    <w:p w14:paraId="25BD9A48" w14:textId="77777777" w:rsidR="00E94ED2" w:rsidRDefault="00E94ED2">
      <w:pPr>
        <w:widowControl/>
        <w:rPr>
          <w:rFonts w:cs="Arial"/>
          <w:szCs w:val="22"/>
        </w:rPr>
      </w:pPr>
      <w:r>
        <w:rPr>
          <w:rFonts w:cs="Arial"/>
          <w:szCs w:val="22"/>
        </w:rPr>
        <w:br w:type="page"/>
      </w:r>
    </w:p>
    <w:p w14:paraId="65B44FD4" w14:textId="4076B9AB" w:rsidR="00285EF0" w:rsidRPr="008F3DA2" w:rsidRDefault="00285EF0" w:rsidP="00285EF0">
      <w:pPr>
        <w:rPr>
          <w:rFonts w:cs="Arial"/>
          <w:szCs w:val="22"/>
          <w:lang w:val="en-US"/>
        </w:rPr>
      </w:pPr>
      <w:r w:rsidRPr="00075CC7">
        <w:rPr>
          <w:rFonts w:cs="Arial"/>
          <w:szCs w:val="22"/>
        </w:rPr>
        <w:t>Due to the acid resistance of STEC, when ingested</w:t>
      </w:r>
      <w:r>
        <w:rPr>
          <w:rFonts w:cs="Arial"/>
          <w:szCs w:val="22"/>
        </w:rPr>
        <w:t xml:space="preserve"> </w:t>
      </w:r>
      <w:r w:rsidRPr="00075CC7">
        <w:rPr>
          <w:rFonts w:cs="Arial"/>
          <w:szCs w:val="22"/>
        </w:rPr>
        <w:t xml:space="preserve">it is </w:t>
      </w:r>
      <w:r w:rsidRPr="00075CC7">
        <w:rPr>
          <w:rFonts w:cs="Arial"/>
          <w:szCs w:val="22"/>
          <w:lang w:val="en-US"/>
        </w:rPr>
        <w:t>able to survive</w:t>
      </w:r>
      <w:r>
        <w:rPr>
          <w:rFonts w:cs="Arial"/>
          <w:szCs w:val="22"/>
          <w:lang w:val="en-US"/>
        </w:rPr>
        <w:t xml:space="preserve"> in</w:t>
      </w:r>
      <w:r w:rsidRPr="00075CC7">
        <w:rPr>
          <w:rFonts w:cs="Arial"/>
          <w:szCs w:val="22"/>
          <w:lang w:val="en-US"/>
        </w:rPr>
        <w:t xml:space="preserve"> the stomach environment </w:t>
      </w:r>
      <w:r>
        <w:rPr>
          <w:rFonts w:cs="Arial"/>
          <w:szCs w:val="22"/>
          <w:lang w:val="en-US"/>
        </w:rPr>
        <w:t xml:space="preserve">and </w:t>
      </w:r>
      <w:r w:rsidRPr="00075CC7">
        <w:rPr>
          <w:rFonts w:cs="Arial"/>
          <w:szCs w:val="22"/>
          <w:lang w:val="en-US"/>
        </w:rPr>
        <w:t>attach to the cells of the intestine</w:t>
      </w:r>
      <w:r w:rsidRPr="00075CC7">
        <w:rPr>
          <w:rFonts w:cs="Arial"/>
          <w:szCs w:val="22"/>
        </w:rPr>
        <w:t xml:space="preserve">. </w:t>
      </w:r>
      <w:r w:rsidRPr="00075CC7">
        <w:rPr>
          <w:rFonts w:cs="Arial"/>
          <w:szCs w:val="22"/>
          <w:lang w:val="en-US"/>
        </w:rPr>
        <w:t xml:space="preserve">Some STEC strains form a characteristic attaching and effacing lesion on the intestinal cells. The presence of these lesions is a risk factor for the development of HUS </w:t>
      </w:r>
      <w:r w:rsidRPr="00075CC7">
        <w:rPr>
          <w:rFonts w:cs="Arial"/>
          <w:noProof/>
          <w:szCs w:val="22"/>
          <w:lang w:val="en-US"/>
        </w:rPr>
        <w:t>(Gyles 2007)</w:t>
      </w:r>
      <w:r w:rsidRPr="00075CC7">
        <w:rPr>
          <w:rFonts w:cs="Arial"/>
          <w:szCs w:val="22"/>
          <w:lang w:val="en-US"/>
        </w:rPr>
        <w:t xml:space="preserve">. Stx produced by STEC is able to bind to specific receptors on susceptible host cells, resulting in the death of these cells. </w:t>
      </w:r>
      <w:r w:rsidRPr="00075CC7">
        <w:rPr>
          <w:rFonts w:cs="Arial"/>
          <w:szCs w:val="22"/>
        </w:rPr>
        <w:t xml:space="preserve">Vascular endothelial cells are a primary target for Stx. Hence production of </w:t>
      </w:r>
      <w:r w:rsidRPr="00075CC7">
        <w:rPr>
          <w:rFonts w:cs="Arial"/>
          <w:szCs w:val="22"/>
          <w:lang w:val="en-US"/>
        </w:rPr>
        <w:t xml:space="preserve">sufficient Stx results in damage to the blood vessels in the colon and subsequent </w:t>
      </w:r>
      <w:r w:rsidRPr="00075CC7">
        <w:rPr>
          <w:rFonts w:cs="Arial"/>
          <w:szCs w:val="22"/>
        </w:rPr>
        <w:t xml:space="preserve">bloody diarrhoea. If sufficient Stx is taken up by the blood and circulated through the body, this can lead to impaired kidney and neurological function and the development of HUS </w:t>
      </w:r>
      <w:r w:rsidRPr="00075CC7">
        <w:rPr>
          <w:rFonts w:cs="Arial"/>
          <w:noProof/>
          <w:szCs w:val="22"/>
        </w:rPr>
        <w:t>(Desmarchelier and Fegan 2003; Gyles 2007)</w:t>
      </w:r>
      <w:r w:rsidRPr="00075CC7">
        <w:rPr>
          <w:rFonts w:cs="Arial"/>
          <w:szCs w:val="22"/>
        </w:rPr>
        <w:t>.</w:t>
      </w:r>
    </w:p>
    <w:p w14:paraId="5167584C" w14:textId="77777777" w:rsidR="00285EF0" w:rsidRPr="006A1C3B" w:rsidRDefault="00285EF0" w:rsidP="00787E56">
      <w:pPr>
        <w:pStyle w:val="Heading3"/>
      </w:pPr>
      <w:bookmarkStart w:id="1298" w:name="_Toc66881483"/>
      <w:bookmarkStart w:id="1299" w:name="_Toc66883109"/>
      <w:bookmarkStart w:id="1300" w:name="_Toc87614508"/>
      <w:bookmarkStart w:id="1301" w:name="_Toc87860147"/>
      <w:r>
        <w:t>Mode of transmission</w:t>
      </w:r>
      <w:bookmarkEnd w:id="1298"/>
      <w:bookmarkEnd w:id="1299"/>
      <w:bookmarkEnd w:id="1300"/>
      <w:bookmarkEnd w:id="1301"/>
    </w:p>
    <w:p w14:paraId="04B3451D" w14:textId="77777777" w:rsidR="00285EF0" w:rsidRPr="008F3DA2" w:rsidRDefault="00285EF0" w:rsidP="00285EF0">
      <w:pPr>
        <w:rPr>
          <w:rFonts w:cs="Arial"/>
          <w:i/>
          <w:szCs w:val="22"/>
        </w:rPr>
      </w:pPr>
      <w:r w:rsidRPr="006A1C3B">
        <w:rPr>
          <w:rFonts w:cs="Arial"/>
          <w:szCs w:val="22"/>
        </w:rPr>
        <w:t>STEC are transmitted by the faecal-oral route by either consumption of contaminated food or water, from direct contact with infected animals or via person-to-person contact</w:t>
      </w:r>
      <w:r>
        <w:rPr>
          <w:rFonts w:cs="Arial"/>
          <w:szCs w:val="22"/>
        </w:rPr>
        <w:t>. It is estimated that 85% of STEC infections are transmitted by food</w:t>
      </w:r>
      <w:r w:rsidRPr="006A1C3B">
        <w:rPr>
          <w:rFonts w:cs="Arial"/>
          <w:szCs w:val="22"/>
        </w:rPr>
        <w:t xml:space="preserve"> </w:t>
      </w:r>
      <w:r>
        <w:rPr>
          <w:rFonts w:cs="Arial"/>
          <w:noProof/>
          <w:szCs w:val="22"/>
        </w:rPr>
        <w:t>(Meng and Schroeder 2007; Gyles 2007)</w:t>
      </w:r>
      <w:r w:rsidRPr="006A1C3B">
        <w:rPr>
          <w:rFonts w:cs="Arial"/>
          <w:szCs w:val="22"/>
        </w:rPr>
        <w:t xml:space="preserve">. </w:t>
      </w:r>
      <w:bookmarkStart w:id="1302" w:name="_Toc123010638"/>
    </w:p>
    <w:p w14:paraId="6C6F136B" w14:textId="77777777" w:rsidR="00285EF0" w:rsidRPr="00A01075" w:rsidRDefault="00285EF0" w:rsidP="00787E56">
      <w:pPr>
        <w:pStyle w:val="Heading3"/>
      </w:pPr>
      <w:bookmarkStart w:id="1303" w:name="_Toc66881484"/>
      <w:bookmarkStart w:id="1304" w:name="_Toc66883110"/>
      <w:bookmarkStart w:id="1305" w:name="_Toc87614509"/>
      <w:bookmarkStart w:id="1306" w:name="_Toc87860148"/>
      <w:r w:rsidRPr="0029407A">
        <w:t>Incidence of illness and outbreak data</w:t>
      </w:r>
      <w:bookmarkEnd w:id="1302"/>
      <w:bookmarkEnd w:id="1303"/>
      <w:bookmarkEnd w:id="1304"/>
      <w:bookmarkEnd w:id="1305"/>
      <w:bookmarkEnd w:id="1306"/>
    </w:p>
    <w:p w14:paraId="7C48DE50" w14:textId="64AE5293" w:rsidR="00285EF0" w:rsidRPr="00C81F5C" w:rsidRDefault="00285EF0" w:rsidP="00285EF0">
      <w:pPr>
        <w:rPr>
          <w:rFonts w:cs="Arial"/>
          <w:szCs w:val="22"/>
        </w:rPr>
      </w:pPr>
      <w:r w:rsidRPr="00C81F5C">
        <w:rPr>
          <w:rFonts w:cs="Arial"/>
          <w:szCs w:val="22"/>
        </w:rPr>
        <w:t>Infection with STEC is a notifiable disease in all Australian states and territories. The incidence of STEC infections notified in Australia in 201</w:t>
      </w:r>
      <w:r>
        <w:rPr>
          <w:rFonts w:cs="Arial"/>
          <w:szCs w:val="22"/>
        </w:rPr>
        <w:t>2</w:t>
      </w:r>
      <w:r w:rsidRPr="00C81F5C">
        <w:rPr>
          <w:rFonts w:cs="Arial"/>
          <w:szCs w:val="22"/>
        </w:rPr>
        <w:t xml:space="preserve"> was 0.</w:t>
      </w:r>
      <w:r>
        <w:rPr>
          <w:rFonts w:cs="Arial"/>
          <w:szCs w:val="22"/>
        </w:rPr>
        <w:t>5</w:t>
      </w:r>
      <w:r w:rsidR="007C4D68">
        <w:rPr>
          <w:rFonts w:cs="Arial"/>
          <w:szCs w:val="22"/>
        </w:rPr>
        <w:t xml:space="preserve"> cases per 100,000 </w:t>
      </w:r>
      <w:r w:rsidRPr="00C81F5C">
        <w:rPr>
          <w:rFonts w:cs="Arial"/>
          <w:szCs w:val="22"/>
        </w:rPr>
        <w:t>population (</w:t>
      </w:r>
      <w:r>
        <w:rPr>
          <w:rFonts w:cs="Arial"/>
          <w:szCs w:val="22"/>
        </w:rPr>
        <w:t>112</w:t>
      </w:r>
      <w:r w:rsidRPr="00C81F5C">
        <w:rPr>
          <w:rFonts w:cs="Arial"/>
          <w:szCs w:val="22"/>
        </w:rPr>
        <w:t xml:space="preserve"> cases), which includes both foodborne and non-foodborne cases. This is </w:t>
      </w:r>
      <w:r>
        <w:rPr>
          <w:rFonts w:cs="Arial"/>
          <w:szCs w:val="22"/>
        </w:rPr>
        <w:t>the same as</w:t>
      </w:r>
      <w:r w:rsidRPr="00C81F5C">
        <w:rPr>
          <w:rFonts w:cs="Arial"/>
          <w:szCs w:val="22"/>
        </w:rPr>
        <w:t xml:space="preserve"> the previous 5 year mean of 0.5 cases per 100,000 population per year (ranging from 0.</w:t>
      </w:r>
      <w:r>
        <w:rPr>
          <w:rFonts w:cs="Arial"/>
          <w:szCs w:val="22"/>
        </w:rPr>
        <w:t>4</w:t>
      </w:r>
      <w:r w:rsidRPr="00C81F5C">
        <w:rPr>
          <w:rFonts w:cs="Arial"/>
          <w:szCs w:val="22"/>
        </w:rPr>
        <w:t xml:space="preserve">–0.6 cases per 100,000 population per year) </w:t>
      </w:r>
      <w:r>
        <w:rPr>
          <w:rFonts w:cs="Arial"/>
          <w:noProof/>
          <w:szCs w:val="22"/>
        </w:rPr>
        <w:t>(NNDSS 2013)</w:t>
      </w:r>
      <w:r>
        <w:rPr>
          <w:rFonts w:cs="Arial"/>
          <w:szCs w:val="22"/>
        </w:rPr>
        <w:t xml:space="preserve">. </w:t>
      </w:r>
      <w:r w:rsidRPr="00C81F5C">
        <w:rPr>
          <w:rFonts w:cs="Arial"/>
          <w:i/>
          <w:szCs w:val="22"/>
        </w:rPr>
        <w:t xml:space="preserve">E. coli </w:t>
      </w:r>
      <w:r w:rsidRPr="00C81F5C">
        <w:rPr>
          <w:rFonts w:cs="Arial"/>
          <w:szCs w:val="22"/>
        </w:rPr>
        <w:t>O157 was the most common STEC</w:t>
      </w:r>
      <w:r>
        <w:rPr>
          <w:rFonts w:cs="Arial"/>
          <w:szCs w:val="22"/>
        </w:rPr>
        <w:t xml:space="preserve"> identified in Australia in 2010 (58</w:t>
      </w:r>
      <w:r w:rsidRPr="00C81F5C">
        <w:rPr>
          <w:rFonts w:cs="Arial"/>
          <w:szCs w:val="22"/>
        </w:rPr>
        <w:t xml:space="preserve">.8% of cases), the next most common </w:t>
      </w:r>
      <w:r>
        <w:rPr>
          <w:rFonts w:cs="Arial"/>
          <w:szCs w:val="22"/>
        </w:rPr>
        <w:t>was</w:t>
      </w:r>
      <w:r w:rsidRPr="00C81F5C">
        <w:rPr>
          <w:rFonts w:cs="Arial"/>
          <w:szCs w:val="22"/>
        </w:rPr>
        <w:t xml:space="preserve"> </w:t>
      </w:r>
      <w:r w:rsidRPr="00C81F5C">
        <w:rPr>
          <w:rFonts w:cs="Arial"/>
          <w:i/>
          <w:szCs w:val="22"/>
        </w:rPr>
        <w:t>E. coli</w:t>
      </w:r>
      <w:r w:rsidRPr="00C81F5C">
        <w:rPr>
          <w:rFonts w:cs="Arial"/>
          <w:szCs w:val="22"/>
        </w:rPr>
        <w:t xml:space="preserve"> O111. </w:t>
      </w:r>
      <w:r>
        <w:rPr>
          <w:rFonts w:cs="Arial"/>
          <w:szCs w:val="22"/>
        </w:rPr>
        <w:t>There was 1 case</w:t>
      </w:r>
      <w:r w:rsidRPr="00C81F5C">
        <w:rPr>
          <w:rFonts w:cs="Arial"/>
          <w:szCs w:val="22"/>
        </w:rPr>
        <w:t xml:space="preserve"> of STEC-associated H</w:t>
      </w:r>
      <w:r>
        <w:rPr>
          <w:rFonts w:cs="Arial"/>
          <w:szCs w:val="22"/>
        </w:rPr>
        <w:t>US reported in Australia in 2010</w:t>
      </w:r>
      <w:r w:rsidRPr="00C81F5C">
        <w:rPr>
          <w:rFonts w:cs="Arial"/>
          <w:szCs w:val="22"/>
        </w:rPr>
        <w:t xml:space="preserve"> </w:t>
      </w:r>
      <w:r>
        <w:rPr>
          <w:rFonts w:cs="Arial"/>
          <w:noProof/>
          <w:szCs w:val="22"/>
        </w:rPr>
        <w:t>(OzFoodNet 2012)</w:t>
      </w:r>
      <w:r>
        <w:rPr>
          <w:rFonts w:cs="Arial"/>
          <w:szCs w:val="22"/>
        </w:rPr>
        <w:t xml:space="preserve">. Notified cases of STEC infection are influenced by different jurisdictional practices. South Australia routinely tests all bloody stools for STEC via PCR and subsequently they have the highest notification rate in the country (2.8 cases per 100,000 population compared to 0.0–1.4 cases per 100,000 population for the other jurisdictions in 2012) </w:t>
      </w:r>
      <w:r>
        <w:rPr>
          <w:rFonts w:cs="Arial"/>
          <w:noProof/>
          <w:szCs w:val="22"/>
        </w:rPr>
        <w:t>(OzFoodNet 2012; NNDSS 2013)</w:t>
      </w:r>
      <w:r>
        <w:rPr>
          <w:rFonts w:cs="Arial"/>
          <w:szCs w:val="22"/>
        </w:rPr>
        <w:t>.</w:t>
      </w:r>
    </w:p>
    <w:p w14:paraId="12859961" w14:textId="77777777" w:rsidR="00285EF0" w:rsidRPr="00C81F5C" w:rsidRDefault="00285EF0" w:rsidP="00285EF0">
      <w:pPr>
        <w:rPr>
          <w:rFonts w:cs="Arial"/>
          <w:szCs w:val="22"/>
        </w:rPr>
      </w:pPr>
    </w:p>
    <w:p w14:paraId="2A59CA86" w14:textId="03D23FC0" w:rsidR="00285EF0" w:rsidRPr="00B23B42" w:rsidRDefault="00285EF0" w:rsidP="00285EF0">
      <w:pPr>
        <w:rPr>
          <w:rFonts w:cs="Arial"/>
          <w:szCs w:val="22"/>
        </w:rPr>
      </w:pPr>
      <w:r w:rsidRPr="00C81F5C">
        <w:rPr>
          <w:rFonts w:cs="Arial"/>
          <w:szCs w:val="22"/>
        </w:rPr>
        <w:t xml:space="preserve">The notification rate for STEC </w:t>
      </w:r>
      <w:r>
        <w:rPr>
          <w:rFonts w:cs="Arial"/>
          <w:szCs w:val="22"/>
        </w:rPr>
        <w:t>in New Zealand in 2011</w:t>
      </w:r>
      <w:r w:rsidRPr="00C81F5C">
        <w:rPr>
          <w:rFonts w:cs="Arial"/>
          <w:szCs w:val="22"/>
        </w:rPr>
        <w:t xml:space="preserve"> was 3</w:t>
      </w:r>
      <w:r>
        <w:rPr>
          <w:rFonts w:cs="Arial"/>
          <w:szCs w:val="22"/>
        </w:rPr>
        <w:t>.5</w:t>
      </w:r>
      <w:r w:rsidRPr="00C81F5C">
        <w:rPr>
          <w:rFonts w:cs="Arial"/>
          <w:szCs w:val="22"/>
        </w:rPr>
        <w:t xml:space="preserve"> c</w:t>
      </w:r>
      <w:r w:rsidR="007C4D68">
        <w:rPr>
          <w:rFonts w:cs="Arial"/>
          <w:szCs w:val="22"/>
        </w:rPr>
        <w:t>ases per 100,000 </w:t>
      </w:r>
      <w:r>
        <w:rPr>
          <w:rFonts w:cs="Arial"/>
          <w:szCs w:val="22"/>
        </w:rPr>
        <w:t>population (154</w:t>
      </w:r>
      <w:r w:rsidRPr="00C81F5C">
        <w:rPr>
          <w:rFonts w:cs="Arial"/>
          <w:szCs w:val="22"/>
        </w:rPr>
        <w:t xml:space="preserve"> cases). This was </w:t>
      </w:r>
      <w:r>
        <w:rPr>
          <w:rFonts w:cs="Arial"/>
          <w:szCs w:val="22"/>
        </w:rPr>
        <w:t>a slight increase from the 2010 rate of 3.2</w:t>
      </w:r>
      <w:r w:rsidRPr="00C81F5C">
        <w:rPr>
          <w:rFonts w:cs="Arial"/>
          <w:szCs w:val="22"/>
        </w:rPr>
        <w:t xml:space="preserve"> cases per 100,000 population</w:t>
      </w:r>
      <w:r>
        <w:rPr>
          <w:rFonts w:cs="Arial"/>
          <w:szCs w:val="22"/>
        </w:rPr>
        <w:t xml:space="preserve"> </w:t>
      </w:r>
      <w:r>
        <w:rPr>
          <w:rFonts w:cs="Arial"/>
          <w:noProof/>
          <w:szCs w:val="22"/>
        </w:rPr>
        <w:t>(Lim et al. 2012</w:t>
      </w:r>
      <w:r w:rsidRPr="00B23B42">
        <w:rPr>
          <w:rFonts w:cs="Arial"/>
          <w:noProof/>
          <w:szCs w:val="22"/>
        </w:rPr>
        <w:t>)</w:t>
      </w:r>
      <w:r w:rsidRPr="00B23B42">
        <w:rPr>
          <w:rFonts w:cs="Arial"/>
          <w:szCs w:val="22"/>
        </w:rPr>
        <w:t xml:space="preserve">. </w:t>
      </w:r>
    </w:p>
    <w:p w14:paraId="51BB3791" w14:textId="77777777" w:rsidR="00285EF0" w:rsidRPr="00C81F5C" w:rsidRDefault="00285EF0" w:rsidP="00285EF0">
      <w:pPr>
        <w:rPr>
          <w:rFonts w:cs="Arial"/>
          <w:szCs w:val="22"/>
        </w:rPr>
      </w:pPr>
    </w:p>
    <w:p w14:paraId="164F9B0E" w14:textId="3C9D996E" w:rsidR="00285EF0" w:rsidRPr="00DE243B" w:rsidRDefault="00285EF0" w:rsidP="00285EF0">
      <w:pPr>
        <w:rPr>
          <w:rFonts w:cs="Arial"/>
          <w:szCs w:val="22"/>
        </w:rPr>
      </w:pPr>
      <w:r w:rsidRPr="00C81F5C">
        <w:rPr>
          <w:rFonts w:cs="Arial"/>
          <w:szCs w:val="22"/>
        </w:rPr>
        <w:t xml:space="preserve">In the </w:t>
      </w:r>
      <w:r>
        <w:rPr>
          <w:rFonts w:cs="Arial"/>
          <w:szCs w:val="22"/>
        </w:rPr>
        <w:t>United States (</w:t>
      </w:r>
      <w:r w:rsidRPr="00C81F5C">
        <w:rPr>
          <w:rFonts w:cs="Arial"/>
          <w:szCs w:val="22"/>
        </w:rPr>
        <w:t>US</w:t>
      </w:r>
      <w:r>
        <w:rPr>
          <w:rFonts w:cs="Arial"/>
          <w:szCs w:val="22"/>
        </w:rPr>
        <w:t>)</w:t>
      </w:r>
      <w:r w:rsidRPr="00C81F5C">
        <w:rPr>
          <w:rFonts w:cs="Arial"/>
          <w:szCs w:val="22"/>
        </w:rPr>
        <w:t xml:space="preserve"> the no</w:t>
      </w:r>
      <w:r>
        <w:rPr>
          <w:rFonts w:cs="Arial"/>
          <w:szCs w:val="22"/>
        </w:rPr>
        <w:t>tification rate for STEC in 2010 was 1.78</w:t>
      </w:r>
      <w:r w:rsidR="007C4D68">
        <w:rPr>
          <w:rFonts w:cs="Arial"/>
          <w:szCs w:val="22"/>
        </w:rPr>
        <w:t xml:space="preserve"> cases per 100,000 </w:t>
      </w:r>
      <w:r w:rsidRPr="00C81F5C">
        <w:rPr>
          <w:rFonts w:cs="Arial"/>
          <w:szCs w:val="22"/>
        </w:rPr>
        <w:t xml:space="preserve">population. This was a slight </w:t>
      </w:r>
      <w:r>
        <w:rPr>
          <w:rFonts w:cs="Arial"/>
          <w:szCs w:val="22"/>
        </w:rPr>
        <w:t>increase from the 2009</w:t>
      </w:r>
      <w:r w:rsidRPr="00C81F5C">
        <w:rPr>
          <w:rFonts w:cs="Arial"/>
          <w:szCs w:val="22"/>
        </w:rPr>
        <w:t xml:space="preserve"> rate of 1.</w:t>
      </w:r>
      <w:r>
        <w:rPr>
          <w:rFonts w:cs="Arial"/>
          <w:szCs w:val="22"/>
        </w:rPr>
        <w:t>53</w:t>
      </w:r>
      <w:r w:rsidR="007C4D68">
        <w:rPr>
          <w:rFonts w:cs="Arial"/>
          <w:szCs w:val="22"/>
        </w:rPr>
        <w:t xml:space="preserve"> cases per 100,000 </w:t>
      </w:r>
      <w:r w:rsidRPr="00C81F5C">
        <w:rPr>
          <w:rFonts w:cs="Arial"/>
          <w:szCs w:val="22"/>
        </w:rPr>
        <w:t>population</w:t>
      </w:r>
      <w:r>
        <w:rPr>
          <w:rFonts w:cs="Arial"/>
          <w:szCs w:val="22"/>
        </w:rPr>
        <w:t xml:space="preserve"> </w:t>
      </w:r>
      <w:r>
        <w:rPr>
          <w:rFonts w:cs="Arial"/>
          <w:noProof/>
          <w:szCs w:val="22"/>
        </w:rPr>
        <w:t>(CDC 2012)</w:t>
      </w:r>
      <w:r w:rsidRPr="00C81F5C">
        <w:rPr>
          <w:rFonts w:cs="Arial"/>
          <w:szCs w:val="22"/>
        </w:rPr>
        <w:t xml:space="preserve">. In the </w:t>
      </w:r>
      <w:r>
        <w:rPr>
          <w:rFonts w:cs="Arial"/>
          <w:szCs w:val="22"/>
        </w:rPr>
        <w:t>European Union</w:t>
      </w:r>
      <w:r w:rsidRPr="00C81F5C">
        <w:rPr>
          <w:rFonts w:cs="Arial"/>
          <w:szCs w:val="22"/>
        </w:rPr>
        <w:t xml:space="preserve"> there were </w:t>
      </w:r>
      <w:r>
        <w:rPr>
          <w:rFonts w:cs="Arial"/>
          <w:szCs w:val="22"/>
        </w:rPr>
        <w:t>1.93</w:t>
      </w:r>
      <w:r w:rsidRPr="00C81F5C">
        <w:rPr>
          <w:rFonts w:cs="Arial"/>
          <w:szCs w:val="22"/>
        </w:rPr>
        <w:t xml:space="preserve"> cases of STEC infectio</w:t>
      </w:r>
      <w:r>
        <w:rPr>
          <w:rFonts w:cs="Arial"/>
          <w:szCs w:val="22"/>
        </w:rPr>
        <w:t>n per 100,000 population in 2011</w:t>
      </w:r>
      <w:r w:rsidRPr="00C81F5C">
        <w:rPr>
          <w:rFonts w:cs="Arial"/>
          <w:szCs w:val="22"/>
        </w:rPr>
        <w:t xml:space="preserve"> (ranging from 0–</w:t>
      </w:r>
      <w:r>
        <w:rPr>
          <w:rFonts w:cs="Arial"/>
          <w:szCs w:val="22"/>
        </w:rPr>
        <w:t>6.80</w:t>
      </w:r>
      <w:r w:rsidRPr="00C81F5C">
        <w:rPr>
          <w:rFonts w:cs="Arial"/>
          <w:szCs w:val="22"/>
        </w:rPr>
        <w:t xml:space="preserve"> cases per 100,000 </w:t>
      </w:r>
      <w:r>
        <w:rPr>
          <w:rFonts w:cs="Arial"/>
          <w:szCs w:val="22"/>
        </w:rPr>
        <w:t xml:space="preserve">population </w:t>
      </w:r>
      <w:r w:rsidRPr="00C81F5C">
        <w:rPr>
          <w:rFonts w:cs="Arial"/>
          <w:szCs w:val="22"/>
        </w:rPr>
        <w:t xml:space="preserve">between countries). This was a </w:t>
      </w:r>
      <w:r>
        <w:rPr>
          <w:rFonts w:cs="Arial"/>
          <w:szCs w:val="22"/>
        </w:rPr>
        <w:t>159.4</w:t>
      </w:r>
      <w:r w:rsidRPr="00C81F5C">
        <w:rPr>
          <w:rFonts w:cs="Arial"/>
          <w:szCs w:val="22"/>
        </w:rPr>
        <w:t>% increase in the number</w:t>
      </w:r>
      <w:r>
        <w:rPr>
          <w:rFonts w:cs="Arial"/>
          <w:szCs w:val="22"/>
        </w:rPr>
        <w:t xml:space="preserve"> of cases from 2010 due to the </w:t>
      </w:r>
      <w:r>
        <w:rPr>
          <w:rFonts w:cs="Arial"/>
          <w:i/>
          <w:szCs w:val="22"/>
        </w:rPr>
        <w:t xml:space="preserve">E. coli </w:t>
      </w:r>
      <w:r w:rsidRPr="0060038C">
        <w:rPr>
          <w:rFonts w:cs="Arial"/>
          <w:szCs w:val="22"/>
        </w:rPr>
        <w:t>O104:H4 outbreak</w:t>
      </w:r>
      <w:r w:rsidRPr="00C81F5C">
        <w:rPr>
          <w:rFonts w:cs="Arial"/>
          <w:szCs w:val="22"/>
        </w:rPr>
        <w:t xml:space="preserve"> </w:t>
      </w:r>
      <w:r>
        <w:rPr>
          <w:rFonts w:cs="Arial"/>
          <w:szCs w:val="22"/>
        </w:rPr>
        <w:t xml:space="preserve">that affected nearly 4,000 people </w:t>
      </w:r>
      <w:r>
        <w:rPr>
          <w:rFonts w:cs="Arial"/>
          <w:noProof/>
          <w:szCs w:val="22"/>
        </w:rPr>
        <w:t>(EFSA 2013)</w:t>
      </w:r>
      <w:r>
        <w:rPr>
          <w:rFonts w:cs="Arial"/>
          <w:szCs w:val="22"/>
        </w:rPr>
        <w:t>.</w:t>
      </w:r>
    </w:p>
    <w:p w14:paraId="06FC38B6" w14:textId="77777777" w:rsidR="00285EF0" w:rsidRPr="006A1C3B" w:rsidRDefault="00285EF0" w:rsidP="00285EF0">
      <w:pPr>
        <w:rPr>
          <w:rFonts w:cs="Arial"/>
          <w:szCs w:val="22"/>
        </w:rPr>
      </w:pPr>
    </w:p>
    <w:p w14:paraId="151862AE" w14:textId="77777777" w:rsidR="00285EF0" w:rsidRPr="006A1C3B" w:rsidRDefault="00285EF0" w:rsidP="00285EF0">
      <w:pPr>
        <w:rPr>
          <w:rFonts w:cs="Arial"/>
          <w:szCs w:val="22"/>
        </w:rPr>
      </w:pPr>
      <w:r w:rsidRPr="006A1C3B">
        <w:rPr>
          <w:rFonts w:cs="Arial"/>
          <w:szCs w:val="22"/>
        </w:rPr>
        <w:t>The incidence of STEC infections has a seasonal association, with the number of cases increasing during the warmer months. In Australia STEC is most prevalent from November to April</w:t>
      </w:r>
      <w:r>
        <w:rPr>
          <w:rFonts w:cs="Arial"/>
          <w:szCs w:val="22"/>
        </w:rPr>
        <w:t xml:space="preserve"> </w:t>
      </w:r>
      <w:r>
        <w:rPr>
          <w:rFonts w:cs="Arial"/>
          <w:noProof/>
          <w:szCs w:val="22"/>
        </w:rPr>
        <w:t>(OzFoodNet 2010)</w:t>
      </w:r>
      <w:r w:rsidRPr="006A1C3B">
        <w:rPr>
          <w:rFonts w:cs="Arial"/>
          <w:szCs w:val="22"/>
        </w:rPr>
        <w:t>.</w:t>
      </w:r>
    </w:p>
    <w:p w14:paraId="638E6867" w14:textId="77777777" w:rsidR="00285EF0" w:rsidRPr="006A1C3B" w:rsidRDefault="00285EF0" w:rsidP="00285EF0">
      <w:pPr>
        <w:rPr>
          <w:rFonts w:cs="Arial"/>
          <w:szCs w:val="22"/>
        </w:rPr>
      </w:pPr>
    </w:p>
    <w:p w14:paraId="69482449" w14:textId="77777777" w:rsidR="00285EF0" w:rsidRPr="006A1C3B" w:rsidRDefault="00285EF0" w:rsidP="00285EF0">
      <w:pPr>
        <w:rPr>
          <w:rFonts w:cs="Arial"/>
          <w:szCs w:val="22"/>
        </w:rPr>
      </w:pPr>
      <w:r>
        <w:rPr>
          <w:rFonts w:cs="Arial"/>
          <w:szCs w:val="22"/>
        </w:rPr>
        <w:t>Foods associated with o</w:t>
      </w:r>
      <w:r w:rsidRPr="006A1C3B">
        <w:rPr>
          <w:rFonts w:cs="Arial"/>
          <w:szCs w:val="22"/>
        </w:rPr>
        <w:t xml:space="preserve">utbreaks of STEC </w:t>
      </w:r>
      <w:r>
        <w:rPr>
          <w:rFonts w:cs="Arial"/>
          <w:szCs w:val="22"/>
        </w:rPr>
        <w:t xml:space="preserve">include </w:t>
      </w:r>
      <w:r w:rsidRPr="006A1C3B">
        <w:rPr>
          <w:rFonts w:cs="Arial"/>
          <w:szCs w:val="22"/>
        </w:rPr>
        <w:t xml:space="preserve">undercooked </w:t>
      </w:r>
      <w:r>
        <w:rPr>
          <w:rFonts w:cs="Arial"/>
          <w:szCs w:val="22"/>
        </w:rPr>
        <w:t>ground beef</w:t>
      </w:r>
      <w:r w:rsidRPr="006A1C3B">
        <w:rPr>
          <w:rFonts w:cs="Arial"/>
          <w:szCs w:val="22"/>
        </w:rPr>
        <w:t xml:space="preserve">, fresh produce, unpasteurised juices, </w:t>
      </w:r>
      <w:r>
        <w:rPr>
          <w:rFonts w:cs="Arial"/>
          <w:szCs w:val="22"/>
        </w:rPr>
        <w:t>raw (</w:t>
      </w:r>
      <w:r w:rsidRPr="006A1C3B">
        <w:rPr>
          <w:rFonts w:cs="Arial"/>
          <w:szCs w:val="22"/>
        </w:rPr>
        <w:t>unpasteurised</w:t>
      </w:r>
      <w:r>
        <w:rPr>
          <w:rFonts w:cs="Arial"/>
          <w:szCs w:val="22"/>
        </w:rPr>
        <w:t>)</w:t>
      </w:r>
      <w:r w:rsidRPr="006A1C3B">
        <w:rPr>
          <w:rFonts w:cs="Arial"/>
          <w:szCs w:val="22"/>
        </w:rPr>
        <w:t xml:space="preserve"> milk</w:t>
      </w:r>
      <w:r>
        <w:rPr>
          <w:rFonts w:cs="Arial"/>
          <w:szCs w:val="22"/>
        </w:rPr>
        <w:t>, uncooked fermented sausage, and raw cookie dough</w:t>
      </w:r>
      <w:r w:rsidRPr="006A1C3B">
        <w:rPr>
          <w:rFonts w:cs="Arial"/>
          <w:szCs w:val="22"/>
        </w:rPr>
        <w:t xml:space="preserve"> </w:t>
      </w:r>
      <w:r>
        <w:rPr>
          <w:rFonts w:cs="Arial"/>
          <w:noProof/>
          <w:szCs w:val="22"/>
        </w:rPr>
        <w:t>(CDC 2011; Yoon and Hovde 2008; FDA 2012)</w:t>
      </w:r>
      <w:r w:rsidRPr="006A1C3B">
        <w:rPr>
          <w:rFonts w:cs="Arial"/>
          <w:szCs w:val="22"/>
        </w:rPr>
        <w:t>.</w:t>
      </w:r>
    </w:p>
    <w:p w14:paraId="0FA501CE" w14:textId="77777777" w:rsidR="00285EF0" w:rsidRPr="006A1C3B" w:rsidRDefault="00285EF0" w:rsidP="00285EF0">
      <w:pPr>
        <w:rPr>
          <w:rFonts w:cs="Arial"/>
          <w:szCs w:val="22"/>
        </w:rPr>
      </w:pPr>
    </w:p>
    <w:p w14:paraId="032A572A" w14:textId="77777777" w:rsidR="00E94ED2" w:rsidRDefault="00E94ED2">
      <w:pPr>
        <w:widowControl/>
        <w:rPr>
          <w:b/>
          <w:i/>
        </w:rPr>
      </w:pPr>
      <w:r>
        <w:rPr>
          <w:b/>
          <w:i/>
        </w:rPr>
        <w:br w:type="page"/>
      </w:r>
    </w:p>
    <w:p w14:paraId="4842E3EC" w14:textId="21DBAA8B" w:rsidR="00285EF0" w:rsidRPr="00DC4E60" w:rsidRDefault="00285EF0" w:rsidP="00285EF0">
      <w:pPr>
        <w:spacing w:after="120"/>
        <w:rPr>
          <w:b/>
          <w:i/>
        </w:rPr>
      </w:pPr>
      <w:r w:rsidRPr="00DC4E60">
        <w:rPr>
          <w:b/>
          <w:i/>
        </w:rPr>
        <w:t>Occurrence in food</w:t>
      </w:r>
    </w:p>
    <w:p w14:paraId="492EB564" w14:textId="6E3A3091" w:rsidR="00285EF0" w:rsidRPr="006A1C3B" w:rsidRDefault="00285EF0" w:rsidP="00285EF0">
      <w:pPr>
        <w:rPr>
          <w:rFonts w:cs="Arial"/>
          <w:szCs w:val="22"/>
        </w:rPr>
      </w:pPr>
      <w:r w:rsidRPr="006A1C3B">
        <w:rPr>
          <w:rFonts w:cs="Arial"/>
          <w:szCs w:val="22"/>
        </w:rPr>
        <w:t xml:space="preserve">The major animal reservoir of STEC is ruminants, in particular cattle and sheep </w:t>
      </w:r>
      <w:r>
        <w:rPr>
          <w:rFonts w:cs="Arial"/>
          <w:noProof/>
          <w:szCs w:val="22"/>
        </w:rPr>
        <w:t>(Gyles 2007)</w:t>
      </w:r>
      <w:r w:rsidRPr="006A1C3B">
        <w:rPr>
          <w:rFonts w:cs="Arial"/>
          <w:szCs w:val="22"/>
        </w:rPr>
        <w:t xml:space="preserve">. Individual animals can carry more than one serotype of STEC </w:t>
      </w:r>
      <w:r w:rsidRPr="006A1C3B">
        <w:rPr>
          <w:rFonts w:cs="Arial"/>
          <w:noProof/>
          <w:szCs w:val="22"/>
        </w:rPr>
        <w:t>(Barlow and Mellor 2010)</w:t>
      </w:r>
      <w:r>
        <w:rPr>
          <w:rFonts w:cs="Arial"/>
          <w:szCs w:val="22"/>
        </w:rPr>
        <w:t xml:space="preserve">. </w:t>
      </w:r>
      <w:r w:rsidRPr="006A1C3B">
        <w:rPr>
          <w:rFonts w:cs="Arial"/>
          <w:szCs w:val="22"/>
        </w:rPr>
        <w:t xml:space="preserve">Meat derived from these animals may become contaminated with STEC organisms if the meat is exposed to faecal material during processing. A study of faecal samples </w:t>
      </w:r>
      <w:r>
        <w:rPr>
          <w:rFonts w:cs="Arial"/>
          <w:szCs w:val="22"/>
        </w:rPr>
        <w:t xml:space="preserve">from </w:t>
      </w:r>
      <w:r w:rsidRPr="006A1C3B">
        <w:rPr>
          <w:rFonts w:cs="Arial"/>
          <w:szCs w:val="22"/>
        </w:rPr>
        <w:t xml:space="preserve">Australian beef cattle showed 10% of samples </w:t>
      </w:r>
      <w:r>
        <w:rPr>
          <w:rFonts w:cs="Arial"/>
          <w:szCs w:val="22"/>
        </w:rPr>
        <w:t xml:space="preserve">(n=300) </w:t>
      </w:r>
      <w:r w:rsidRPr="006A1C3B">
        <w:rPr>
          <w:rFonts w:cs="Arial"/>
          <w:szCs w:val="22"/>
        </w:rPr>
        <w:t xml:space="preserve">were STEC positive, </w:t>
      </w:r>
      <w:r>
        <w:rPr>
          <w:rFonts w:cs="Arial"/>
          <w:szCs w:val="22"/>
        </w:rPr>
        <w:t xml:space="preserve">with </w:t>
      </w:r>
      <w:r w:rsidR="007C4D68">
        <w:rPr>
          <w:rFonts w:cs="Arial"/>
          <w:i/>
          <w:szCs w:val="22"/>
        </w:rPr>
        <w:t>E. </w:t>
      </w:r>
      <w:r w:rsidRPr="006A1C3B">
        <w:rPr>
          <w:rFonts w:cs="Arial"/>
          <w:i/>
          <w:szCs w:val="22"/>
        </w:rPr>
        <w:t>coli</w:t>
      </w:r>
      <w:r w:rsidR="007C4D68">
        <w:rPr>
          <w:rFonts w:cs="Arial"/>
          <w:szCs w:val="22"/>
        </w:rPr>
        <w:t> </w:t>
      </w:r>
      <w:r w:rsidRPr="006A1C3B">
        <w:rPr>
          <w:rFonts w:cs="Arial"/>
          <w:szCs w:val="22"/>
        </w:rPr>
        <w:t xml:space="preserve">O157 isolated </w:t>
      </w:r>
      <w:r>
        <w:rPr>
          <w:rFonts w:cs="Arial"/>
          <w:szCs w:val="22"/>
        </w:rPr>
        <w:t xml:space="preserve">from </w:t>
      </w:r>
      <w:r w:rsidRPr="006A1C3B">
        <w:rPr>
          <w:rFonts w:cs="Arial"/>
          <w:szCs w:val="22"/>
        </w:rPr>
        <w:t xml:space="preserve">1.7% of all samples </w:t>
      </w:r>
      <w:r>
        <w:rPr>
          <w:rFonts w:cs="Arial"/>
          <w:noProof/>
          <w:szCs w:val="22"/>
        </w:rPr>
        <w:t>(Barlow and Mellor 2010)</w:t>
      </w:r>
      <w:r w:rsidRPr="006A1C3B">
        <w:rPr>
          <w:rFonts w:cs="Arial"/>
          <w:szCs w:val="22"/>
        </w:rPr>
        <w:t xml:space="preserve">. Barlow et al. </w:t>
      </w:r>
      <w:r w:rsidRPr="006A1C3B">
        <w:rPr>
          <w:rFonts w:cs="Arial"/>
          <w:noProof/>
          <w:szCs w:val="22"/>
        </w:rPr>
        <w:t>(2006)</w:t>
      </w:r>
      <w:r w:rsidRPr="006A1C3B">
        <w:rPr>
          <w:rFonts w:cs="Arial"/>
          <w:szCs w:val="22"/>
        </w:rPr>
        <w:t xml:space="preserve"> isolated</w:t>
      </w:r>
      <w:r w:rsidRPr="006A1C3B">
        <w:rPr>
          <w:rFonts w:cs="Arial"/>
          <w:i/>
          <w:szCs w:val="22"/>
        </w:rPr>
        <w:t xml:space="preserve"> </w:t>
      </w:r>
      <w:r w:rsidRPr="006A1C3B">
        <w:rPr>
          <w:rFonts w:cs="Arial"/>
          <w:szCs w:val="22"/>
        </w:rPr>
        <w:t xml:space="preserve">STEC from 16% of ground beef </w:t>
      </w:r>
      <w:r>
        <w:rPr>
          <w:rFonts w:cs="Arial"/>
          <w:szCs w:val="22"/>
        </w:rPr>
        <w:t xml:space="preserve">(n=285) </w:t>
      </w:r>
      <w:r w:rsidRPr="006A1C3B">
        <w:rPr>
          <w:rFonts w:cs="Arial"/>
          <w:szCs w:val="22"/>
        </w:rPr>
        <w:t xml:space="preserve">and 40% of lamb cuts </w:t>
      </w:r>
      <w:r>
        <w:rPr>
          <w:rFonts w:cs="Arial"/>
          <w:szCs w:val="22"/>
        </w:rPr>
        <w:t>(n=275) sampled</w:t>
      </w:r>
      <w:r w:rsidRPr="006A1C3B">
        <w:rPr>
          <w:rFonts w:cs="Arial"/>
          <w:szCs w:val="22"/>
        </w:rPr>
        <w:t xml:space="preserve"> in Australia, although </w:t>
      </w:r>
      <w:r>
        <w:rPr>
          <w:rFonts w:cs="Arial"/>
          <w:szCs w:val="22"/>
        </w:rPr>
        <w:t>the</w:t>
      </w:r>
      <w:r w:rsidRPr="006A1C3B">
        <w:rPr>
          <w:rFonts w:cs="Arial"/>
          <w:szCs w:val="22"/>
        </w:rPr>
        <w:t xml:space="preserve"> serotypes </w:t>
      </w:r>
      <w:r>
        <w:rPr>
          <w:rFonts w:cs="Arial"/>
          <w:szCs w:val="22"/>
        </w:rPr>
        <w:t xml:space="preserve">isolated were </w:t>
      </w:r>
      <w:r w:rsidRPr="006A1C3B">
        <w:rPr>
          <w:rFonts w:cs="Arial"/>
          <w:szCs w:val="22"/>
        </w:rPr>
        <w:t xml:space="preserve">not associated with reported human cases in Australia. The detection of STEC at a substantially higher rate in lamb is consistent with the higher concentration and prevalence of </w:t>
      </w:r>
      <w:r w:rsidRPr="006A1C3B">
        <w:rPr>
          <w:rFonts w:cs="Arial"/>
          <w:i/>
          <w:szCs w:val="22"/>
        </w:rPr>
        <w:t>E. coli</w:t>
      </w:r>
      <w:r w:rsidRPr="006A1C3B">
        <w:rPr>
          <w:rFonts w:cs="Arial"/>
          <w:szCs w:val="22"/>
        </w:rPr>
        <w:t xml:space="preserve"> on sheep carcasses compared to beef carcasses </w:t>
      </w:r>
      <w:r>
        <w:rPr>
          <w:rFonts w:cs="Arial"/>
          <w:noProof/>
          <w:szCs w:val="22"/>
        </w:rPr>
        <w:t>(Phillips et al. 2001a; Phillips et al. 2001b)</w:t>
      </w:r>
      <w:r w:rsidRPr="006A1C3B">
        <w:rPr>
          <w:rFonts w:cs="Arial"/>
          <w:szCs w:val="22"/>
        </w:rPr>
        <w:t xml:space="preserve">. The reported prevalence of STEC in bulk tank milk internationally is 0–33.5% </w:t>
      </w:r>
      <w:r w:rsidRPr="006A1C3B">
        <w:rPr>
          <w:rFonts w:cs="Arial"/>
          <w:noProof/>
          <w:szCs w:val="22"/>
        </w:rPr>
        <w:t>(FSANZ 2009)</w:t>
      </w:r>
      <w:r w:rsidRPr="006A1C3B">
        <w:rPr>
          <w:rFonts w:cs="Arial"/>
          <w:szCs w:val="22"/>
        </w:rPr>
        <w:t>.</w:t>
      </w:r>
    </w:p>
    <w:p w14:paraId="1FF1A34F" w14:textId="77777777" w:rsidR="00285EF0" w:rsidRPr="006A1C3B" w:rsidRDefault="00285EF0" w:rsidP="00285EF0">
      <w:pPr>
        <w:rPr>
          <w:rFonts w:cs="Arial"/>
          <w:szCs w:val="22"/>
        </w:rPr>
      </w:pPr>
    </w:p>
    <w:p w14:paraId="1412C958" w14:textId="30A6E55B" w:rsidR="00285EF0" w:rsidRPr="006A1C3B" w:rsidRDefault="00285EF0" w:rsidP="00285EF0">
      <w:pPr>
        <w:rPr>
          <w:rFonts w:cs="Arial"/>
          <w:szCs w:val="22"/>
        </w:rPr>
      </w:pPr>
      <w:r w:rsidRPr="00E10A85">
        <w:rPr>
          <w:rFonts w:cs="Arial"/>
          <w:szCs w:val="22"/>
        </w:rPr>
        <w:t xml:space="preserve">STEC outbreaks have occurred due to the consumption of fruits and vegetables. Fresh produce may be contaminated due to irrigation with contaminated water or the use of soil treated with farm effluent </w:t>
      </w:r>
      <w:r w:rsidRPr="00E10A85">
        <w:rPr>
          <w:rFonts w:cs="Arial"/>
          <w:noProof/>
          <w:szCs w:val="22"/>
        </w:rPr>
        <w:t>(Fremaux et al. 2008)</w:t>
      </w:r>
      <w:r w:rsidRPr="00E10A85">
        <w:rPr>
          <w:rFonts w:cs="Arial"/>
          <w:szCs w:val="22"/>
        </w:rPr>
        <w:t xml:space="preserve">. The presence of STEC on seafood and poultry at retail may be due to cross-contamination or harvesting seafood from contaminated waters </w:t>
      </w:r>
      <w:r w:rsidRPr="00E10A85">
        <w:rPr>
          <w:rFonts w:cs="Arial"/>
          <w:noProof/>
          <w:szCs w:val="22"/>
        </w:rPr>
        <w:t>(Desmarchelier and Fegan 2003)</w:t>
      </w:r>
      <w:r w:rsidRPr="00E10A85">
        <w:rPr>
          <w:rFonts w:cs="Arial"/>
          <w:szCs w:val="22"/>
        </w:rPr>
        <w:t>. STEC has been found to survive for months in soil and manure. It can survive for long periods of time in water and has been isolated from ponds, streams, wells and water troughs. Waterborne transmission of STEC has been reported, both from contaminated drinking water and from recreational water (e.g.</w:t>
      </w:r>
      <w:r w:rsidR="007C4D68">
        <w:rPr>
          <w:rFonts w:cs="Arial"/>
          <w:i/>
          <w:szCs w:val="22"/>
        </w:rPr>
        <w:t> </w:t>
      </w:r>
      <w:r w:rsidRPr="00E10A85">
        <w:rPr>
          <w:rFonts w:cs="Arial"/>
          <w:szCs w:val="22"/>
        </w:rPr>
        <w:t xml:space="preserve">swimming) </w:t>
      </w:r>
      <w:bookmarkStart w:id="1307" w:name="_Toc123010642"/>
      <w:r w:rsidRPr="00E10A85">
        <w:rPr>
          <w:rFonts w:cs="Arial"/>
          <w:noProof/>
          <w:szCs w:val="22"/>
        </w:rPr>
        <w:t>(Fremaux et al. 2008; WHO 2011)</w:t>
      </w:r>
      <w:r>
        <w:rPr>
          <w:rFonts w:cs="Arial"/>
          <w:noProof/>
          <w:szCs w:val="22"/>
        </w:rPr>
        <w:t>.</w:t>
      </w:r>
    </w:p>
    <w:p w14:paraId="2FC2FEED" w14:textId="77777777" w:rsidR="00285EF0" w:rsidRPr="006A1C3B" w:rsidRDefault="00285EF0" w:rsidP="00787E56">
      <w:pPr>
        <w:pStyle w:val="Heading3"/>
      </w:pPr>
      <w:bookmarkStart w:id="1308" w:name="_Toc66881485"/>
      <w:bookmarkStart w:id="1309" w:name="_Toc66883111"/>
      <w:bookmarkStart w:id="1310" w:name="_Toc87614510"/>
      <w:bookmarkStart w:id="1311" w:name="_Toc87860149"/>
      <w:bookmarkEnd w:id="1307"/>
      <w:r w:rsidRPr="0029407A">
        <w:t>Host factors that influence disease</w:t>
      </w:r>
      <w:bookmarkEnd w:id="1308"/>
      <w:bookmarkEnd w:id="1309"/>
      <w:bookmarkEnd w:id="1310"/>
      <w:bookmarkEnd w:id="1311"/>
    </w:p>
    <w:p w14:paraId="66BA8849" w14:textId="37A2F030" w:rsidR="00285EF0" w:rsidRPr="006A1C3B" w:rsidRDefault="00285EF0" w:rsidP="00285EF0">
      <w:pPr>
        <w:rPr>
          <w:rFonts w:cs="Arial"/>
          <w:szCs w:val="22"/>
        </w:rPr>
      </w:pPr>
      <w:r w:rsidRPr="006A1C3B">
        <w:rPr>
          <w:rFonts w:cs="Arial"/>
          <w:szCs w:val="22"/>
        </w:rPr>
        <w:t xml:space="preserve">People of all ages are susceptible to infection with STEC. However, the young and the elderly are </w:t>
      </w:r>
      <w:r>
        <w:rPr>
          <w:rFonts w:cs="Arial"/>
          <w:szCs w:val="22"/>
        </w:rPr>
        <w:t xml:space="preserve">more susceptible and are </w:t>
      </w:r>
      <w:r w:rsidRPr="006A1C3B">
        <w:rPr>
          <w:rFonts w:cs="Arial"/>
          <w:szCs w:val="22"/>
        </w:rPr>
        <w:t xml:space="preserve">more likely to develop more serious symptoms </w:t>
      </w:r>
      <w:r w:rsidR="007C4D68">
        <w:rPr>
          <w:rFonts w:cs="Arial"/>
          <w:noProof/>
          <w:szCs w:val="22"/>
        </w:rPr>
        <w:t>(FDA </w:t>
      </w:r>
      <w:r>
        <w:rPr>
          <w:rFonts w:cs="Arial"/>
          <w:noProof/>
          <w:szCs w:val="22"/>
        </w:rPr>
        <w:t>2012)</w:t>
      </w:r>
      <w:r>
        <w:rPr>
          <w:rFonts w:cs="Arial"/>
          <w:szCs w:val="22"/>
        </w:rPr>
        <w:t>.</w:t>
      </w:r>
    </w:p>
    <w:p w14:paraId="1D0B4F95" w14:textId="77777777" w:rsidR="00285EF0" w:rsidRPr="006A1C3B" w:rsidRDefault="00285EF0" w:rsidP="00787E56">
      <w:pPr>
        <w:pStyle w:val="Heading3"/>
      </w:pPr>
      <w:bookmarkStart w:id="1312" w:name="_Toc66881486"/>
      <w:bookmarkStart w:id="1313" w:name="_Toc66883112"/>
      <w:bookmarkStart w:id="1314" w:name="_Toc87614511"/>
      <w:bookmarkStart w:id="1315" w:name="_Toc87860150"/>
      <w:r>
        <w:t>Dose response</w:t>
      </w:r>
      <w:bookmarkEnd w:id="1312"/>
      <w:bookmarkEnd w:id="1313"/>
      <w:bookmarkEnd w:id="1314"/>
      <w:bookmarkEnd w:id="1315"/>
    </w:p>
    <w:p w14:paraId="55F8D2A8" w14:textId="77777777" w:rsidR="00285EF0" w:rsidRPr="00310DB0" w:rsidRDefault="00285EF0" w:rsidP="00285EF0">
      <w:pPr>
        <w:rPr>
          <w:rFonts w:cs="Arial"/>
          <w:szCs w:val="22"/>
        </w:rPr>
      </w:pPr>
      <w:r w:rsidRPr="006A1C3B">
        <w:rPr>
          <w:rFonts w:cs="Arial"/>
          <w:szCs w:val="22"/>
        </w:rPr>
        <w:t xml:space="preserve">The dose response relationship for STEC is complicated by the number of serotypes and the association of STEC with a variety of foods. </w:t>
      </w:r>
      <w:r>
        <w:rPr>
          <w:rFonts w:cs="Arial"/>
          <w:szCs w:val="22"/>
        </w:rPr>
        <w:t xml:space="preserve">The infective dose of </w:t>
      </w:r>
      <w:r>
        <w:rPr>
          <w:rFonts w:cs="Arial"/>
          <w:i/>
          <w:szCs w:val="22"/>
        </w:rPr>
        <w:t>E. coli</w:t>
      </w:r>
      <w:r>
        <w:rPr>
          <w:rFonts w:cs="Arial"/>
          <w:szCs w:val="22"/>
        </w:rPr>
        <w:t xml:space="preserve"> O157:H7 is estimated to be very low, in the range of 10–100 cells. The infective dose of other STEC serotypes is suspected to be slightly higher </w:t>
      </w:r>
      <w:r>
        <w:rPr>
          <w:rFonts w:cs="Arial"/>
          <w:noProof/>
          <w:szCs w:val="22"/>
        </w:rPr>
        <w:t>(FDA 2012)</w:t>
      </w:r>
      <w:r>
        <w:rPr>
          <w:rFonts w:cs="Arial"/>
          <w:szCs w:val="22"/>
        </w:rPr>
        <w:t>.</w:t>
      </w:r>
    </w:p>
    <w:p w14:paraId="45B65478" w14:textId="77777777" w:rsidR="00285EF0" w:rsidRPr="006A1C3B" w:rsidRDefault="00285EF0" w:rsidP="00285EF0">
      <w:pPr>
        <w:rPr>
          <w:rFonts w:cs="Arial"/>
          <w:szCs w:val="22"/>
        </w:rPr>
      </w:pPr>
    </w:p>
    <w:p w14:paraId="7ED34679" w14:textId="77777777" w:rsidR="00285EF0" w:rsidRDefault="00285EF0" w:rsidP="00285EF0">
      <w:pPr>
        <w:rPr>
          <w:rFonts w:cs="Arial"/>
          <w:szCs w:val="22"/>
        </w:rPr>
      </w:pPr>
      <w:r w:rsidRPr="006A1C3B">
        <w:rPr>
          <w:rFonts w:cs="Arial"/>
          <w:szCs w:val="22"/>
        </w:rPr>
        <w:t xml:space="preserve">Dose response models have been developed for </w:t>
      </w:r>
      <w:r w:rsidRPr="006A1C3B">
        <w:rPr>
          <w:rFonts w:cs="Arial"/>
          <w:i/>
          <w:szCs w:val="22"/>
        </w:rPr>
        <w:t>E. coli</w:t>
      </w:r>
      <w:r w:rsidRPr="006A1C3B">
        <w:rPr>
          <w:rFonts w:cs="Arial"/>
          <w:szCs w:val="22"/>
        </w:rPr>
        <w:t xml:space="preserve"> O157:H7. Teunis et al. </w:t>
      </w:r>
      <w:r w:rsidRPr="006A1C3B">
        <w:rPr>
          <w:rFonts w:cs="Arial"/>
          <w:noProof/>
          <w:szCs w:val="22"/>
        </w:rPr>
        <w:t>(2004)</w:t>
      </w:r>
      <w:r w:rsidRPr="006A1C3B">
        <w:rPr>
          <w:rFonts w:cs="Arial"/>
          <w:szCs w:val="22"/>
        </w:rPr>
        <w:t xml:space="preserve"> used data from an </w:t>
      </w:r>
      <w:r w:rsidRPr="006A1C3B">
        <w:rPr>
          <w:rFonts w:cs="Arial"/>
          <w:i/>
          <w:szCs w:val="22"/>
        </w:rPr>
        <w:t>E</w:t>
      </w:r>
      <w:r w:rsidRPr="006A1C3B">
        <w:rPr>
          <w:rFonts w:cs="Arial"/>
          <w:i/>
          <w:iCs/>
          <w:szCs w:val="22"/>
        </w:rPr>
        <w:t>. coli</w:t>
      </w:r>
      <w:r w:rsidRPr="006A1C3B">
        <w:rPr>
          <w:rFonts w:cs="Arial"/>
          <w:szCs w:val="22"/>
        </w:rPr>
        <w:t xml:space="preserve"> O157:H7 outbreak at a school in Japan to estimate the dose required to cause disease. In children the estimated ingested dose was 31 organisms, with 25% of exposed children becoming ill. In adults the estimated ingested dose was 35 organisms, with 16% </w:t>
      </w:r>
      <w:r>
        <w:rPr>
          <w:rFonts w:cs="Arial"/>
          <w:szCs w:val="22"/>
        </w:rPr>
        <w:t>of exposed adults becoming ill.</w:t>
      </w:r>
    </w:p>
    <w:p w14:paraId="0A4389B8" w14:textId="77777777" w:rsidR="00285EF0" w:rsidRDefault="00285EF0" w:rsidP="00285EF0">
      <w:pPr>
        <w:rPr>
          <w:rFonts w:cs="Arial"/>
          <w:szCs w:val="22"/>
        </w:rPr>
      </w:pPr>
    </w:p>
    <w:p w14:paraId="5C0711C3" w14:textId="77777777" w:rsidR="00285EF0" w:rsidRDefault="00285EF0" w:rsidP="00285EF0">
      <w:pPr>
        <w:rPr>
          <w:rFonts w:cs="Arial"/>
          <w:szCs w:val="22"/>
        </w:rPr>
      </w:pPr>
      <w:r w:rsidRPr="006A1C3B">
        <w:rPr>
          <w:rFonts w:cs="Arial"/>
          <w:szCs w:val="22"/>
        </w:rPr>
        <w:t xml:space="preserve">Haas et al. </w:t>
      </w:r>
      <w:r w:rsidRPr="006A1C3B">
        <w:rPr>
          <w:rFonts w:cs="Arial"/>
          <w:noProof/>
          <w:szCs w:val="22"/>
        </w:rPr>
        <w:t>(2000)</w:t>
      </w:r>
      <w:r w:rsidRPr="006A1C3B">
        <w:rPr>
          <w:rFonts w:cs="Arial"/>
          <w:szCs w:val="22"/>
        </w:rPr>
        <w:t xml:space="preserve"> used data from a prior animal study undertaken by Pai et al. </w:t>
      </w:r>
      <w:r w:rsidRPr="006A1C3B">
        <w:rPr>
          <w:rFonts w:cs="Arial"/>
          <w:noProof/>
          <w:szCs w:val="22"/>
        </w:rPr>
        <w:t>(1986)</w:t>
      </w:r>
      <w:r w:rsidRPr="006A1C3B">
        <w:rPr>
          <w:rFonts w:cs="Arial"/>
          <w:szCs w:val="22"/>
        </w:rPr>
        <w:t xml:space="preserve"> and validated their model by comparison with two human outbreaks, one foodborne and the other waterborne, that occurred in the US. This model estimated that the dose required for 50% of the exposed population to become ill was 5.9 </w:t>
      </w:r>
      <w:r w:rsidRPr="006A1C3B">
        <w:rPr>
          <w:rFonts w:cs="Arial"/>
          <w:szCs w:val="22"/>
        </w:rPr>
        <w:sym w:font="Symbol" w:char="F0B4"/>
      </w:r>
      <w:r w:rsidRPr="006A1C3B">
        <w:rPr>
          <w:rFonts w:cs="Arial"/>
          <w:szCs w:val="22"/>
        </w:rPr>
        <w:t xml:space="preserve"> 10</w:t>
      </w:r>
      <w:r w:rsidRPr="006A1C3B">
        <w:rPr>
          <w:rFonts w:cs="Arial"/>
          <w:szCs w:val="22"/>
          <w:vertAlign w:val="superscript"/>
        </w:rPr>
        <w:t>5</w:t>
      </w:r>
      <w:r w:rsidRPr="006A1C3B">
        <w:rPr>
          <w:rFonts w:cs="Arial"/>
          <w:szCs w:val="22"/>
        </w:rPr>
        <w:t xml:space="preserve"> organisms. The corresponding probability of illness for the ingestion of 100 organisms was 2.6 </w:t>
      </w:r>
      <w:r w:rsidRPr="006A1C3B">
        <w:rPr>
          <w:rFonts w:cs="Arial"/>
          <w:szCs w:val="22"/>
        </w:rPr>
        <w:sym w:font="Symbol" w:char="F0B4"/>
      </w:r>
      <w:r w:rsidRPr="006A1C3B">
        <w:rPr>
          <w:rFonts w:cs="Arial"/>
          <w:szCs w:val="22"/>
        </w:rPr>
        <w:t xml:space="preserve"> 10</w:t>
      </w:r>
      <w:r w:rsidRPr="006A1C3B">
        <w:rPr>
          <w:rFonts w:cs="Arial"/>
          <w:szCs w:val="22"/>
          <w:vertAlign w:val="superscript"/>
        </w:rPr>
        <w:t>-4</w:t>
      </w:r>
      <w:r w:rsidRPr="006A1C3B">
        <w:rPr>
          <w:rFonts w:cs="Arial"/>
          <w:szCs w:val="22"/>
        </w:rPr>
        <w:t xml:space="preserve">. </w:t>
      </w:r>
    </w:p>
    <w:p w14:paraId="16414F57" w14:textId="77777777" w:rsidR="00285EF0" w:rsidRPr="006A1C3B" w:rsidRDefault="00285EF0" w:rsidP="00285EF0">
      <w:pPr>
        <w:rPr>
          <w:rFonts w:cs="Arial"/>
          <w:szCs w:val="22"/>
        </w:rPr>
      </w:pPr>
    </w:p>
    <w:p w14:paraId="628D8CDA" w14:textId="77777777" w:rsidR="00285EF0" w:rsidRPr="001A6F92" w:rsidRDefault="00285EF0" w:rsidP="00285EF0">
      <w:pPr>
        <w:keepLines/>
        <w:rPr>
          <w:rFonts w:cs="Arial"/>
          <w:szCs w:val="22"/>
        </w:rPr>
      </w:pPr>
      <w:r w:rsidRPr="006A1C3B">
        <w:rPr>
          <w:rFonts w:cs="Arial"/>
          <w:szCs w:val="22"/>
        </w:rPr>
        <w:t xml:space="preserve">Human feeding trial data has been used to generate a dose response model for </w:t>
      </w:r>
      <w:r>
        <w:rPr>
          <w:rFonts w:cs="Arial"/>
          <w:i/>
          <w:szCs w:val="22"/>
        </w:rPr>
        <w:t xml:space="preserve">E. </w:t>
      </w:r>
      <w:r w:rsidRPr="00310E59">
        <w:rPr>
          <w:rFonts w:cs="Arial"/>
          <w:i/>
          <w:szCs w:val="22"/>
        </w:rPr>
        <w:t>coli</w:t>
      </w:r>
      <w:r>
        <w:rPr>
          <w:rFonts w:cs="Arial"/>
          <w:i/>
          <w:szCs w:val="22"/>
        </w:rPr>
        <w:t xml:space="preserve"> </w:t>
      </w:r>
      <w:r>
        <w:rPr>
          <w:rFonts w:cs="Arial"/>
          <w:szCs w:val="22"/>
        </w:rPr>
        <w:t xml:space="preserve">serotypes other than </w:t>
      </w:r>
      <w:r>
        <w:rPr>
          <w:rFonts w:cs="Arial"/>
          <w:i/>
          <w:szCs w:val="22"/>
        </w:rPr>
        <w:t xml:space="preserve">E. coli </w:t>
      </w:r>
      <w:r w:rsidRPr="006A1C3B">
        <w:rPr>
          <w:rFonts w:cs="Arial"/>
          <w:szCs w:val="22"/>
        </w:rPr>
        <w:t>O157:H7 (</w:t>
      </w:r>
      <w:r w:rsidRPr="006A1C3B">
        <w:rPr>
          <w:rFonts w:cs="Arial"/>
          <w:i/>
          <w:szCs w:val="22"/>
        </w:rPr>
        <w:t>E. coli</w:t>
      </w:r>
      <w:r w:rsidRPr="006A1C3B">
        <w:rPr>
          <w:rFonts w:cs="Arial"/>
          <w:szCs w:val="22"/>
        </w:rPr>
        <w:t xml:space="preserve"> O111 and O55) </w:t>
      </w:r>
      <w:r w:rsidRPr="006A1C3B">
        <w:rPr>
          <w:rFonts w:cs="Arial"/>
          <w:noProof/>
          <w:szCs w:val="22"/>
        </w:rPr>
        <w:t>(Haas et al. 2000)</w:t>
      </w:r>
      <w:r w:rsidRPr="006A1C3B">
        <w:rPr>
          <w:rFonts w:cs="Arial"/>
          <w:szCs w:val="22"/>
        </w:rPr>
        <w:t xml:space="preserve">. The model estimated the dose required for 50% of the exposed population to become ill was 2.55 </w:t>
      </w:r>
      <w:r w:rsidRPr="006A1C3B">
        <w:rPr>
          <w:rFonts w:cs="Arial"/>
          <w:szCs w:val="22"/>
        </w:rPr>
        <w:sym w:font="Symbol" w:char="F0B4"/>
      </w:r>
      <w:r w:rsidRPr="006A1C3B">
        <w:rPr>
          <w:rFonts w:cs="Arial"/>
          <w:szCs w:val="22"/>
        </w:rPr>
        <w:t xml:space="preserve"> 10</w:t>
      </w:r>
      <w:r w:rsidRPr="006A1C3B">
        <w:rPr>
          <w:rFonts w:cs="Arial"/>
          <w:szCs w:val="22"/>
          <w:vertAlign w:val="superscript"/>
        </w:rPr>
        <w:t>6</w:t>
      </w:r>
      <w:r w:rsidRPr="006A1C3B">
        <w:rPr>
          <w:rFonts w:cs="Arial"/>
          <w:szCs w:val="22"/>
        </w:rPr>
        <w:t xml:space="preserve"> and the probability of illness for ingestion of 100 organisms was 3.5 </w:t>
      </w:r>
      <w:r w:rsidRPr="006A1C3B">
        <w:rPr>
          <w:rFonts w:cs="Arial"/>
          <w:szCs w:val="22"/>
        </w:rPr>
        <w:sym w:font="Symbol" w:char="F0B4"/>
      </w:r>
      <w:r w:rsidRPr="006A1C3B">
        <w:rPr>
          <w:rFonts w:cs="Arial"/>
          <w:szCs w:val="22"/>
        </w:rPr>
        <w:t xml:space="preserve"> 10</w:t>
      </w:r>
      <w:r w:rsidRPr="006A1C3B">
        <w:rPr>
          <w:rFonts w:cs="Arial"/>
          <w:szCs w:val="22"/>
          <w:vertAlign w:val="superscript"/>
        </w:rPr>
        <w:t>-4</w:t>
      </w:r>
      <w:r>
        <w:rPr>
          <w:rFonts w:cs="Arial"/>
          <w:szCs w:val="22"/>
        </w:rPr>
        <w:t xml:space="preserve">. </w:t>
      </w:r>
    </w:p>
    <w:p w14:paraId="4021151B" w14:textId="77777777" w:rsidR="008B6B64" w:rsidRPr="00145A61" w:rsidRDefault="00285EF0" w:rsidP="00787E56">
      <w:pPr>
        <w:pStyle w:val="Heading3"/>
      </w:pPr>
      <w:bookmarkStart w:id="1316" w:name="_Toc123010643"/>
      <w:bookmarkStart w:id="1317" w:name="_Toc66881487"/>
      <w:bookmarkStart w:id="1318" w:name="_Toc66883113"/>
      <w:bookmarkStart w:id="1319" w:name="_Toc87614512"/>
      <w:bookmarkStart w:id="1320" w:name="_Toc87860151"/>
      <w:r>
        <w:t>References</w:t>
      </w:r>
      <w:bookmarkEnd w:id="1316"/>
      <w:bookmarkEnd w:id="1317"/>
      <w:bookmarkEnd w:id="1318"/>
      <w:bookmarkEnd w:id="1319"/>
      <w:bookmarkEnd w:id="1320"/>
    </w:p>
    <w:p w14:paraId="14EAE461" w14:textId="175FB25C" w:rsidR="00285EF0" w:rsidRPr="008B6B64" w:rsidRDefault="00285EF0" w:rsidP="008B6B64">
      <w:pPr>
        <w:spacing w:after="120"/>
        <w:rPr>
          <w:noProof/>
          <w:sz w:val="20"/>
          <w:szCs w:val="20"/>
        </w:rPr>
      </w:pPr>
      <w:r w:rsidRPr="008B6B64">
        <w:rPr>
          <w:noProof/>
          <w:sz w:val="20"/>
          <w:szCs w:val="20"/>
        </w:rPr>
        <w:t xml:space="preserve">Arnold KW, Kaspar CW (1995) Starvation- and stationary-phase-induced acid tolerance in </w:t>
      </w:r>
      <w:r w:rsidRPr="008B6B64">
        <w:rPr>
          <w:i/>
          <w:noProof/>
          <w:sz w:val="20"/>
          <w:szCs w:val="20"/>
        </w:rPr>
        <w:t>Escherichia coli</w:t>
      </w:r>
      <w:r w:rsidRPr="008B6B64">
        <w:rPr>
          <w:noProof/>
          <w:sz w:val="20"/>
          <w:szCs w:val="20"/>
        </w:rPr>
        <w:t xml:space="preserve"> O157:H7. Applied and Environmental Microbiology 61(5):2037–2039</w:t>
      </w:r>
    </w:p>
    <w:p w14:paraId="124821F3" w14:textId="77777777" w:rsidR="00285EF0" w:rsidRDefault="00285EF0" w:rsidP="00285EF0">
      <w:pPr>
        <w:tabs>
          <w:tab w:val="left" w:pos="0"/>
        </w:tabs>
        <w:spacing w:after="120"/>
        <w:rPr>
          <w:rFonts w:cs="Arial"/>
          <w:noProof/>
          <w:sz w:val="20"/>
          <w:szCs w:val="20"/>
        </w:rPr>
      </w:pPr>
      <w:r w:rsidRPr="001A6F92">
        <w:rPr>
          <w:rFonts w:cs="Arial"/>
          <w:noProof/>
          <w:sz w:val="20"/>
          <w:szCs w:val="20"/>
        </w:rPr>
        <w:t xml:space="preserve">Barlow RS, Mellor GE (2010) Prevalence of enterohemorrhagic </w:t>
      </w:r>
      <w:r w:rsidRPr="001A6F92">
        <w:rPr>
          <w:rFonts w:cs="Arial"/>
          <w:i/>
          <w:noProof/>
          <w:sz w:val="20"/>
          <w:szCs w:val="20"/>
        </w:rPr>
        <w:t xml:space="preserve">Escherichia coli </w:t>
      </w:r>
      <w:r w:rsidRPr="001A6F92">
        <w:rPr>
          <w:rFonts w:cs="Arial"/>
          <w:noProof/>
          <w:sz w:val="20"/>
          <w:szCs w:val="20"/>
        </w:rPr>
        <w:t>serotypes in Australian beef cattle. Foodborne Pathogens and Disease 7(10):1239–1245</w:t>
      </w:r>
    </w:p>
    <w:p w14:paraId="744B3068"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Barlow RS, Gobius KS, Desmarchelier PM (2006) Shiga toxin-producing </w:t>
      </w:r>
      <w:r w:rsidRPr="001A6F92">
        <w:rPr>
          <w:rFonts w:cs="Arial"/>
          <w:i/>
          <w:noProof/>
          <w:sz w:val="20"/>
          <w:szCs w:val="20"/>
        </w:rPr>
        <w:t>Escherichia coli</w:t>
      </w:r>
      <w:r w:rsidRPr="001A6F92">
        <w:rPr>
          <w:rFonts w:cs="Arial"/>
          <w:noProof/>
          <w:sz w:val="20"/>
          <w:szCs w:val="20"/>
        </w:rPr>
        <w:t xml:space="preserve"> in ground beef and lamb cuts: Results of a one-year study. International Journal of Food Microbiology 111(1):1–5</w:t>
      </w:r>
    </w:p>
    <w:p w14:paraId="038CEA6A" w14:textId="77777777" w:rsidR="00285EF0" w:rsidRPr="00DC4E60" w:rsidRDefault="00285EF0" w:rsidP="00285EF0">
      <w:pPr>
        <w:pStyle w:val="Default"/>
        <w:rPr>
          <w:rFonts w:eastAsiaTheme="minorHAnsi"/>
          <w:sz w:val="20"/>
          <w:szCs w:val="20"/>
          <w:lang w:eastAsia="en-US"/>
        </w:rPr>
      </w:pPr>
      <w:r w:rsidRPr="00DC4E60">
        <w:rPr>
          <w:rFonts w:eastAsiaTheme="minorHAnsi"/>
          <w:sz w:val="20"/>
          <w:szCs w:val="20"/>
          <w:lang w:eastAsia="en-US"/>
        </w:rPr>
        <w:t xml:space="preserve">CDC (2011) Investigation announcement: Multistate outbreak of </w:t>
      </w:r>
      <w:r w:rsidRPr="00DC4E60">
        <w:rPr>
          <w:rFonts w:eastAsiaTheme="minorHAnsi"/>
          <w:i/>
          <w:iCs/>
          <w:sz w:val="20"/>
          <w:szCs w:val="20"/>
          <w:lang w:eastAsia="en-US"/>
        </w:rPr>
        <w:t xml:space="preserve">E. coli </w:t>
      </w:r>
      <w:r w:rsidRPr="00DC4E60">
        <w:rPr>
          <w:rFonts w:eastAsiaTheme="minorHAnsi"/>
          <w:sz w:val="20"/>
          <w:szCs w:val="20"/>
          <w:lang w:eastAsia="en-US"/>
        </w:rPr>
        <w:t xml:space="preserve">O157:H7 associated with Lebanon bologna. </w:t>
      </w:r>
      <w:r w:rsidRPr="00DC4E60">
        <w:rPr>
          <w:noProof/>
          <w:sz w:val="20"/>
          <w:szCs w:val="20"/>
        </w:rPr>
        <w:t>Centers for Disease Control and Prevention, Atlanta.</w:t>
      </w:r>
    </w:p>
    <w:p w14:paraId="500995E3" w14:textId="77B0392A" w:rsidR="00285EF0" w:rsidRPr="007C4D68" w:rsidRDefault="00C97803" w:rsidP="00285EF0">
      <w:pPr>
        <w:tabs>
          <w:tab w:val="left" w:pos="0"/>
        </w:tabs>
        <w:spacing w:after="120"/>
        <w:rPr>
          <w:rFonts w:eastAsiaTheme="minorHAnsi" w:cs="Arial"/>
          <w:color w:val="000000"/>
          <w:sz w:val="20"/>
          <w:szCs w:val="20"/>
          <w:u w:val="single"/>
          <w:lang w:bidi="ar-SA"/>
        </w:rPr>
      </w:pPr>
      <w:hyperlink r:id="rId577" w:history="1">
        <w:r w:rsidR="007C4D68" w:rsidRPr="00923DD1">
          <w:rPr>
            <w:rStyle w:val="Hyperlink"/>
            <w:rFonts w:eastAsiaTheme="minorHAnsi" w:cs="Arial"/>
            <w:sz w:val="20"/>
            <w:szCs w:val="20"/>
            <w:lang w:bidi="ar-SA"/>
          </w:rPr>
          <w:t>http://www.cdc.gov/ecoli/2011/O157_0311/index.html</w:t>
        </w:r>
      </w:hyperlink>
      <w:r w:rsidR="00285EF0" w:rsidRPr="00DC4E60">
        <w:rPr>
          <w:rFonts w:eastAsiaTheme="minorHAnsi" w:cs="Arial"/>
          <w:color w:val="000000"/>
          <w:sz w:val="20"/>
          <w:szCs w:val="20"/>
          <w:lang w:bidi="ar-SA"/>
        </w:rPr>
        <w:t>. Accessed 26 August 2013</w:t>
      </w:r>
    </w:p>
    <w:p w14:paraId="1AC7F3D8"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CDC (2012) Summary of notifiable diseases - United States, 2010. Morbidity and Mortality Weekly Report 59(53):1–111</w:t>
      </w:r>
    </w:p>
    <w:p w14:paraId="03E258CC"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Desmarchelier PM, Fegan N (2003) Enteropathogenic </w:t>
      </w:r>
      <w:r w:rsidRPr="001A6F92">
        <w:rPr>
          <w:rFonts w:cs="Arial"/>
          <w:i/>
          <w:noProof/>
          <w:sz w:val="20"/>
          <w:szCs w:val="20"/>
        </w:rPr>
        <w:t>Escherichia coli</w:t>
      </w:r>
      <w:r w:rsidRPr="001A6F92">
        <w:rPr>
          <w:rFonts w:cs="Arial"/>
          <w:noProof/>
          <w:sz w:val="20"/>
          <w:szCs w:val="20"/>
        </w:rPr>
        <w:t>. Ch 9 In: Hocking AD (ed) Foodborne microorganisms of public health significance. 6th ed, Australian Institute of Food Science and Technology (NSW Branch), Sydney, p. 267–310</w:t>
      </w:r>
    </w:p>
    <w:p w14:paraId="1D754DD9"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EFSA (2013) The European Union summary report on trends and sources of zoonoses, zoonotic agents and foodborne outbreaks in 2011. EFSA Journal 11(4):3129</w:t>
      </w:r>
    </w:p>
    <w:p w14:paraId="3838391A" w14:textId="39494F32" w:rsidR="00285EF0" w:rsidRPr="00B23B42" w:rsidRDefault="00285EF0" w:rsidP="00285EF0">
      <w:pPr>
        <w:tabs>
          <w:tab w:val="left" w:pos="0"/>
        </w:tabs>
        <w:spacing w:after="120"/>
        <w:rPr>
          <w:rFonts w:cs="Arial"/>
          <w:noProof/>
          <w:sz w:val="20"/>
          <w:szCs w:val="20"/>
        </w:rPr>
      </w:pPr>
      <w:r w:rsidRPr="001A6F92">
        <w:rPr>
          <w:rFonts w:cs="Arial"/>
          <w:noProof/>
          <w:sz w:val="20"/>
          <w:szCs w:val="20"/>
        </w:rPr>
        <w:t>FDA (2012) Bad bug book: Foodborne pathogenic microorganisms a</w:t>
      </w:r>
      <w:r w:rsidR="007C4D68">
        <w:rPr>
          <w:rFonts w:cs="Arial"/>
          <w:noProof/>
          <w:sz w:val="20"/>
          <w:szCs w:val="20"/>
        </w:rPr>
        <w:t>nd natural toxins handbook, 2</w:t>
      </w:r>
      <w:r w:rsidR="007C4D68" w:rsidRPr="007C4D68">
        <w:rPr>
          <w:rFonts w:cs="Arial"/>
          <w:noProof/>
          <w:sz w:val="20"/>
          <w:szCs w:val="20"/>
          <w:vertAlign w:val="superscript"/>
        </w:rPr>
        <w:t>nd</w:t>
      </w:r>
      <w:r w:rsidR="007C4D68">
        <w:rPr>
          <w:rFonts w:cs="Arial"/>
          <w:noProof/>
          <w:sz w:val="20"/>
          <w:szCs w:val="20"/>
        </w:rPr>
        <w:t> </w:t>
      </w:r>
      <w:r w:rsidRPr="001A6F92">
        <w:rPr>
          <w:rFonts w:cs="Arial"/>
          <w:noProof/>
          <w:sz w:val="20"/>
          <w:szCs w:val="20"/>
        </w:rPr>
        <w:t>ed. US Food and Drug Administration, Silver Spring, p. 74</w:t>
      </w:r>
      <w:r w:rsidRPr="001A6F92">
        <w:rPr>
          <w:rFonts w:cs="Arial"/>
          <w:noProof/>
          <w:sz w:val="20"/>
          <w:szCs w:val="20"/>
        </w:rPr>
        <w:softHyphen/>
        <w:t>–78.</w:t>
      </w:r>
      <w:r>
        <w:rPr>
          <w:rFonts w:cs="Arial"/>
          <w:noProof/>
          <w:sz w:val="20"/>
          <w:szCs w:val="20"/>
        </w:rPr>
        <w:t xml:space="preserve"> </w:t>
      </w:r>
      <w:hyperlink r:id="rId578" w:history="1">
        <w:r w:rsidRPr="001A6F92">
          <w:rPr>
            <w:rStyle w:val="Hyperlink"/>
            <w:rFonts w:cs="Arial"/>
            <w:noProof/>
            <w:color w:val="0000FF"/>
            <w:sz w:val="20"/>
            <w:szCs w:val="20"/>
          </w:rPr>
          <w:t>http://www.fda.gov/Food/FoodborneIllnessContaminants/CausesOfIllnessBadBugBook/ucm2006773.htm</w:t>
        </w:r>
      </w:hyperlink>
      <w:r w:rsidRPr="001A6F92">
        <w:rPr>
          <w:rFonts w:cs="Arial"/>
          <w:noProof/>
          <w:sz w:val="20"/>
          <w:szCs w:val="20"/>
        </w:rPr>
        <w:t>. Accessed 27 March 2013</w:t>
      </w:r>
    </w:p>
    <w:p w14:paraId="5FF367EB"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Fremaux B, Prigent-Combaret C, Vernozy-Rozand C (2008) Long-term survival of Shiga toxin-producing </w:t>
      </w:r>
      <w:r w:rsidRPr="001A6F92">
        <w:rPr>
          <w:rFonts w:cs="Arial"/>
          <w:i/>
          <w:noProof/>
          <w:sz w:val="20"/>
          <w:szCs w:val="20"/>
        </w:rPr>
        <w:t>Escherichia coli</w:t>
      </w:r>
      <w:r w:rsidRPr="001A6F92">
        <w:rPr>
          <w:rFonts w:cs="Arial"/>
          <w:noProof/>
          <w:sz w:val="20"/>
          <w:szCs w:val="20"/>
        </w:rPr>
        <w:t xml:space="preserve"> in cattle effluents and environment: An updated review. Veterinary Microbiology 132:1–18</w:t>
      </w:r>
    </w:p>
    <w:p w14:paraId="17E69B88" w14:textId="189A147B" w:rsidR="00285EF0" w:rsidRPr="00B23B42" w:rsidRDefault="00285EF0" w:rsidP="00285EF0">
      <w:pPr>
        <w:tabs>
          <w:tab w:val="left" w:pos="0"/>
        </w:tabs>
        <w:spacing w:after="120"/>
        <w:rPr>
          <w:rFonts w:cs="Arial"/>
          <w:noProof/>
          <w:sz w:val="20"/>
          <w:szCs w:val="20"/>
        </w:rPr>
      </w:pPr>
      <w:r w:rsidRPr="001A6F92">
        <w:rPr>
          <w:rFonts w:cs="Arial"/>
          <w:noProof/>
          <w:sz w:val="20"/>
          <w:szCs w:val="20"/>
        </w:rPr>
        <w:t xml:space="preserve">FSANZ (2009) Microbiological risk assessment of raw cow milk. Food Standards </w:t>
      </w:r>
      <w:r w:rsidR="007C4D68">
        <w:rPr>
          <w:rFonts w:cs="Arial"/>
          <w:noProof/>
          <w:sz w:val="20"/>
          <w:szCs w:val="20"/>
        </w:rPr>
        <w:t>Australia New </w:t>
      </w:r>
      <w:r w:rsidRPr="001A6F92">
        <w:rPr>
          <w:rFonts w:cs="Arial"/>
          <w:noProof/>
          <w:sz w:val="20"/>
          <w:szCs w:val="20"/>
        </w:rPr>
        <w:t>Zealand, Canberra.</w:t>
      </w:r>
      <w:r>
        <w:rPr>
          <w:rFonts w:cs="Arial"/>
          <w:noProof/>
          <w:sz w:val="20"/>
          <w:szCs w:val="20"/>
        </w:rPr>
        <w:t xml:space="preserve"> </w:t>
      </w:r>
      <w:hyperlink r:id="rId579" w:history="1">
        <w:r w:rsidRPr="001A6F92">
          <w:rPr>
            <w:rStyle w:val="Hyperlink"/>
            <w:rFonts w:cs="Arial"/>
            <w:noProof/>
            <w:color w:val="0000FF"/>
            <w:sz w:val="20"/>
            <w:szCs w:val="20"/>
          </w:rPr>
          <w:t>http://www.foodstandards.gov.au/code/proposals/documents/P1007%20PPPS%20for%20raw%20milk%201AR%20SD1%20Cow%20milk%20Risk%20Assessment.pdf</w:t>
        </w:r>
      </w:hyperlink>
      <w:r w:rsidRPr="001A6F92">
        <w:rPr>
          <w:rFonts w:cs="Arial"/>
          <w:noProof/>
          <w:sz w:val="20"/>
          <w:szCs w:val="20"/>
        </w:rPr>
        <w:t>. Accessed 31 May 2013</w:t>
      </w:r>
    </w:p>
    <w:p w14:paraId="04E97F3C"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Gould LH, Demma L, Jones TF, Hurd S, Vugia DJ, Smith K, Shiferaw B, Segler S, Palmer A, Zansky S, Griffin PM (2009) Hemolytic uremic syndrome and death in persons with </w:t>
      </w:r>
      <w:r w:rsidRPr="001A6F92">
        <w:rPr>
          <w:rFonts w:cs="Arial"/>
          <w:i/>
          <w:noProof/>
          <w:sz w:val="20"/>
          <w:szCs w:val="20"/>
        </w:rPr>
        <w:t>Escherichia coli</w:t>
      </w:r>
      <w:r w:rsidRPr="001A6F92">
        <w:rPr>
          <w:rFonts w:cs="Arial"/>
          <w:noProof/>
          <w:sz w:val="20"/>
          <w:szCs w:val="20"/>
        </w:rPr>
        <w:t xml:space="preserve"> O157:H7 infection, Foodborne Diseases Active Surveillance Network Sites, 2000-2006. Clinical Infectious Diseases 49:1480–1485</w:t>
      </w:r>
    </w:p>
    <w:p w14:paraId="0CC2D793" w14:textId="42D1C686"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Gyles CL (2007) Shiga toxin-producing </w:t>
      </w:r>
      <w:r w:rsidRPr="001A6F92">
        <w:rPr>
          <w:rFonts w:cs="Arial"/>
          <w:i/>
          <w:noProof/>
          <w:sz w:val="20"/>
          <w:szCs w:val="20"/>
        </w:rPr>
        <w:t>Escherichia coli</w:t>
      </w:r>
      <w:r w:rsidRPr="001A6F92">
        <w:rPr>
          <w:rFonts w:cs="Arial"/>
          <w:noProof/>
          <w:sz w:val="20"/>
          <w:szCs w:val="20"/>
        </w:rPr>
        <w:t>: An overview.</w:t>
      </w:r>
      <w:r w:rsidR="00E94ED2">
        <w:rPr>
          <w:rFonts w:cs="Arial"/>
          <w:noProof/>
          <w:sz w:val="20"/>
          <w:szCs w:val="20"/>
        </w:rPr>
        <w:t xml:space="preserve"> Journal of Animal Science 85(E </w:t>
      </w:r>
      <w:r w:rsidRPr="001A6F92">
        <w:rPr>
          <w:rFonts w:cs="Arial"/>
          <w:noProof/>
          <w:sz w:val="20"/>
          <w:szCs w:val="20"/>
        </w:rPr>
        <w:t>Suppl.):E45–E62</w:t>
      </w:r>
    </w:p>
    <w:p w14:paraId="29D4CD6A"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Haas CN, Thayyar-Madabusi A, Rose JB, Gerba CP (2000) Development of a dose-response relationship for </w:t>
      </w:r>
      <w:r w:rsidRPr="001A6F92">
        <w:rPr>
          <w:rFonts w:cs="Arial"/>
          <w:i/>
          <w:noProof/>
          <w:sz w:val="20"/>
          <w:szCs w:val="20"/>
        </w:rPr>
        <w:t>Escherichia coli</w:t>
      </w:r>
      <w:r w:rsidRPr="001A6F92">
        <w:rPr>
          <w:rFonts w:cs="Arial"/>
          <w:noProof/>
          <w:sz w:val="20"/>
          <w:szCs w:val="20"/>
        </w:rPr>
        <w:t xml:space="preserve"> O157:H7. International Journal of Food Microbiology 56(2-3):153–159</w:t>
      </w:r>
    </w:p>
    <w:p w14:paraId="63D91906" w14:textId="6C793351"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ICMSF (1996) Intestinally pathogenic </w:t>
      </w:r>
      <w:r w:rsidRPr="001A6F92">
        <w:rPr>
          <w:rFonts w:cs="Arial"/>
          <w:i/>
          <w:noProof/>
          <w:sz w:val="20"/>
          <w:szCs w:val="20"/>
        </w:rPr>
        <w:t>Escherichia coli</w:t>
      </w:r>
      <w:r w:rsidR="006B32C8">
        <w:rPr>
          <w:rFonts w:cs="Arial"/>
          <w:noProof/>
          <w:sz w:val="20"/>
          <w:szCs w:val="20"/>
        </w:rPr>
        <w:t>. Ch 7 In:</w:t>
      </w:r>
      <w:r w:rsidRPr="001A6F92">
        <w:rPr>
          <w:rFonts w:cs="Arial"/>
          <w:noProof/>
          <w:sz w:val="20"/>
          <w:szCs w:val="20"/>
        </w:rPr>
        <w:t xml:space="preserve"> Microorganisms in food 5: Microbiological specifications of food pathogens. Blackie Academ</w:t>
      </w:r>
      <w:r w:rsidR="007C4D68">
        <w:rPr>
          <w:rFonts w:cs="Arial"/>
          <w:noProof/>
          <w:sz w:val="20"/>
          <w:szCs w:val="20"/>
        </w:rPr>
        <w:t>ic and Professional, London, p. </w:t>
      </w:r>
      <w:r w:rsidRPr="001A6F92">
        <w:rPr>
          <w:rFonts w:cs="Arial"/>
          <w:noProof/>
          <w:sz w:val="20"/>
          <w:szCs w:val="20"/>
        </w:rPr>
        <w:t>126–140</w:t>
      </w:r>
    </w:p>
    <w:p w14:paraId="4E30CA15" w14:textId="0ACB661D" w:rsidR="00285EF0" w:rsidRPr="001A6F92" w:rsidRDefault="00285EF0" w:rsidP="00285EF0">
      <w:pPr>
        <w:tabs>
          <w:tab w:val="left" w:pos="0"/>
        </w:tabs>
        <w:spacing w:after="120"/>
        <w:rPr>
          <w:rFonts w:cs="Arial"/>
          <w:noProof/>
          <w:sz w:val="20"/>
          <w:szCs w:val="20"/>
        </w:rPr>
      </w:pPr>
      <w:r w:rsidRPr="001A6F92">
        <w:rPr>
          <w:rFonts w:cs="Arial"/>
          <w:noProof/>
          <w:sz w:val="20"/>
          <w:szCs w:val="20"/>
        </w:rPr>
        <w:t>Lim E, Lopez L, Borman A, Cressey P, Pirie R (2012) Annual report concerning foodborne disease in New Zealand 2011. Ministry for</w:t>
      </w:r>
      <w:r w:rsidR="007C4D68">
        <w:rPr>
          <w:rFonts w:cs="Arial"/>
          <w:noProof/>
          <w:sz w:val="20"/>
          <w:szCs w:val="20"/>
        </w:rPr>
        <w:t xml:space="preserve"> Primary Industry, New Zealand. </w:t>
      </w:r>
      <w:hyperlink r:id="rId580" w:history="1">
        <w:r w:rsidR="007C4D68" w:rsidRPr="00923DD1">
          <w:rPr>
            <w:rStyle w:val="Hyperlink"/>
            <w:rFonts w:cs="Arial"/>
            <w:noProof/>
            <w:sz w:val="20"/>
            <w:szCs w:val="20"/>
          </w:rPr>
          <w:t>http://www.foodsafety.govt.nz/science-risk/human-health-surveillance/foodborne-disease-annual-reports.htm</w:t>
        </w:r>
      </w:hyperlink>
      <w:r w:rsidRPr="001A6F92">
        <w:rPr>
          <w:rFonts w:cs="Arial"/>
          <w:noProof/>
          <w:sz w:val="20"/>
          <w:szCs w:val="20"/>
        </w:rPr>
        <w:t>. Accessed 11 April 2013</w:t>
      </w:r>
    </w:p>
    <w:p w14:paraId="40C561B1"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Meng J, Schroeder CM (2007) </w:t>
      </w:r>
      <w:r w:rsidRPr="001A6F92">
        <w:rPr>
          <w:rFonts w:cs="Arial"/>
          <w:i/>
          <w:noProof/>
          <w:sz w:val="20"/>
          <w:szCs w:val="20"/>
        </w:rPr>
        <w:t>Escherichia coli</w:t>
      </w:r>
      <w:r w:rsidRPr="001A6F92">
        <w:rPr>
          <w:rFonts w:cs="Arial"/>
          <w:noProof/>
          <w:sz w:val="20"/>
          <w:szCs w:val="20"/>
        </w:rPr>
        <w:t>. Ch 1 In: Simjee S (ed) Foodborne Diseases. Humana Press, Totowa, p. 1–25</w:t>
      </w:r>
    </w:p>
    <w:p w14:paraId="6F41A9E0"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Molina PM, Parma AE, Sanz ME (2003) Survival in acidic medium of Shiga toxin-producing </w:t>
      </w:r>
      <w:r w:rsidRPr="001A6F92">
        <w:rPr>
          <w:rFonts w:cs="Arial"/>
          <w:i/>
          <w:noProof/>
          <w:sz w:val="20"/>
          <w:szCs w:val="20"/>
        </w:rPr>
        <w:t xml:space="preserve">Escherichia coli </w:t>
      </w:r>
      <w:r w:rsidRPr="001A6F92">
        <w:rPr>
          <w:rFonts w:cs="Arial"/>
          <w:noProof/>
          <w:sz w:val="20"/>
          <w:szCs w:val="20"/>
        </w:rPr>
        <w:t>O157:H7 and non-O157:H7 isolated in Argentina. BMC Microbiology 3:17</w:t>
      </w:r>
    </w:p>
    <w:p w14:paraId="451EE9C4" w14:textId="6D5107D0"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Montville TJ, Matthews KR (2005) Food </w:t>
      </w:r>
      <w:r w:rsidR="006B32C8">
        <w:rPr>
          <w:rFonts w:cs="Arial"/>
          <w:noProof/>
          <w:sz w:val="20"/>
          <w:szCs w:val="20"/>
        </w:rPr>
        <w:t xml:space="preserve">microbiology: An introduction. </w:t>
      </w:r>
      <w:r w:rsidRPr="001A6F92">
        <w:rPr>
          <w:rFonts w:cs="Arial"/>
          <w:noProof/>
          <w:sz w:val="20"/>
          <w:szCs w:val="20"/>
        </w:rPr>
        <w:t>ASM Press, Washington D.C.</w:t>
      </w:r>
    </w:p>
    <w:p w14:paraId="113C1D67" w14:textId="77777777" w:rsidR="00E94ED2" w:rsidRDefault="00E94ED2">
      <w:pPr>
        <w:widowControl/>
        <w:rPr>
          <w:rFonts w:cs="Arial"/>
          <w:noProof/>
          <w:sz w:val="20"/>
          <w:szCs w:val="20"/>
        </w:rPr>
      </w:pPr>
      <w:r>
        <w:rPr>
          <w:rFonts w:cs="Arial"/>
          <w:noProof/>
          <w:sz w:val="20"/>
          <w:szCs w:val="20"/>
        </w:rPr>
        <w:br w:type="page"/>
      </w:r>
    </w:p>
    <w:p w14:paraId="4DFAD38D" w14:textId="24CAC033" w:rsidR="00285EF0" w:rsidRPr="008F3DA2" w:rsidRDefault="00285EF0" w:rsidP="00285EF0">
      <w:pPr>
        <w:tabs>
          <w:tab w:val="left" w:pos="0"/>
        </w:tabs>
        <w:spacing w:after="120"/>
        <w:rPr>
          <w:rFonts w:cs="Arial"/>
          <w:noProof/>
          <w:sz w:val="20"/>
          <w:szCs w:val="20"/>
        </w:rPr>
      </w:pPr>
      <w:r w:rsidRPr="001A6F92">
        <w:rPr>
          <w:rFonts w:cs="Arial"/>
          <w:noProof/>
          <w:sz w:val="20"/>
          <w:szCs w:val="20"/>
        </w:rPr>
        <w:t>NNDSS (2013) Notifications for all disease by State &amp; Territory and year. National Notifiable Disease Surveillance System, Department of Health and Ageing, Canberra</w:t>
      </w:r>
      <w:r>
        <w:rPr>
          <w:rFonts w:cs="Arial"/>
          <w:noProof/>
          <w:sz w:val="20"/>
          <w:szCs w:val="20"/>
        </w:rPr>
        <w:t xml:space="preserve">. </w:t>
      </w:r>
      <w:hyperlink r:id="rId581" w:history="1">
        <w:r w:rsidRPr="001A6F92">
          <w:rPr>
            <w:rStyle w:val="Hyperlink"/>
            <w:rFonts w:cs="Arial"/>
            <w:noProof/>
            <w:color w:val="0000FF"/>
            <w:sz w:val="20"/>
            <w:szCs w:val="20"/>
          </w:rPr>
          <w:t>http://www9.health.gov.au/cda/source/cda-index.cfm</w:t>
        </w:r>
      </w:hyperlink>
      <w:r w:rsidRPr="001A6F92">
        <w:rPr>
          <w:rFonts w:cs="Arial"/>
          <w:noProof/>
          <w:sz w:val="20"/>
          <w:szCs w:val="20"/>
        </w:rPr>
        <w:t>. Accessed 17 April 2013</w:t>
      </w:r>
    </w:p>
    <w:p w14:paraId="2A92AFC6"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Ochoa TJ, Barletta F, Contreras C, Mercado E (2008) New insights into the epidemiology of enteropathogenic </w:t>
      </w:r>
      <w:r w:rsidRPr="001A6F92">
        <w:rPr>
          <w:rFonts w:cs="Arial"/>
          <w:i/>
          <w:noProof/>
          <w:sz w:val="20"/>
          <w:szCs w:val="20"/>
        </w:rPr>
        <w:t>Escherichia coli</w:t>
      </w:r>
      <w:r w:rsidRPr="001A6F92">
        <w:rPr>
          <w:rFonts w:cs="Arial"/>
          <w:noProof/>
          <w:sz w:val="20"/>
          <w:szCs w:val="20"/>
        </w:rPr>
        <w:t xml:space="preserve"> infection. Transactions of the Royal Society of Tropical Medicine and Hygiene 102(9):852–856</w:t>
      </w:r>
    </w:p>
    <w:p w14:paraId="586E19D1"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OzFoodNet (2010) Monitoring the incidence and causes of diseases potentially transmitted by food in Australia: Annual report of the OzFoodNet Network, 2009. Communicable Diseases Intelligence 34(4):396–426</w:t>
      </w:r>
    </w:p>
    <w:p w14:paraId="12E14D6E"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OzFoodNet (2012) Monitoring the incidence and causes of diseases potentially transmitted by food in Australia: Annual report of the OzFoodNet Network, 2010. Communicable Diseases Intelligence 36(3):E213–E241</w:t>
      </w:r>
    </w:p>
    <w:p w14:paraId="68643B04"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Pai CH, Kelly JK, Meyers GL (1986) Experimental infection of infant rabbits with verotoxin-producing </w:t>
      </w:r>
      <w:r w:rsidRPr="001A6F92">
        <w:rPr>
          <w:rFonts w:cs="Arial"/>
          <w:i/>
          <w:noProof/>
          <w:sz w:val="20"/>
          <w:szCs w:val="20"/>
        </w:rPr>
        <w:t>Escherichia coli</w:t>
      </w:r>
      <w:r w:rsidRPr="001A6F92">
        <w:rPr>
          <w:rFonts w:cs="Arial"/>
          <w:noProof/>
          <w:sz w:val="20"/>
          <w:szCs w:val="20"/>
        </w:rPr>
        <w:t>. Infection and Immunity 51(1):16–23</w:t>
      </w:r>
    </w:p>
    <w:p w14:paraId="68390249"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Pennington H (2010) </w:t>
      </w:r>
      <w:r w:rsidRPr="001A6F92">
        <w:rPr>
          <w:rFonts w:cs="Arial"/>
          <w:i/>
          <w:noProof/>
          <w:sz w:val="20"/>
          <w:szCs w:val="20"/>
        </w:rPr>
        <w:t>Escherichia coli</w:t>
      </w:r>
      <w:r w:rsidRPr="001A6F92">
        <w:rPr>
          <w:rFonts w:cs="Arial"/>
          <w:noProof/>
          <w:sz w:val="20"/>
          <w:szCs w:val="20"/>
        </w:rPr>
        <w:t xml:space="preserve"> O157. Lancet 376:1428–1435</w:t>
      </w:r>
    </w:p>
    <w:p w14:paraId="6E1991B1"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Phillips D, Sumner J, Alexander JF, Dutton KM (2001a) Microbiological quality of Australian beef. Journal of Food Protection 64(5):692–696</w:t>
      </w:r>
    </w:p>
    <w:p w14:paraId="65F73812"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Phillips D, Sumner J, Alexander JF, Dutton KM (2001b) Microbiological quality of Australian sheep meat. Journal of Food Protection 64(5):697–700</w:t>
      </w:r>
    </w:p>
    <w:p w14:paraId="582F05A5"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Spears KJ, Roe AJ, Gally DL (2006) A comparison of enteropathogenic and enterohaemorrhagic </w:t>
      </w:r>
      <w:r w:rsidRPr="001A6F92">
        <w:rPr>
          <w:rFonts w:cs="Arial"/>
          <w:i/>
          <w:noProof/>
          <w:sz w:val="20"/>
          <w:szCs w:val="20"/>
        </w:rPr>
        <w:t>Escherichia coli</w:t>
      </w:r>
      <w:r w:rsidRPr="001A6F92">
        <w:rPr>
          <w:rFonts w:cs="Arial"/>
          <w:noProof/>
          <w:sz w:val="20"/>
          <w:szCs w:val="20"/>
        </w:rPr>
        <w:t xml:space="preserve"> pathogenesis. FEMS Microbiology Letters 255:187–202</w:t>
      </w:r>
    </w:p>
    <w:p w14:paraId="1EF8757E"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Strawn LK, Danyluk MD (2010) Fate of </w:t>
      </w:r>
      <w:r w:rsidRPr="001A6F92">
        <w:rPr>
          <w:rFonts w:cs="Arial"/>
          <w:i/>
          <w:noProof/>
          <w:sz w:val="20"/>
          <w:szCs w:val="20"/>
        </w:rPr>
        <w:t xml:space="preserve">Escherichia coli </w:t>
      </w:r>
      <w:r w:rsidRPr="001A6F92">
        <w:rPr>
          <w:rFonts w:cs="Arial"/>
          <w:noProof/>
          <w:sz w:val="20"/>
          <w:szCs w:val="20"/>
        </w:rPr>
        <w:t xml:space="preserve">O157:H7 and </w:t>
      </w:r>
      <w:r w:rsidRPr="001A6F92">
        <w:rPr>
          <w:rFonts w:cs="Arial"/>
          <w:i/>
          <w:noProof/>
          <w:sz w:val="20"/>
          <w:szCs w:val="20"/>
        </w:rPr>
        <w:t xml:space="preserve">Salmonella </w:t>
      </w:r>
      <w:r w:rsidRPr="001A6F92">
        <w:rPr>
          <w:rFonts w:cs="Arial"/>
          <w:noProof/>
          <w:sz w:val="20"/>
          <w:szCs w:val="20"/>
        </w:rPr>
        <w:t>spp. on fresh and frozen cut mangoes and papayas. International Journal of Food Microbiology 138:78–84</w:t>
      </w:r>
    </w:p>
    <w:p w14:paraId="3CC0217D"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Teunis P, Takumi K, Shinagawa K (2004) Dose response for infection by </w:t>
      </w:r>
      <w:r w:rsidRPr="001A6F92">
        <w:rPr>
          <w:rFonts w:cs="Arial"/>
          <w:i/>
          <w:noProof/>
          <w:sz w:val="20"/>
          <w:szCs w:val="20"/>
        </w:rPr>
        <w:t>Escherichia coli</w:t>
      </w:r>
      <w:r w:rsidRPr="001A6F92">
        <w:rPr>
          <w:rFonts w:cs="Arial"/>
          <w:noProof/>
          <w:sz w:val="20"/>
          <w:szCs w:val="20"/>
        </w:rPr>
        <w:t xml:space="preserve"> O157:H7 from outbreak data. Risk Analysis 2:401–407</w:t>
      </w:r>
    </w:p>
    <w:p w14:paraId="31D19386" w14:textId="533FB538" w:rsidR="00285EF0" w:rsidRPr="008F3DA2" w:rsidRDefault="00285EF0" w:rsidP="00285EF0">
      <w:pPr>
        <w:tabs>
          <w:tab w:val="left" w:pos="0"/>
        </w:tabs>
        <w:spacing w:after="120"/>
        <w:rPr>
          <w:rFonts w:cs="Arial"/>
          <w:noProof/>
          <w:sz w:val="20"/>
          <w:szCs w:val="20"/>
        </w:rPr>
      </w:pPr>
      <w:r w:rsidRPr="001A6F92">
        <w:rPr>
          <w:rFonts w:cs="Arial"/>
          <w:noProof/>
          <w:sz w:val="20"/>
          <w:szCs w:val="20"/>
        </w:rPr>
        <w:t xml:space="preserve">WHO (2011) Fact sheet No 125 - Enterohaemorrhagic </w:t>
      </w:r>
      <w:r w:rsidRPr="001A6F92">
        <w:rPr>
          <w:rFonts w:cs="Arial"/>
          <w:i/>
          <w:noProof/>
          <w:sz w:val="20"/>
          <w:szCs w:val="20"/>
        </w:rPr>
        <w:t xml:space="preserve">Escherichia coli </w:t>
      </w:r>
      <w:r w:rsidRPr="001A6F92">
        <w:rPr>
          <w:rFonts w:cs="Arial"/>
          <w:noProof/>
          <w:sz w:val="20"/>
          <w:szCs w:val="20"/>
        </w:rPr>
        <w:t>(EHEC). Wor</w:t>
      </w:r>
      <w:r w:rsidR="007C4D68">
        <w:rPr>
          <w:rFonts w:cs="Arial"/>
          <w:noProof/>
          <w:sz w:val="20"/>
          <w:szCs w:val="20"/>
        </w:rPr>
        <w:t>ld </w:t>
      </w:r>
      <w:r>
        <w:rPr>
          <w:rFonts w:cs="Arial"/>
          <w:noProof/>
          <w:sz w:val="20"/>
          <w:szCs w:val="20"/>
        </w:rPr>
        <w:t>Heal</w:t>
      </w:r>
      <w:r w:rsidR="007C4D68">
        <w:rPr>
          <w:rFonts w:cs="Arial"/>
          <w:noProof/>
          <w:sz w:val="20"/>
          <w:szCs w:val="20"/>
        </w:rPr>
        <w:t>th </w:t>
      </w:r>
      <w:r>
        <w:rPr>
          <w:rFonts w:cs="Arial"/>
          <w:noProof/>
          <w:sz w:val="20"/>
          <w:szCs w:val="20"/>
        </w:rPr>
        <w:t xml:space="preserve">Organisation, Geneva. </w:t>
      </w:r>
      <w:hyperlink r:id="rId582" w:history="1">
        <w:r w:rsidRPr="001A6F92">
          <w:rPr>
            <w:rStyle w:val="Hyperlink"/>
            <w:rFonts w:cs="Arial"/>
            <w:noProof/>
            <w:color w:val="0000FF"/>
            <w:sz w:val="20"/>
            <w:szCs w:val="20"/>
          </w:rPr>
          <w:t>http://www.who.int/mediacentre/factsheets/fs125/en/</w:t>
        </w:r>
      </w:hyperlink>
      <w:r w:rsidR="007C4D68">
        <w:rPr>
          <w:rFonts w:cs="Arial"/>
          <w:noProof/>
          <w:sz w:val="20"/>
          <w:szCs w:val="20"/>
        </w:rPr>
        <w:t>. Accessed </w:t>
      </w:r>
      <w:r w:rsidRPr="001A6F92">
        <w:rPr>
          <w:rFonts w:cs="Arial"/>
          <w:noProof/>
          <w:sz w:val="20"/>
          <w:szCs w:val="20"/>
        </w:rPr>
        <w:t>18 April 2012</w:t>
      </w:r>
    </w:p>
    <w:p w14:paraId="501550B9" w14:textId="77777777" w:rsidR="00285EF0" w:rsidRPr="001A6F92" w:rsidRDefault="00285EF0" w:rsidP="00285EF0">
      <w:pPr>
        <w:tabs>
          <w:tab w:val="left" w:pos="0"/>
        </w:tabs>
        <w:spacing w:after="120"/>
        <w:rPr>
          <w:rFonts w:cs="Arial"/>
          <w:noProof/>
          <w:sz w:val="20"/>
          <w:szCs w:val="20"/>
        </w:rPr>
      </w:pPr>
      <w:r w:rsidRPr="001A6F92">
        <w:rPr>
          <w:rFonts w:cs="Arial"/>
          <w:noProof/>
          <w:sz w:val="20"/>
          <w:szCs w:val="20"/>
        </w:rPr>
        <w:t xml:space="preserve">Yoon JW, Hovde CJ (2008) All blood, no stool: Enterohemorrhagic </w:t>
      </w:r>
      <w:r w:rsidRPr="001A6F92">
        <w:rPr>
          <w:rFonts w:cs="Arial"/>
          <w:i/>
          <w:noProof/>
          <w:sz w:val="20"/>
          <w:szCs w:val="20"/>
        </w:rPr>
        <w:t xml:space="preserve">Escherichia coli </w:t>
      </w:r>
      <w:r w:rsidRPr="001A6F92">
        <w:rPr>
          <w:rFonts w:cs="Arial"/>
          <w:noProof/>
          <w:sz w:val="20"/>
          <w:szCs w:val="20"/>
        </w:rPr>
        <w:t>O157:H7 infection. Journal of Veterinary Science 9(3):219–231</w:t>
      </w:r>
    </w:p>
    <w:p w14:paraId="5CC6A943" w14:textId="77777777" w:rsidR="00285EF0" w:rsidRDefault="00285EF0" w:rsidP="00285EF0">
      <w:pPr>
        <w:pStyle w:val="Heading2"/>
        <w:sectPr w:rsidR="00285EF0" w:rsidSect="00285EF0">
          <w:headerReference w:type="even" r:id="rId583"/>
          <w:headerReference w:type="default" r:id="rId584"/>
          <w:headerReference w:type="first" r:id="rId585"/>
          <w:pgSz w:w="11906" w:h="16838"/>
          <w:pgMar w:top="1440" w:right="1440" w:bottom="1440" w:left="1440" w:header="708" w:footer="708" w:gutter="0"/>
          <w:cols w:space="708"/>
          <w:docGrid w:linePitch="360"/>
        </w:sectPr>
      </w:pPr>
    </w:p>
    <w:p w14:paraId="4C586A4C" w14:textId="45BF626C" w:rsidR="00285EF0" w:rsidRPr="007C2474" w:rsidRDefault="00285EF0" w:rsidP="00285EF0">
      <w:pPr>
        <w:pStyle w:val="Heading2"/>
      </w:pPr>
      <w:bookmarkStart w:id="1321" w:name="_Toc87860152"/>
      <w:r>
        <w:t>Appendix 11</w:t>
      </w:r>
      <w:r w:rsidR="00354E14" w:rsidRPr="00C839B6">
        <w:t xml:space="preserve"> – </w:t>
      </w:r>
      <w:r w:rsidRPr="007C2474">
        <w:t>Studies reporting the efficacy of commonly used water-based san</w:t>
      </w:r>
      <w:r>
        <w:t>itisers for inactivating the in-</w:t>
      </w:r>
      <w:r w:rsidRPr="007C2474">
        <w:t>sco</w:t>
      </w:r>
      <w:r>
        <w:t>pe hazards on the surface of in-</w:t>
      </w:r>
      <w:r w:rsidRPr="007C2474">
        <w:t>scope commodities</w:t>
      </w:r>
      <w:bookmarkEnd w:id="1321"/>
    </w:p>
    <w:tbl>
      <w:tblPr>
        <w:tblStyle w:val="ListTable3-Accent5"/>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udies reporting the efficacy of commonly used water-based sanitisers for inactivating the in-scope hazards on the surface of in-scope commodities"/>
      </w:tblPr>
      <w:tblGrid>
        <w:gridCol w:w="1845"/>
        <w:gridCol w:w="1764"/>
        <w:gridCol w:w="1309"/>
        <w:gridCol w:w="1165"/>
        <w:gridCol w:w="2562"/>
        <w:gridCol w:w="1162"/>
        <w:gridCol w:w="1229"/>
        <w:gridCol w:w="2851"/>
      </w:tblGrid>
      <w:tr w:rsidR="00285EF0" w:rsidRPr="00BE211F" w14:paraId="1B49295E" w14:textId="77777777" w:rsidTr="00285EF0">
        <w:trPr>
          <w:cnfStyle w:val="100000000000" w:firstRow="1" w:lastRow="0" w:firstColumn="0" w:lastColumn="0" w:oddVBand="0" w:evenVBand="0" w:oddHBand="0" w:evenHBand="0" w:firstRowFirstColumn="0" w:firstRowLastColumn="0" w:lastRowFirstColumn="0" w:lastRowLastColumn="0"/>
          <w:trHeight w:val="601"/>
          <w:tblHeader/>
        </w:trPr>
        <w:tc>
          <w:tcPr>
            <w:cnfStyle w:val="001000000100" w:firstRow="0" w:lastRow="0" w:firstColumn="1" w:lastColumn="0" w:oddVBand="0" w:evenVBand="0" w:oddHBand="0" w:evenHBand="0" w:firstRowFirstColumn="1" w:firstRowLastColumn="0" w:lastRowFirstColumn="0" w:lastRowLastColumn="0"/>
            <w:tcW w:w="1845" w:type="dxa"/>
            <w:tcBorders>
              <w:bottom w:val="none" w:sz="0" w:space="0" w:color="auto"/>
              <w:right w:val="none" w:sz="0" w:space="0" w:color="auto"/>
            </w:tcBorders>
            <w:shd w:val="clear" w:color="auto" w:fill="C6D9F1" w:themeFill="text2" w:themeFillTint="33"/>
          </w:tcPr>
          <w:p w14:paraId="76F2C238" w14:textId="77777777" w:rsidR="00285EF0" w:rsidRPr="00BE211F" w:rsidRDefault="00285EF0" w:rsidP="00285EF0">
            <w:pPr>
              <w:widowControl/>
              <w:jc w:val="center"/>
              <w:rPr>
                <w:rFonts w:cs="Arial"/>
                <w:color w:val="000000" w:themeColor="text1"/>
                <w:sz w:val="18"/>
                <w:szCs w:val="18"/>
              </w:rPr>
            </w:pPr>
            <w:r w:rsidRPr="00BE211F">
              <w:rPr>
                <w:rFonts w:cs="Arial"/>
                <w:color w:val="000000" w:themeColor="text1"/>
                <w:sz w:val="18"/>
                <w:szCs w:val="18"/>
              </w:rPr>
              <w:t>Produce</w:t>
            </w:r>
          </w:p>
        </w:tc>
        <w:tc>
          <w:tcPr>
            <w:tcW w:w="1764" w:type="dxa"/>
            <w:shd w:val="clear" w:color="auto" w:fill="C6D9F1" w:themeFill="text2" w:themeFillTint="33"/>
          </w:tcPr>
          <w:p w14:paraId="5A11CBAA" w14:textId="77777777" w:rsidR="00285EF0" w:rsidRPr="00BE211F" w:rsidRDefault="00285EF0" w:rsidP="00285EF0">
            <w:pPr>
              <w:widowControl/>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Organism</w:t>
            </w:r>
          </w:p>
        </w:tc>
        <w:tc>
          <w:tcPr>
            <w:tcW w:w="1309" w:type="dxa"/>
            <w:shd w:val="clear" w:color="auto" w:fill="C6D9F1" w:themeFill="text2" w:themeFillTint="33"/>
          </w:tcPr>
          <w:p w14:paraId="77BF1331" w14:textId="77777777" w:rsidR="00285EF0" w:rsidRPr="00BE211F" w:rsidRDefault="00285EF0" w:rsidP="00285EF0">
            <w:pPr>
              <w:widowControl/>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Attachment time</w:t>
            </w:r>
          </w:p>
        </w:tc>
        <w:tc>
          <w:tcPr>
            <w:tcW w:w="1165" w:type="dxa"/>
            <w:shd w:val="clear" w:color="auto" w:fill="C6D9F1" w:themeFill="text2" w:themeFillTint="33"/>
          </w:tcPr>
          <w:p w14:paraId="78504837" w14:textId="77777777" w:rsidR="00285EF0" w:rsidRPr="00BE211F" w:rsidRDefault="00285EF0" w:rsidP="00285EF0">
            <w:pPr>
              <w:widowControl/>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Initial Log</w:t>
            </w:r>
            <w:r w:rsidRPr="00BE211F">
              <w:rPr>
                <w:rFonts w:cs="Arial"/>
                <w:color w:val="000000" w:themeColor="text1"/>
                <w:sz w:val="18"/>
                <w:szCs w:val="18"/>
                <w:vertAlign w:val="subscript"/>
              </w:rPr>
              <w:t>10</w:t>
            </w:r>
            <w:r w:rsidRPr="00BE211F">
              <w:rPr>
                <w:rFonts w:cs="Arial"/>
                <w:color w:val="000000" w:themeColor="text1"/>
                <w:sz w:val="18"/>
                <w:szCs w:val="18"/>
              </w:rPr>
              <w:t>CFU numbers</w:t>
            </w:r>
          </w:p>
        </w:tc>
        <w:tc>
          <w:tcPr>
            <w:tcW w:w="2562" w:type="dxa"/>
            <w:shd w:val="clear" w:color="auto" w:fill="C6D9F1" w:themeFill="text2" w:themeFillTint="33"/>
          </w:tcPr>
          <w:p w14:paraId="3AEF6B47" w14:textId="77777777" w:rsidR="00285EF0" w:rsidRPr="00BE211F" w:rsidRDefault="00285EF0" w:rsidP="00285EF0">
            <w:pPr>
              <w:widowControl/>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Treatment applied</w:t>
            </w:r>
          </w:p>
        </w:tc>
        <w:tc>
          <w:tcPr>
            <w:tcW w:w="1162" w:type="dxa"/>
            <w:shd w:val="clear" w:color="auto" w:fill="C6D9F1" w:themeFill="text2" w:themeFillTint="33"/>
          </w:tcPr>
          <w:p w14:paraId="0DF36208" w14:textId="77777777" w:rsidR="00285EF0" w:rsidRPr="00BE211F" w:rsidRDefault="00285EF0" w:rsidP="00285EF0">
            <w:pPr>
              <w:widowControl/>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Contact time (min)</w:t>
            </w:r>
          </w:p>
        </w:tc>
        <w:tc>
          <w:tcPr>
            <w:tcW w:w="1229" w:type="dxa"/>
            <w:shd w:val="clear" w:color="auto" w:fill="C6D9F1" w:themeFill="text2" w:themeFillTint="33"/>
          </w:tcPr>
          <w:p w14:paraId="4D047B36" w14:textId="77777777" w:rsidR="00285EF0" w:rsidRPr="00BE211F" w:rsidRDefault="00285EF0" w:rsidP="00285EF0">
            <w:pPr>
              <w:widowControl/>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Log</w:t>
            </w:r>
            <w:r w:rsidRPr="00BE211F">
              <w:rPr>
                <w:rFonts w:cs="Arial"/>
                <w:color w:val="000000" w:themeColor="text1"/>
                <w:sz w:val="18"/>
                <w:szCs w:val="18"/>
                <w:vertAlign w:val="subscript"/>
              </w:rPr>
              <w:t>10</w:t>
            </w:r>
            <w:r w:rsidRPr="00BE211F">
              <w:rPr>
                <w:rFonts w:cs="Arial"/>
                <w:color w:val="000000" w:themeColor="text1"/>
                <w:sz w:val="18"/>
                <w:szCs w:val="18"/>
              </w:rPr>
              <w:t>CFU reduction</w:t>
            </w:r>
          </w:p>
        </w:tc>
        <w:tc>
          <w:tcPr>
            <w:tcW w:w="2851" w:type="dxa"/>
            <w:shd w:val="clear" w:color="auto" w:fill="C6D9F1" w:themeFill="text2" w:themeFillTint="33"/>
          </w:tcPr>
          <w:p w14:paraId="3FF7AA32" w14:textId="77777777" w:rsidR="00285EF0" w:rsidRPr="00BE211F" w:rsidRDefault="00285EF0" w:rsidP="00285EF0">
            <w:pPr>
              <w:widowControl/>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Reference</w:t>
            </w:r>
          </w:p>
        </w:tc>
      </w:tr>
      <w:tr w:rsidR="00285EF0" w:rsidRPr="00BE211F" w14:paraId="748E803E"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3887" w:type="dxa"/>
            <w:gridSpan w:val="8"/>
            <w:tcBorders>
              <w:top w:val="none" w:sz="0" w:space="0" w:color="auto"/>
              <w:bottom w:val="none" w:sz="0" w:space="0" w:color="auto"/>
              <w:right w:val="none" w:sz="0" w:space="0" w:color="auto"/>
            </w:tcBorders>
            <w:vAlign w:val="center"/>
          </w:tcPr>
          <w:p w14:paraId="60C4AF86" w14:textId="77777777" w:rsidR="00285EF0" w:rsidRPr="00BE211F" w:rsidRDefault="00285EF0" w:rsidP="00285EF0">
            <w:pPr>
              <w:widowControl/>
              <w:rPr>
                <w:rFonts w:cs="Arial"/>
                <w:noProof/>
                <w:color w:val="000000" w:themeColor="text1"/>
                <w:sz w:val="18"/>
                <w:szCs w:val="18"/>
              </w:rPr>
            </w:pPr>
          </w:p>
        </w:tc>
      </w:tr>
      <w:tr w:rsidR="00285EF0" w:rsidRPr="00BE211F" w14:paraId="77E5673B" w14:textId="77777777" w:rsidTr="00285EF0">
        <w:trPr>
          <w:trHeight w:val="233"/>
        </w:trPr>
        <w:tc>
          <w:tcPr>
            <w:cnfStyle w:val="001000000000" w:firstRow="0" w:lastRow="0" w:firstColumn="1" w:lastColumn="0" w:oddVBand="0" w:evenVBand="0" w:oddHBand="0" w:evenHBand="0" w:firstRowFirstColumn="0" w:firstRowLastColumn="0" w:lastRowFirstColumn="0" w:lastRowLastColumn="0"/>
            <w:tcW w:w="13887" w:type="dxa"/>
            <w:gridSpan w:val="8"/>
            <w:tcBorders>
              <w:right w:val="none" w:sz="0" w:space="0" w:color="auto"/>
            </w:tcBorders>
            <w:shd w:val="clear" w:color="auto" w:fill="C6D9F1" w:themeFill="text2" w:themeFillTint="33"/>
            <w:vAlign w:val="center"/>
          </w:tcPr>
          <w:p w14:paraId="19DABF30" w14:textId="77777777" w:rsidR="00285EF0" w:rsidRPr="00BE211F" w:rsidRDefault="00285EF0" w:rsidP="00285EF0">
            <w:pPr>
              <w:widowControl/>
              <w:rPr>
                <w:rFonts w:cs="Arial"/>
                <w:color w:val="000000" w:themeColor="text1"/>
                <w:sz w:val="18"/>
                <w:szCs w:val="18"/>
              </w:rPr>
            </w:pPr>
            <w:r>
              <w:rPr>
                <w:rFonts w:cs="Arial"/>
                <w:noProof/>
                <w:color w:val="000000" w:themeColor="text1"/>
                <w:sz w:val="18"/>
                <w:szCs w:val="18"/>
              </w:rPr>
              <w:t>Chlorine</w:t>
            </w:r>
            <w:r w:rsidRPr="00BE211F">
              <w:rPr>
                <w:rFonts w:cs="Arial"/>
                <w:noProof/>
                <w:color w:val="000000" w:themeColor="text1"/>
                <w:sz w:val="18"/>
                <w:szCs w:val="18"/>
              </w:rPr>
              <w:t xml:space="preserve"> (hypochlorite)</w:t>
            </w:r>
            <w:r w:rsidRPr="00BE211F">
              <w:rPr>
                <w:rFonts w:cs="Arial"/>
                <w:color w:val="000000" w:themeColor="text1"/>
                <w:sz w:val="18"/>
                <w:szCs w:val="18"/>
              </w:rPr>
              <w:t xml:space="preserve"> </w:t>
            </w:r>
          </w:p>
        </w:tc>
      </w:tr>
      <w:tr w:rsidR="00285EF0" w:rsidRPr="00BE211F" w14:paraId="1324683B"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36B6379F" w14:textId="77777777" w:rsidR="00285EF0" w:rsidRPr="00BE211F" w:rsidRDefault="00285EF0" w:rsidP="00285EF0">
            <w:pPr>
              <w:widowControl/>
              <w:rPr>
                <w:rFonts w:cs="Arial"/>
                <w:b w:val="0"/>
                <w:color w:val="000000" w:themeColor="text1"/>
                <w:sz w:val="18"/>
                <w:szCs w:val="18"/>
              </w:rPr>
            </w:pPr>
            <w:r w:rsidRPr="00BE211F">
              <w:rPr>
                <w:rFonts w:cs="Arial"/>
                <w:b w:val="0"/>
                <w:color w:val="000000" w:themeColor="text1"/>
                <w:sz w:val="18"/>
                <w:szCs w:val="18"/>
              </w:rPr>
              <w:t xml:space="preserve">Rockmelon </w:t>
            </w:r>
          </w:p>
        </w:tc>
        <w:tc>
          <w:tcPr>
            <w:tcW w:w="1764" w:type="dxa"/>
          </w:tcPr>
          <w:p w14:paraId="0780ABE7"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i/>
                <w:iCs/>
                <w:color w:val="000000" w:themeColor="text1"/>
                <w:sz w:val="18"/>
                <w:szCs w:val="18"/>
              </w:rPr>
              <w:t>L. monocytogenes</w:t>
            </w:r>
          </w:p>
        </w:tc>
        <w:tc>
          <w:tcPr>
            <w:tcW w:w="1309" w:type="dxa"/>
          </w:tcPr>
          <w:p w14:paraId="6E4F67ED"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24h</w:t>
            </w:r>
          </w:p>
        </w:tc>
        <w:tc>
          <w:tcPr>
            <w:tcW w:w="1165" w:type="dxa"/>
          </w:tcPr>
          <w:p w14:paraId="7752D2F9"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3.5</w:t>
            </w:r>
          </w:p>
        </w:tc>
        <w:tc>
          <w:tcPr>
            <w:tcW w:w="2562" w:type="dxa"/>
          </w:tcPr>
          <w:p w14:paraId="3F749F9B"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1000ppm FC (pH 6.4)</w:t>
            </w:r>
          </w:p>
        </w:tc>
        <w:tc>
          <w:tcPr>
            <w:tcW w:w="1162" w:type="dxa"/>
          </w:tcPr>
          <w:p w14:paraId="781BCE9A"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w:t>
            </w:r>
          </w:p>
        </w:tc>
        <w:tc>
          <w:tcPr>
            <w:tcW w:w="1229" w:type="dxa"/>
          </w:tcPr>
          <w:p w14:paraId="5DD1ED38"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&gt;3.2</w:t>
            </w:r>
          </w:p>
        </w:tc>
        <w:tc>
          <w:tcPr>
            <w:tcW w:w="2851" w:type="dxa"/>
          </w:tcPr>
          <w:p w14:paraId="5986602C" w14:textId="77777777" w:rsidR="00285EF0" w:rsidRPr="00BE211F"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fldChar w:fldCharType="begin"/>
            </w:r>
            <w:r w:rsidRPr="00BE211F">
              <w:rPr>
                <w:rFonts w:cs="Arial"/>
                <w:color w:val="000000" w:themeColor="text1"/>
                <w:sz w:val="18"/>
                <w:szCs w:val="18"/>
              </w:rPr>
              <w:instrText>ADDIN CITAVI.PLACEHOLDER 4e64a6cf-3e7a-4ff7-9fc0-d04004963f30 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VrdWt1IGFuZCBGZXR0PC9UZXh0Pg0KICAgIDwvVGV4dFVuaXQ+DQogIDwvVGV4dFVuaXRzPg0KPC9QbGFjZWhvbGRlcj4=</w:instrText>
            </w:r>
            <w:r w:rsidRPr="00BE211F">
              <w:rPr>
                <w:rFonts w:cs="Arial"/>
                <w:color w:val="000000" w:themeColor="text1"/>
                <w:sz w:val="18"/>
                <w:szCs w:val="18"/>
              </w:rPr>
              <w:fldChar w:fldCharType="separate"/>
            </w:r>
            <w:bookmarkStart w:id="1322" w:name="_CTVP0014e64a6cf3e7a4ff79fc0d04004963f30"/>
            <w:r w:rsidRPr="00BE211F">
              <w:rPr>
                <w:rFonts w:cs="Arial"/>
                <w:color w:val="000000" w:themeColor="text1"/>
                <w:sz w:val="18"/>
                <w:szCs w:val="18"/>
              </w:rPr>
              <w:t>Ukuku and Fett</w:t>
            </w:r>
            <w:bookmarkEnd w:id="1322"/>
            <w:r w:rsidRPr="00BE211F">
              <w:rPr>
                <w:rFonts w:cs="Arial"/>
                <w:color w:val="000000" w:themeColor="text1"/>
                <w:sz w:val="18"/>
                <w:szCs w:val="18"/>
              </w:rPr>
              <w:fldChar w:fldCharType="end"/>
            </w:r>
            <w:r w:rsidRPr="00BE211F">
              <w:rPr>
                <w:rFonts w:cs="Arial"/>
                <w:color w:val="000000" w:themeColor="text1"/>
                <w:sz w:val="18"/>
                <w:szCs w:val="18"/>
              </w:rPr>
              <w:t xml:space="preserve"> </w:t>
            </w:r>
            <w:r w:rsidRPr="00BE211F">
              <w:rPr>
                <w:rFonts w:cs="Arial"/>
                <w:color w:val="000000" w:themeColor="text1"/>
                <w:sz w:val="18"/>
                <w:szCs w:val="18"/>
              </w:rPr>
              <w:fldChar w:fldCharType="begin"/>
            </w:r>
            <w:r w:rsidRPr="00BE211F">
              <w:rPr>
                <w:rFonts w:cs="Arial"/>
                <w:color w:val="000000" w:themeColor="text1"/>
                <w:sz w:val="18"/>
                <w:szCs w:val="18"/>
              </w:rPr>
              <w:instrText>ADDIN CITAVI.PLACEHOLDER 250165e3-88e6-49f5-9947-48efe7eb2e79 PFBsYWNlaG9sZGVyPg0KICA8QWRkSW5WZXJzaW9uPjUuNS4wLjE8L0FkZEluVmVyc2lvbj4NCiAgPElkPjI1MDE2NWUzLTg4ZTYtNDlmNS05OTQ3LTQ4ZWZlN2ViMmU3OTwvSWQ+DQogIDxBc3NvY2lhdGVXaXRoUGxhY2Vob2xkZXJJZD40ZTY0YTZjZi0zZTdhLTRmZjctOWZjMC1kMDQwMDQ5NjNmMzA8L0Fzc29jaWF0ZVdpdGhQbGFjZWhvbGRlcklkPg0KICA8RW50cmllcz4NCiAgICA8RW50cnk+DQogICAgICA8SWQ+YWM2YzNjY2MtNzUxZC00ZWU1LTkxMzEtOGQ0ZDMxODU4MDZkPC9JZD4NCiAgICAgIDxSZWZlcmVuY2VJZD42YTVhOTVmMC1iZTcxLTQwMjktYmEzYi00NWRhZjU5N2IwN2E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AyYik8L1RleHQ+DQogICAgPC9UZXh0VW5pdD4NCiAgPC9UZXh0VW5pdHM+DQo8L1BsYWNlaG9sZGVyPg==</w:instrText>
            </w:r>
            <w:r w:rsidRPr="00BE211F">
              <w:rPr>
                <w:rFonts w:cs="Arial"/>
                <w:color w:val="000000" w:themeColor="text1"/>
                <w:sz w:val="18"/>
                <w:szCs w:val="18"/>
              </w:rPr>
              <w:fldChar w:fldCharType="separate"/>
            </w:r>
            <w:bookmarkStart w:id="1323" w:name="_CTVP001250165e388e649f5994748efe7eb2e79"/>
            <w:r w:rsidRPr="00BE211F">
              <w:rPr>
                <w:rFonts w:cs="Arial"/>
                <w:color w:val="000000" w:themeColor="text1"/>
                <w:sz w:val="18"/>
                <w:szCs w:val="18"/>
              </w:rPr>
              <w:t>(2002b)</w:t>
            </w:r>
            <w:bookmarkEnd w:id="1323"/>
            <w:r w:rsidRPr="00BE211F">
              <w:rPr>
                <w:rFonts w:cs="Arial"/>
                <w:color w:val="000000" w:themeColor="text1"/>
                <w:sz w:val="18"/>
                <w:szCs w:val="18"/>
              </w:rPr>
              <w:fldChar w:fldCharType="end"/>
            </w:r>
          </w:p>
        </w:tc>
      </w:tr>
      <w:tr w:rsidR="00285EF0" w:rsidRPr="00BE211F" w14:paraId="59EADB26"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76BF56A7" w14:textId="77777777" w:rsidR="00285EF0" w:rsidRPr="00BE211F" w:rsidRDefault="00285EF0" w:rsidP="00285EF0">
            <w:pPr>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256C3FDA"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i/>
                <w:iCs/>
                <w:color w:val="000000" w:themeColor="text1"/>
                <w:sz w:val="18"/>
                <w:szCs w:val="18"/>
              </w:rPr>
              <w:t>L. monocytogenes</w:t>
            </w:r>
          </w:p>
        </w:tc>
        <w:tc>
          <w:tcPr>
            <w:tcW w:w="1309" w:type="dxa"/>
          </w:tcPr>
          <w:p w14:paraId="44DA5959"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24h</w:t>
            </w:r>
          </w:p>
        </w:tc>
        <w:tc>
          <w:tcPr>
            <w:tcW w:w="1165" w:type="dxa"/>
          </w:tcPr>
          <w:p w14:paraId="07A28C4B"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sym w:font="Symbol" w:char="F07E"/>
            </w:r>
            <w:r w:rsidRPr="00BE211F">
              <w:rPr>
                <w:rFonts w:cs="Arial"/>
                <w:color w:val="000000" w:themeColor="text1"/>
                <w:sz w:val="18"/>
                <w:szCs w:val="18"/>
              </w:rPr>
              <w:t>6.0</w:t>
            </w:r>
          </w:p>
        </w:tc>
        <w:tc>
          <w:tcPr>
            <w:tcW w:w="2562" w:type="dxa"/>
          </w:tcPr>
          <w:p w14:paraId="01ECCE60"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100ppm TC (pH 7.0)</w:t>
            </w:r>
          </w:p>
        </w:tc>
        <w:tc>
          <w:tcPr>
            <w:tcW w:w="1162" w:type="dxa"/>
          </w:tcPr>
          <w:p w14:paraId="74B5E408"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2 - 5</w:t>
            </w:r>
          </w:p>
        </w:tc>
        <w:tc>
          <w:tcPr>
            <w:tcW w:w="1229" w:type="dxa"/>
          </w:tcPr>
          <w:p w14:paraId="00F9F8BB"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2.0 - &gt;5</w:t>
            </w:r>
          </w:p>
        </w:tc>
        <w:tc>
          <w:tcPr>
            <w:tcW w:w="2851" w:type="dxa"/>
          </w:tcPr>
          <w:p w14:paraId="10C7BEAE" w14:textId="77777777" w:rsidR="00285EF0" w:rsidRPr="00BE211F"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noProof/>
                <w:color w:val="000000" w:themeColor="text1"/>
                <w:sz w:val="18"/>
                <w:szCs w:val="18"/>
              </w:rPr>
              <w:fldChar w:fldCharType="begin"/>
            </w:r>
            <w:r w:rsidRPr="00BE211F">
              <w:rPr>
                <w:rFonts w:cs="Arial"/>
                <w:noProof/>
                <w:color w:val="000000" w:themeColor="text1"/>
                <w:sz w:val="18"/>
                <w:szCs w:val="18"/>
              </w:rPr>
              <w:instrText>ADDIN CITAVI.PLACEHOLDER 69040aa5-1715-4f34-8f2a-83cca65af54f 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m9kZ2VycyBldCBhbC48L1RleHQ+DQogICAgPC9UZXh0VW5pdD4NCiAgPC9UZXh0VW5pdHM+DQo8L1BsYWNlaG9sZGVyPg==</w:instrText>
            </w:r>
            <w:r w:rsidRPr="00BE211F">
              <w:rPr>
                <w:rFonts w:cs="Arial"/>
                <w:noProof/>
                <w:color w:val="000000" w:themeColor="text1"/>
                <w:sz w:val="18"/>
                <w:szCs w:val="18"/>
              </w:rPr>
              <w:fldChar w:fldCharType="separate"/>
            </w:r>
            <w:bookmarkStart w:id="1324" w:name="_CTVP00169040aa517154f348f2a83cca65af54f"/>
            <w:r w:rsidRPr="00BE211F">
              <w:rPr>
                <w:rFonts w:cs="Arial"/>
                <w:noProof/>
                <w:color w:val="000000" w:themeColor="text1"/>
                <w:sz w:val="18"/>
                <w:szCs w:val="18"/>
              </w:rPr>
              <w:t>Rodgers et al.</w:t>
            </w:r>
            <w:bookmarkEnd w:id="1324"/>
            <w:r w:rsidRPr="00BE211F">
              <w:rPr>
                <w:rFonts w:cs="Arial"/>
                <w:noProof/>
                <w:color w:val="000000" w:themeColor="text1"/>
                <w:sz w:val="18"/>
                <w:szCs w:val="18"/>
              </w:rPr>
              <w:fldChar w:fldCharType="end"/>
            </w:r>
            <w:r w:rsidRPr="00BE211F">
              <w:rPr>
                <w:rFonts w:cs="Arial"/>
                <w:noProof/>
                <w:color w:val="000000" w:themeColor="text1"/>
                <w:sz w:val="18"/>
                <w:szCs w:val="18"/>
              </w:rPr>
              <w:t xml:space="preserve"> </w:t>
            </w:r>
            <w:r w:rsidRPr="00BE211F">
              <w:rPr>
                <w:rFonts w:cs="Arial"/>
                <w:noProof/>
                <w:color w:val="000000" w:themeColor="text1"/>
                <w:sz w:val="18"/>
                <w:szCs w:val="18"/>
              </w:rPr>
              <w:fldChar w:fldCharType="begin"/>
            </w:r>
            <w:r w:rsidRPr="00BE211F">
              <w:rPr>
                <w:rFonts w:cs="Arial"/>
                <w:noProof/>
                <w:color w:val="000000" w:themeColor="text1"/>
                <w:sz w:val="18"/>
                <w:szCs w:val="18"/>
              </w:rPr>
              <w:instrText>ADDIN CITAVI.PLACEHOLDER 0bc36c92-efb0-4add-a06b-3abdf4b479db PFBsYWNlaG9sZGVyPg0KICA8QWRkSW5WZXJzaW9uPjUuNS4wLjE8L0FkZEluVmVyc2lvbj4NCiAgPElkPjBiYzM2YzkyLWVmYjAtNGFkZC1hMDZiLTNhYmRmNGI0NzlkYjwvSWQ+DQogIDxBc3NvY2lhdGVXaXRoUGxhY2Vob2xkZXJJZD42OTA0MGFhNS0xNzE1LTRmMzQtOGYyYS04M2NjYTY1YWY1NGY8L0Fzc29jaWF0ZVdpdGhQbGFjZWhvbGRlcklkPg0KICA8RW50cmllcz4NCiAgICA8RW50cnk+DQogICAgICA8SWQ+YzE2YTk2MTItYTg3Mi00NWRhLTlmYmItMGJhNjEzOWFiYTg5PC9JZD4NCiAgICAgIDxSZWZlcmVuY2VJZD5lNWE1MWZhYy1mYzNiLTQ0OGEtYTliOC03NDRlZWEwYTc2YW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NCk8L1RleHQ+DQogICAgPC9UZXh0VW5pdD4NCiAgPC9UZXh0VW5pdHM+DQo8L1BsYWNlaG9sZGVyPg==</w:instrText>
            </w:r>
            <w:r w:rsidRPr="00BE211F">
              <w:rPr>
                <w:rFonts w:cs="Arial"/>
                <w:noProof/>
                <w:color w:val="000000" w:themeColor="text1"/>
                <w:sz w:val="18"/>
                <w:szCs w:val="18"/>
              </w:rPr>
              <w:fldChar w:fldCharType="separate"/>
            </w:r>
            <w:bookmarkStart w:id="1325" w:name="_CTVP0010bc36c92efb04adda06b3abdf4b479db"/>
            <w:r w:rsidRPr="00BE211F">
              <w:rPr>
                <w:rFonts w:cs="Arial"/>
                <w:noProof/>
                <w:color w:val="000000" w:themeColor="text1"/>
                <w:sz w:val="18"/>
                <w:szCs w:val="18"/>
              </w:rPr>
              <w:t>(2004)</w:t>
            </w:r>
            <w:bookmarkEnd w:id="1325"/>
            <w:r w:rsidRPr="00BE211F">
              <w:rPr>
                <w:rFonts w:cs="Arial"/>
                <w:noProof/>
                <w:color w:val="000000" w:themeColor="text1"/>
                <w:sz w:val="18"/>
                <w:szCs w:val="18"/>
              </w:rPr>
              <w:fldChar w:fldCharType="end"/>
            </w:r>
          </w:p>
        </w:tc>
      </w:tr>
      <w:tr w:rsidR="00285EF0" w:rsidRPr="00BE211F" w14:paraId="08CD8ECD"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21E62027" w14:textId="77777777" w:rsidR="00285EF0" w:rsidRPr="00BE211F" w:rsidRDefault="00285EF0" w:rsidP="00285EF0">
            <w:pPr>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146C4426"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i/>
                <w:iCs/>
                <w:color w:val="000000" w:themeColor="text1"/>
                <w:sz w:val="18"/>
                <w:szCs w:val="18"/>
              </w:rPr>
              <w:t>L. monocytogenes</w:t>
            </w:r>
          </w:p>
        </w:tc>
        <w:tc>
          <w:tcPr>
            <w:tcW w:w="1309" w:type="dxa"/>
          </w:tcPr>
          <w:p w14:paraId="187F2054"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24h</w:t>
            </w:r>
          </w:p>
        </w:tc>
        <w:tc>
          <w:tcPr>
            <w:tcW w:w="1165" w:type="dxa"/>
          </w:tcPr>
          <w:p w14:paraId="6007E4AB"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sym w:font="Symbol" w:char="F07E"/>
            </w:r>
            <w:r w:rsidRPr="00BE211F">
              <w:rPr>
                <w:rFonts w:cs="Arial"/>
                <w:color w:val="000000" w:themeColor="text1"/>
                <w:sz w:val="18"/>
                <w:szCs w:val="18"/>
              </w:rPr>
              <w:t>6.0</w:t>
            </w:r>
          </w:p>
        </w:tc>
        <w:tc>
          <w:tcPr>
            <w:tcW w:w="2562" w:type="dxa"/>
          </w:tcPr>
          <w:p w14:paraId="29DC7021"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200ppm TC (pH 7.0)</w:t>
            </w:r>
          </w:p>
        </w:tc>
        <w:tc>
          <w:tcPr>
            <w:tcW w:w="1162" w:type="dxa"/>
          </w:tcPr>
          <w:p w14:paraId="08C66D12"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2 - 5</w:t>
            </w:r>
          </w:p>
        </w:tc>
        <w:tc>
          <w:tcPr>
            <w:tcW w:w="1229" w:type="dxa"/>
          </w:tcPr>
          <w:p w14:paraId="3F52FF2A"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2.2 - &gt;5</w:t>
            </w:r>
          </w:p>
        </w:tc>
        <w:tc>
          <w:tcPr>
            <w:tcW w:w="2851" w:type="dxa"/>
          </w:tcPr>
          <w:p w14:paraId="6E13CDDD" w14:textId="77777777" w:rsidR="00285EF0" w:rsidRPr="00BE211F"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noProof/>
                <w:color w:val="000000" w:themeColor="text1"/>
                <w:sz w:val="18"/>
                <w:szCs w:val="18"/>
              </w:rPr>
              <w:fldChar w:fldCharType="begin"/>
            </w:r>
            <w:r w:rsidRPr="00BE211F">
              <w:rPr>
                <w:rFonts w:cs="Arial"/>
                <w:noProof/>
                <w:color w:val="000000" w:themeColor="text1"/>
                <w:sz w:val="18"/>
                <w:szCs w:val="18"/>
              </w:rPr>
              <w:instrText>ADDIN CITAVI.PLACEHOLDER e0fa39bd-6647-431e-880f-23c23d771162 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m9kZ2VycyBldCBhbC48L1RleHQ+DQogICAgPC9UZXh0VW5pdD4NCiAgPC9UZXh0VW5pdHM+DQo8L1BsYWNlaG9sZGVyPg==</w:instrText>
            </w:r>
            <w:r w:rsidRPr="00BE211F">
              <w:rPr>
                <w:rFonts w:cs="Arial"/>
                <w:noProof/>
                <w:color w:val="000000" w:themeColor="text1"/>
                <w:sz w:val="18"/>
                <w:szCs w:val="18"/>
              </w:rPr>
              <w:fldChar w:fldCharType="separate"/>
            </w:r>
            <w:bookmarkStart w:id="1326" w:name="_CTVP001e0fa39bd6647431e880f23c23d771162"/>
            <w:r w:rsidRPr="00BE211F">
              <w:rPr>
                <w:rFonts w:cs="Arial"/>
                <w:noProof/>
                <w:color w:val="000000" w:themeColor="text1"/>
                <w:sz w:val="18"/>
                <w:szCs w:val="18"/>
              </w:rPr>
              <w:t>Rodgers et al.</w:t>
            </w:r>
            <w:bookmarkEnd w:id="1326"/>
            <w:r w:rsidRPr="00BE211F">
              <w:rPr>
                <w:rFonts w:cs="Arial"/>
                <w:noProof/>
                <w:color w:val="000000" w:themeColor="text1"/>
                <w:sz w:val="18"/>
                <w:szCs w:val="18"/>
              </w:rPr>
              <w:fldChar w:fldCharType="end"/>
            </w:r>
            <w:r w:rsidRPr="00BE211F">
              <w:rPr>
                <w:rFonts w:cs="Arial"/>
                <w:noProof/>
                <w:color w:val="000000" w:themeColor="text1"/>
                <w:sz w:val="18"/>
                <w:szCs w:val="18"/>
              </w:rPr>
              <w:t xml:space="preserve"> </w:t>
            </w:r>
            <w:r w:rsidRPr="00BE211F">
              <w:rPr>
                <w:rFonts w:cs="Arial"/>
                <w:noProof/>
                <w:color w:val="000000" w:themeColor="text1"/>
                <w:sz w:val="18"/>
                <w:szCs w:val="18"/>
              </w:rPr>
              <w:fldChar w:fldCharType="begin"/>
            </w:r>
            <w:r w:rsidRPr="00BE211F">
              <w:rPr>
                <w:rFonts w:cs="Arial"/>
                <w:noProof/>
                <w:color w:val="000000" w:themeColor="text1"/>
                <w:sz w:val="18"/>
                <w:szCs w:val="18"/>
              </w:rPr>
              <w:instrText>ADDIN CITAVI.PLACEHOLDER d65da8ab-1ee3-4273-9d42-ed2986e591bf PFBsYWNlaG9sZGVyPg0KICA8QWRkSW5WZXJzaW9uPjUuNS4wLjE8L0FkZEluVmVyc2lvbj4NCiAgPElkPmQ2NWRhOGFiLTFlZTMtNDI3My05ZDQyLWVkMjk4NmU1OTFiZjwvSWQ+DQogIDxBc3NvY2lhdGVXaXRoUGxhY2Vob2xkZXJJZD42OTA0MGFhNS0xNzE1LTRmMzQtOGYyYS04M2NjYTY1YWY1NGY8L0Fzc29jaWF0ZVdpdGhQbGFjZWhvbGRlcklkPg0KICA8RW50cmllcz4NCiAgICA8RW50cnk+DQogICAgICA8SWQ+YzE2YTk2MTItYTg3Mi00NWRhLTlmYmItMGJhNjEzOWFiYTg5PC9JZD4NCiAgICAgIDxSZWZlcmVuY2VJZD5lNWE1MWZhYy1mYzNiLTQ0OGEtYTliOC03NDRlZWEwYTc2YW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NCk8L1RleHQ+DQogICAgPC9UZXh0VW5pdD4NCiAgPC9UZXh0VW5pdHM+DQo8L1BsYWNlaG9sZGVyPg==</w:instrText>
            </w:r>
            <w:r w:rsidRPr="00BE211F">
              <w:rPr>
                <w:rFonts w:cs="Arial"/>
                <w:noProof/>
                <w:color w:val="000000" w:themeColor="text1"/>
                <w:sz w:val="18"/>
                <w:szCs w:val="18"/>
              </w:rPr>
              <w:fldChar w:fldCharType="separate"/>
            </w:r>
            <w:bookmarkStart w:id="1327" w:name="_CTVP001d65da8ab1ee342739d42ed2986e591bf"/>
            <w:r w:rsidRPr="00BE211F">
              <w:rPr>
                <w:rFonts w:cs="Arial"/>
                <w:noProof/>
                <w:color w:val="000000" w:themeColor="text1"/>
                <w:sz w:val="18"/>
                <w:szCs w:val="18"/>
              </w:rPr>
              <w:t>(2004)</w:t>
            </w:r>
            <w:bookmarkEnd w:id="1327"/>
            <w:r w:rsidRPr="00BE211F">
              <w:rPr>
                <w:rFonts w:cs="Arial"/>
                <w:noProof/>
                <w:color w:val="000000" w:themeColor="text1"/>
                <w:sz w:val="18"/>
                <w:szCs w:val="18"/>
              </w:rPr>
              <w:fldChar w:fldCharType="end"/>
            </w:r>
          </w:p>
        </w:tc>
      </w:tr>
      <w:tr w:rsidR="00285EF0" w:rsidRPr="00BE211F" w14:paraId="4BE97D74"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50EBF728" w14:textId="77777777" w:rsidR="00285EF0" w:rsidRPr="00BE211F" w:rsidRDefault="00285EF0" w:rsidP="00285EF0">
            <w:pPr>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0775AB93"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i/>
                <w:iCs/>
                <w:color w:val="000000" w:themeColor="text1"/>
                <w:sz w:val="18"/>
                <w:szCs w:val="18"/>
              </w:rPr>
              <w:t>L. monocytogenes</w:t>
            </w:r>
          </w:p>
        </w:tc>
        <w:tc>
          <w:tcPr>
            <w:tcW w:w="1309" w:type="dxa"/>
          </w:tcPr>
          <w:p w14:paraId="4843EB69"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18h</w:t>
            </w:r>
          </w:p>
        </w:tc>
        <w:tc>
          <w:tcPr>
            <w:tcW w:w="1165" w:type="dxa"/>
          </w:tcPr>
          <w:p w14:paraId="70AB0025"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4.0</w:t>
            </w:r>
          </w:p>
        </w:tc>
        <w:tc>
          <w:tcPr>
            <w:tcW w:w="2562" w:type="dxa"/>
          </w:tcPr>
          <w:p w14:paraId="6B3185F2"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200ppm FC (pH 7.0)</w:t>
            </w:r>
          </w:p>
        </w:tc>
        <w:tc>
          <w:tcPr>
            <w:tcW w:w="1162" w:type="dxa"/>
          </w:tcPr>
          <w:p w14:paraId="65EC9484"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8 - 10</w:t>
            </w:r>
          </w:p>
        </w:tc>
        <w:tc>
          <w:tcPr>
            <w:tcW w:w="1229" w:type="dxa"/>
          </w:tcPr>
          <w:p w14:paraId="400A72AE"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0.8 - &gt;2.7</w:t>
            </w:r>
          </w:p>
        </w:tc>
        <w:tc>
          <w:tcPr>
            <w:tcW w:w="2851" w:type="dxa"/>
          </w:tcPr>
          <w:p w14:paraId="6BDE582C" w14:textId="77777777" w:rsidR="00285EF0" w:rsidRPr="00BE211F"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noProof/>
                <w:color w:val="000000" w:themeColor="text1"/>
                <w:sz w:val="18"/>
                <w:szCs w:val="18"/>
              </w:rPr>
              <w:fldChar w:fldCharType="begin"/>
            </w:r>
            <w:r w:rsidRPr="00BE211F">
              <w:rPr>
                <w:rFonts w:cs="Arial"/>
                <w:noProof/>
                <w:color w:val="000000" w:themeColor="text1"/>
                <w:sz w:val="18"/>
                <w:szCs w:val="18"/>
              </w:rPr>
              <w:instrText>ADDIN CITAVI.PLACEHOLDER b014ed27-b107-497f-8b7b-7dfdd3685847 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XZWJiIGV0IGFsLjwvVGV4dD4NCiAgICA8L1RleHRVbml0Pg0KICA8L1RleHRVbml0cz4NCjwvUGxhY2Vob2xkZXI+</w:instrText>
            </w:r>
            <w:r w:rsidRPr="00BE211F">
              <w:rPr>
                <w:rFonts w:cs="Arial"/>
                <w:noProof/>
                <w:color w:val="000000" w:themeColor="text1"/>
                <w:sz w:val="18"/>
                <w:szCs w:val="18"/>
              </w:rPr>
              <w:fldChar w:fldCharType="separate"/>
            </w:r>
            <w:bookmarkStart w:id="1328" w:name="_CTVP001b014ed27b107497f8b7b7dfdd3685847"/>
            <w:r w:rsidRPr="00BE211F">
              <w:rPr>
                <w:rFonts w:cs="Arial"/>
                <w:noProof/>
                <w:color w:val="000000" w:themeColor="text1"/>
                <w:sz w:val="18"/>
                <w:szCs w:val="18"/>
              </w:rPr>
              <w:t>Webb et al.</w:t>
            </w:r>
            <w:bookmarkEnd w:id="1328"/>
            <w:r w:rsidRPr="00BE211F">
              <w:rPr>
                <w:rFonts w:cs="Arial"/>
                <w:noProof/>
                <w:color w:val="000000" w:themeColor="text1"/>
                <w:sz w:val="18"/>
                <w:szCs w:val="18"/>
              </w:rPr>
              <w:fldChar w:fldCharType="end"/>
            </w:r>
            <w:r w:rsidRPr="00BE211F">
              <w:rPr>
                <w:rFonts w:cs="Arial"/>
                <w:noProof/>
                <w:color w:val="000000" w:themeColor="text1"/>
                <w:sz w:val="18"/>
                <w:szCs w:val="18"/>
              </w:rPr>
              <w:t xml:space="preserve"> </w:t>
            </w:r>
            <w:r w:rsidRPr="00BE211F">
              <w:rPr>
                <w:rFonts w:cs="Arial"/>
                <w:noProof/>
                <w:color w:val="000000" w:themeColor="text1"/>
                <w:sz w:val="18"/>
                <w:szCs w:val="18"/>
              </w:rPr>
              <w:fldChar w:fldCharType="begin"/>
            </w:r>
            <w:r w:rsidRPr="00BE211F">
              <w:rPr>
                <w:rFonts w:cs="Arial"/>
                <w:noProof/>
                <w:color w:val="000000" w:themeColor="text1"/>
                <w:sz w:val="18"/>
                <w:szCs w:val="18"/>
              </w:rPr>
              <w:instrText>ADDIN CITAVI.PLACEHOLDER 4bfd1167-535d-41c8-bb62-9f7575a0f4ed PFBsYWNlaG9sZGVyPg0KICA8QWRkSW5WZXJzaW9uPjUuNS4wLjE8L0FkZEluVmVyc2lvbj4NCiAgPElkPjRiZmQxMTY3LTUzNWQtNDFjOC1iYjYyLTlmNzU3NWEwZjRlZDwvSWQ+DQogIDxBc3NvY2lhdGVXaXRoUGxhY2Vob2xkZXJJZD5iMDE0ZWQyNy1iMTA3LTQ5N2YtOGI3Yi03ZGZkZDM2ODU4NDc8L0Fzc29jaWF0ZVdpdGhQbGFjZWhvbGRlcklkPg0KICA8RW50cmllcz4NCiAgICA8RW50cnk+DQogICAgICA8SWQ+OGUwYWU5NDItYTJiNi00OTI4LWEzOTctNTlhYTQ3ZWFlY2EwPC9JZD4NCiAgICAgIDxSZWZlcmVuY2VJZD5lOGI2MGE1My0zZmE2LTQ3NWYtOWMzZC1hMDU5OWU1NDU0ZG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1KTwvVGV4dD4NCiAgICA8L1RleHRVbml0Pg0KICA8L1RleHRVbml0cz4NCjwvUGxhY2Vob2xkZXI+</w:instrText>
            </w:r>
            <w:r w:rsidRPr="00BE211F">
              <w:rPr>
                <w:rFonts w:cs="Arial"/>
                <w:noProof/>
                <w:color w:val="000000" w:themeColor="text1"/>
                <w:sz w:val="18"/>
                <w:szCs w:val="18"/>
              </w:rPr>
              <w:fldChar w:fldCharType="separate"/>
            </w:r>
            <w:bookmarkStart w:id="1329" w:name="_CTVP0014bfd1167535d41c8bb629f7575a0f4ed"/>
            <w:r w:rsidRPr="00BE211F">
              <w:rPr>
                <w:rFonts w:cs="Arial"/>
                <w:noProof/>
                <w:color w:val="000000" w:themeColor="text1"/>
                <w:sz w:val="18"/>
                <w:szCs w:val="18"/>
              </w:rPr>
              <w:t>(2015)</w:t>
            </w:r>
            <w:bookmarkEnd w:id="1329"/>
            <w:r w:rsidRPr="00BE211F">
              <w:rPr>
                <w:rFonts w:cs="Arial"/>
                <w:noProof/>
                <w:color w:val="000000" w:themeColor="text1"/>
                <w:sz w:val="18"/>
                <w:szCs w:val="18"/>
              </w:rPr>
              <w:fldChar w:fldCharType="end"/>
            </w:r>
            <w:r w:rsidRPr="00BE211F">
              <w:rPr>
                <w:rFonts w:cs="Arial"/>
                <w:color w:val="000000" w:themeColor="text1"/>
                <w:sz w:val="18"/>
                <w:szCs w:val="18"/>
              </w:rPr>
              <w:t xml:space="preserve"> </w:t>
            </w:r>
          </w:p>
        </w:tc>
      </w:tr>
      <w:tr w:rsidR="00285EF0" w:rsidRPr="00BE211F" w14:paraId="068D7310"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577EB384" w14:textId="77777777" w:rsidR="00285EF0" w:rsidRPr="00BE211F" w:rsidRDefault="00285EF0" w:rsidP="00285EF0">
            <w:pPr>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32B9A9C4"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i/>
                <w:iCs/>
                <w:color w:val="000000" w:themeColor="text1"/>
                <w:sz w:val="18"/>
                <w:szCs w:val="18"/>
              </w:rPr>
              <w:t>L. monocytogenes</w:t>
            </w:r>
          </w:p>
        </w:tc>
        <w:tc>
          <w:tcPr>
            <w:tcW w:w="1309" w:type="dxa"/>
          </w:tcPr>
          <w:p w14:paraId="17B2A3BD"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ON</w:t>
            </w:r>
          </w:p>
        </w:tc>
        <w:tc>
          <w:tcPr>
            <w:tcW w:w="1165" w:type="dxa"/>
          </w:tcPr>
          <w:p w14:paraId="3B4053D7"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7.6</w:t>
            </w:r>
          </w:p>
        </w:tc>
        <w:tc>
          <w:tcPr>
            <w:tcW w:w="2562" w:type="dxa"/>
          </w:tcPr>
          <w:p w14:paraId="2DDD3234"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200ppm FC (pH NR)</w:t>
            </w:r>
          </w:p>
        </w:tc>
        <w:tc>
          <w:tcPr>
            <w:tcW w:w="1162" w:type="dxa"/>
          </w:tcPr>
          <w:p w14:paraId="19DBB93A"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5</w:t>
            </w:r>
          </w:p>
        </w:tc>
        <w:tc>
          <w:tcPr>
            <w:tcW w:w="1229" w:type="dxa"/>
          </w:tcPr>
          <w:p w14:paraId="1D5DB2B9"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1.9</w:t>
            </w:r>
          </w:p>
        </w:tc>
        <w:tc>
          <w:tcPr>
            <w:tcW w:w="2851" w:type="dxa"/>
          </w:tcPr>
          <w:p w14:paraId="2E9E3614" w14:textId="77777777" w:rsidR="00285EF0" w:rsidRPr="00BE211F"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fldChar w:fldCharType="begin"/>
            </w:r>
            <w:r w:rsidRPr="00BE211F">
              <w:rPr>
                <w:rFonts w:cs="Arial"/>
                <w:color w:val="000000" w:themeColor="text1"/>
                <w:sz w:val="18"/>
                <w:szCs w:val="18"/>
              </w:rPr>
              <w:instrText>ADDIN CITAVI.PLACEHOLDER 84607093-0de9-45af-ac8d-db68f2c36507 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pbmdoIGV0IGFsLjwvVGV4dD4NCiAgICA8L1RleHRVbml0Pg0KICA8L1RleHRVbml0cz4NCjwvUGxhY2Vob2xkZXI+</w:instrText>
            </w:r>
            <w:r w:rsidRPr="00BE211F">
              <w:rPr>
                <w:rFonts w:cs="Arial"/>
                <w:color w:val="000000" w:themeColor="text1"/>
                <w:sz w:val="18"/>
                <w:szCs w:val="18"/>
              </w:rPr>
              <w:fldChar w:fldCharType="separate"/>
            </w:r>
            <w:bookmarkStart w:id="1330" w:name="_CTVP001846070930de945afac8ddb68f2c36507"/>
            <w:r w:rsidRPr="00BE211F">
              <w:rPr>
                <w:rFonts w:cs="Arial"/>
                <w:color w:val="000000" w:themeColor="text1"/>
                <w:sz w:val="18"/>
                <w:szCs w:val="18"/>
              </w:rPr>
              <w:t>Singh et al.</w:t>
            </w:r>
            <w:bookmarkEnd w:id="1330"/>
            <w:r w:rsidRPr="00BE211F">
              <w:rPr>
                <w:rFonts w:cs="Arial"/>
                <w:color w:val="000000" w:themeColor="text1"/>
                <w:sz w:val="18"/>
                <w:szCs w:val="18"/>
              </w:rPr>
              <w:fldChar w:fldCharType="end"/>
            </w:r>
            <w:r w:rsidRPr="00BE211F">
              <w:rPr>
                <w:rFonts w:cs="Arial"/>
                <w:color w:val="000000" w:themeColor="text1"/>
                <w:sz w:val="18"/>
                <w:szCs w:val="18"/>
              </w:rPr>
              <w:t xml:space="preserve"> </w:t>
            </w:r>
            <w:r w:rsidRPr="00BE211F">
              <w:rPr>
                <w:rFonts w:cs="Arial"/>
                <w:color w:val="000000" w:themeColor="text1"/>
                <w:sz w:val="18"/>
                <w:szCs w:val="18"/>
              </w:rPr>
              <w:fldChar w:fldCharType="begin"/>
            </w:r>
            <w:r w:rsidRPr="00BE211F">
              <w:rPr>
                <w:rFonts w:cs="Arial"/>
                <w:color w:val="000000" w:themeColor="text1"/>
                <w:sz w:val="18"/>
                <w:szCs w:val="18"/>
              </w:rPr>
              <w:instrText>ADDIN CITAVI.PLACEHOLDER a954fcb5-96bf-4d03-85ff-12ced49783c2 PFBsYWNlaG9sZGVyPg0KICA8QWRkSW5WZXJzaW9uPjUuNS4wLjE8L0FkZEluVmVyc2lvbj4NCiAgPElkPmE5NTRmY2I1LTk2YmYtNGQwMy04NWZmLTEyY2VkNDk3ODNjMjwvSWQ+DQogIDxBc3NvY2lhdGVXaXRoUGxhY2Vob2xkZXJJZD44NDYwNzA5My0wZGU5LTQ1YWYtYWM4ZC1kYjY4ZjJjMzY1MDc8L0Fzc29jaWF0ZVdpdGhQbGFjZWhvbGRlcklkPg0KICA8RW50cmllcz4NCiAgICA8RW50cnk+DQogICAgICA8SWQ+OWU4NDRkYTctMmQ2ZS00NGUzLTlkNTUtMjQ3ZThkNDIwOWNmPC9JZD4NCiAgICAgIDxSZWZlcmVuY2VJZD4zZTAwY2RiOC1mZTc5LTQ2NGYtOTRlMy1kYzkwNWM1OWMzMmM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hiKTwvVGV4dD4NCiAgICA8L1RleHRVbml0Pg0KICA8L1RleHRVbml0cz4NCjwvUGxhY2Vob2xkZXI+</w:instrText>
            </w:r>
            <w:r w:rsidRPr="00BE211F">
              <w:rPr>
                <w:rFonts w:cs="Arial"/>
                <w:color w:val="000000" w:themeColor="text1"/>
                <w:sz w:val="18"/>
                <w:szCs w:val="18"/>
              </w:rPr>
              <w:fldChar w:fldCharType="separate"/>
            </w:r>
            <w:bookmarkStart w:id="1331" w:name="_CTVP001a954fcb596bf4d0385ff12ced49783c2"/>
            <w:r w:rsidRPr="00BE211F">
              <w:rPr>
                <w:rFonts w:cs="Arial"/>
                <w:color w:val="000000" w:themeColor="text1"/>
                <w:sz w:val="18"/>
                <w:szCs w:val="18"/>
              </w:rPr>
              <w:t>(2018b)</w:t>
            </w:r>
            <w:bookmarkEnd w:id="1331"/>
            <w:r w:rsidRPr="00BE211F">
              <w:rPr>
                <w:rFonts w:cs="Arial"/>
                <w:color w:val="000000" w:themeColor="text1"/>
                <w:sz w:val="18"/>
                <w:szCs w:val="18"/>
              </w:rPr>
              <w:fldChar w:fldCharType="end"/>
            </w:r>
          </w:p>
        </w:tc>
      </w:tr>
      <w:tr w:rsidR="00285EF0" w:rsidRPr="00BE211F" w14:paraId="4356738B"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7B83DF76" w14:textId="77777777" w:rsidR="00285EF0" w:rsidRPr="00BE211F" w:rsidRDefault="00285EF0" w:rsidP="00285EF0">
            <w:pPr>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0D20A9FB"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i/>
                <w:iCs/>
                <w:color w:val="000000" w:themeColor="text1"/>
                <w:sz w:val="18"/>
                <w:szCs w:val="18"/>
              </w:rPr>
              <w:t>L. monocytogenes</w:t>
            </w:r>
          </w:p>
        </w:tc>
        <w:tc>
          <w:tcPr>
            <w:tcW w:w="1309" w:type="dxa"/>
          </w:tcPr>
          <w:p w14:paraId="3925BC41"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2h</w:t>
            </w:r>
          </w:p>
        </w:tc>
        <w:tc>
          <w:tcPr>
            <w:tcW w:w="1165" w:type="dxa"/>
          </w:tcPr>
          <w:p w14:paraId="77B3DAAF"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5.6</w:t>
            </w:r>
          </w:p>
        </w:tc>
        <w:tc>
          <w:tcPr>
            <w:tcW w:w="2562" w:type="dxa"/>
          </w:tcPr>
          <w:p w14:paraId="49D959F1"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200ppm TC (pH NR)</w:t>
            </w:r>
          </w:p>
        </w:tc>
        <w:tc>
          <w:tcPr>
            <w:tcW w:w="1162" w:type="dxa"/>
          </w:tcPr>
          <w:p w14:paraId="325C61D2"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5</w:t>
            </w:r>
          </w:p>
        </w:tc>
        <w:tc>
          <w:tcPr>
            <w:tcW w:w="1229" w:type="dxa"/>
          </w:tcPr>
          <w:p w14:paraId="1D218504"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0.9</w:t>
            </w:r>
          </w:p>
        </w:tc>
        <w:tc>
          <w:tcPr>
            <w:tcW w:w="2851" w:type="dxa"/>
          </w:tcPr>
          <w:p w14:paraId="29F8A81F" w14:textId="77777777" w:rsidR="00285EF0" w:rsidRPr="00BE211F"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fldChar w:fldCharType="begin"/>
            </w:r>
            <w:r w:rsidRPr="00BE211F">
              <w:rPr>
                <w:rFonts w:cs="Arial"/>
                <w:color w:val="000000" w:themeColor="text1"/>
                <w:sz w:val="18"/>
                <w:szCs w:val="18"/>
              </w:rPr>
              <w:instrText>ADDIN CITAVI.PLACEHOLDER 900c1142-6014-4b94-a26b-2643f800be62 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VcGFkaHlheSBldCBhbC48L1RleHQ+DQogICAgPC9UZXh0VW5pdD4NCiAgPC9UZXh0VW5pdHM+DQo8L1BsYWNlaG9sZGVyPg==</w:instrText>
            </w:r>
            <w:r w:rsidRPr="00BE211F">
              <w:rPr>
                <w:rFonts w:cs="Arial"/>
                <w:color w:val="000000" w:themeColor="text1"/>
                <w:sz w:val="18"/>
                <w:szCs w:val="18"/>
              </w:rPr>
              <w:fldChar w:fldCharType="separate"/>
            </w:r>
            <w:bookmarkStart w:id="1332" w:name="_CTVP001900c114260144b94a26b2643f800be62"/>
            <w:r w:rsidRPr="00BE211F">
              <w:rPr>
                <w:rFonts w:cs="Arial"/>
                <w:color w:val="000000" w:themeColor="text1"/>
                <w:sz w:val="18"/>
                <w:szCs w:val="18"/>
              </w:rPr>
              <w:t>Upadhyay et al.</w:t>
            </w:r>
            <w:bookmarkEnd w:id="1332"/>
            <w:r w:rsidRPr="00BE211F">
              <w:rPr>
                <w:rFonts w:cs="Arial"/>
                <w:color w:val="000000" w:themeColor="text1"/>
                <w:sz w:val="18"/>
                <w:szCs w:val="18"/>
              </w:rPr>
              <w:fldChar w:fldCharType="end"/>
            </w:r>
            <w:r w:rsidRPr="00BE211F">
              <w:rPr>
                <w:rFonts w:cs="Arial"/>
                <w:color w:val="000000" w:themeColor="text1"/>
                <w:sz w:val="18"/>
                <w:szCs w:val="18"/>
              </w:rPr>
              <w:t xml:space="preserve"> </w:t>
            </w:r>
            <w:r w:rsidRPr="00BE211F">
              <w:rPr>
                <w:rFonts w:cs="Arial"/>
                <w:color w:val="000000" w:themeColor="text1"/>
                <w:sz w:val="18"/>
                <w:szCs w:val="18"/>
              </w:rPr>
              <w:fldChar w:fldCharType="begin"/>
            </w:r>
            <w:r w:rsidRPr="00BE211F">
              <w:rPr>
                <w:rFonts w:cs="Arial"/>
                <w:color w:val="000000" w:themeColor="text1"/>
                <w:sz w:val="18"/>
                <w:szCs w:val="18"/>
              </w:rPr>
              <w:instrText>ADDIN CITAVI.PLACEHOLDER 6a75d2d5-8a96-44c1-b72d-8e62c292be16 PFBsYWNlaG9sZGVyPg0KICA8QWRkSW5WZXJzaW9uPjUuNS4wLjE8L0FkZEluVmVyc2lvbj4NCiAgPElkPjZhNzVkMmQ1LThhOTYtNDRjMS1iNzJkLThlNjJjMjkyYmUxNjwvSWQ+DQogIDxBc3NvY2lhdGVXaXRoUGxhY2Vob2xkZXJJZD45MDBjMTE0Mi02MDE0LTRiOTQtYTI2Yi0yNjQzZjgwMGJlNjI8L0Fzc29jaWF0ZVdpdGhQbGFjZWhvbGRlcklkPg0KICA8RW50cmllcz4NCiAgICA8RW50cnk+DQogICAgICA8SWQ+YjVkYzRjZjctNzI3OC00MDNiLThkMDYtZjczMzk2YzA2MGI3PC9JZD4NCiAgICAgIDxSZWZlcmVuY2VJZD42MmVhYzhhYi05ZGMzLTQ5ZjMtYTM4Yi03ZTkwNDE3YWI0ND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YpPC9UZXh0Pg0KICAgIDwvVGV4dFVuaXQ+DQogIDwvVGV4dFVuaXRzPg0KPC9QbGFjZWhvbGRlcj4=</w:instrText>
            </w:r>
            <w:r w:rsidRPr="00BE211F">
              <w:rPr>
                <w:rFonts w:cs="Arial"/>
                <w:color w:val="000000" w:themeColor="text1"/>
                <w:sz w:val="18"/>
                <w:szCs w:val="18"/>
              </w:rPr>
              <w:fldChar w:fldCharType="separate"/>
            </w:r>
            <w:bookmarkStart w:id="1333" w:name="_CTVP0016a75d2d58a9644c1b72d8e62c292be16"/>
            <w:r w:rsidRPr="00BE211F">
              <w:rPr>
                <w:rFonts w:cs="Arial"/>
                <w:color w:val="000000" w:themeColor="text1"/>
                <w:sz w:val="18"/>
                <w:szCs w:val="18"/>
              </w:rPr>
              <w:t>(2016)</w:t>
            </w:r>
            <w:bookmarkEnd w:id="1333"/>
            <w:r w:rsidRPr="00BE211F">
              <w:rPr>
                <w:rFonts w:cs="Arial"/>
                <w:color w:val="000000" w:themeColor="text1"/>
                <w:sz w:val="18"/>
                <w:szCs w:val="18"/>
              </w:rPr>
              <w:fldChar w:fldCharType="end"/>
            </w:r>
          </w:p>
        </w:tc>
      </w:tr>
      <w:tr w:rsidR="00285EF0" w:rsidRPr="00BE211F" w14:paraId="1B235E91"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669B83DF" w14:textId="77777777" w:rsidR="00285EF0" w:rsidRPr="00BE211F" w:rsidRDefault="00285EF0" w:rsidP="00285EF0">
            <w:pPr>
              <w:widowControl/>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771EDCD2"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iCs/>
                <w:color w:val="000000" w:themeColor="text1"/>
                <w:sz w:val="18"/>
                <w:szCs w:val="18"/>
              </w:rPr>
            </w:pPr>
            <w:r w:rsidRPr="00BE211F">
              <w:rPr>
                <w:rFonts w:cs="Arial"/>
                <w:i/>
                <w:iCs/>
                <w:color w:val="000000" w:themeColor="text1"/>
                <w:sz w:val="18"/>
                <w:szCs w:val="18"/>
              </w:rPr>
              <w:t>Salmonella</w:t>
            </w:r>
          </w:p>
        </w:tc>
        <w:tc>
          <w:tcPr>
            <w:tcW w:w="1309" w:type="dxa"/>
          </w:tcPr>
          <w:p w14:paraId="760A6A2F"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2h</w:t>
            </w:r>
          </w:p>
        </w:tc>
        <w:tc>
          <w:tcPr>
            <w:tcW w:w="1165" w:type="dxa"/>
          </w:tcPr>
          <w:p w14:paraId="08987DB2"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5.6</w:t>
            </w:r>
          </w:p>
        </w:tc>
        <w:tc>
          <w:tcPr>
            <w:tcW w:w="2562" w:type="dxa"/>
          </w:tcPr>
          <w:p w14:paraId="5D1AC970"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200ppm TC (pH NR)</w:t>
            </w:r>
          </w:p>
        </w:tc>
        <w:tc>
          <w:tcPr>
            <w:tcW w:w="1162" w:type="dxa"/>
          </w:tcPr>
          <w:p w14:paraId="67AEBB3B"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5.0</w:t>
            </w:r>
          </w:p>
        </w:tc>
        <w:tc>
          <w:tcPr>
            <w:tcW w:w="1229" w:type="dxa"/>
          </w:tcPr>
          <w:p w14:paraId="3551B5B4"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0.5</w:t>
            </w:r>
          </w:p>
        </w:tc>
        <w:tc>
          <w:tcPr>
            <w:tcW w:w="2851" w:type="dxa"/>
          </w:tcPr>
          <w:p w14:paraId="1AB48A1E" w14:textId="77777777" w:rsidR="00285EF0" w:rsidRPr="00BE211F"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noProof/>
                <w:color w:val="000000" w:themeColor="text1"/>
                <w:sz w:val="18"/>
                <w:szCs w:val="18"/>
              </w:rPr>
            </w:pPr>
            <w:r w:rsidRPr="00BE211F">
              <w:rPr>
                <w:rFonts w:cs="Arial"/>
                <w:color w:val="000000" w:themeColor="text1"/>
                <w:sz w:val="18"/>
                <w:szCs w:val="18"/>
              </w:rPr>
              <w:fldChar w:fldCharType="begin"/>
            </w:r>
            <w:r w:rsidRPr="00BE211F">
              <w:rPr>
                <w:rFonts w:cs="Arial"/>
                <w:color w:val="000000" w:themeColor="text1"/>
                <w:sz w:val="18"/>
                <w:szCs w:val="18"/>
              </w:rPr>
              <w:instrText>ADDIN CITAVI.PLACEHOLDER 7f3a3e39-1821-49d1-a6e9-05360c3e4f48 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VcGFkaHlheSBldCBhbC48L1RleHQ+DQogICAgPC9UZXh0VW5pdD4NCiAgPC9UZXh0VW5pdHM+DQo8L1BsYWNlaG9sZGVyPg==</w:instrText>
            </w:r>
            <w:r w:rsidRPr="00BE211F">
              <w:rPr>
                <w:rFonts w:cs="Arial"/>
                <w:color w:val="000000" w:themeColor="text1"/>
                <w:sz w:val="18"/>
                <w:szCs w:val="18"/>
              </w:rPr>
              <w:fldChar w:fldCharType="separate"/>
            </w:r>
            <w:bookmarkStart w:id="1334" w:name="_CTVP0017f3a3e39182149d1a6e905360c3e4f48"/>
            <w:r w:rsidRPr="00BE211F">
              <w:rPr>
                <w:rFonts w:cs="Arial"/>
                <w:color w:val="000000" w:themeColor="text1"/>
                <w:sz w:val="18"/>
                <w:szCs w:val="18"/>
              </w:rPr>
              <w:t>Upadhyay et al.</w:t>
            </w:r>
            <w:bookmarkEnd w:id="1334"/>
            <w:r w:rsidRPr="00BE211F">
              <w:rPr>
                <w:rFonts w:cs="Arial"/>
                <w:color w:val="000000" w:themeColor="text1"/>
                <w:sz w:val="18"/>
                <w:szCs w:val="18"/>
              </w:rPr>
              <w:fldChar w:fldCharType="end"/>
            </w:r>
            <w:r w:rsidRPr="00BE211F">
              <w:rPr>
                <w:rFonts w:cs="Arial"/>
                <w:color w:val="000000" w:themeColor="text1"/>
                <w:sz w:val="18"/>
                <w:szCs w:val="18"/>
              </w:rPr>
              <w:t xml:space="preserve"> </w:t>
            </w:r>
            <w:r w:rsidRPr="00BE211F">
              <w:rPr>
                <w:rFonts w:cs="Arial"/>
                <w:color w:val="000000" w:themeColor="text1"/>
                <w:sz w:val="18"/>
                <w:szCs w:val="18"/>
              </w:rPr>
              <w:fldChar w:fldCharType="begin"/>
            </w:r>
            <w:r w:rsidRPr="00BE211F">
              <w:rPr>
                <w:rFonts w:cs="Arial"/>
                <w:color w:val="000000" w:themeColor="text1"/>
                <w:sz w:val="18"/>
                <w:szCs w:val="18"/>
              </w:rPr>
              <w:instrText>ADDIN CITAVI.PLACEHOLDER 29b910b4-3493-4f80-a6ed-2546f399111a PFBsYWNlaG9sZGVyPg0KICA8QWRkSW5WZXJzaW9uPjUuNS4wLjE8L0FkZEluVmVyc2lvbj4NCiAgPElkPjI5YjkxMGI0LTM0OTMtNGY4MC1hNmVkLTI1NDZmMzk5MTExYTwvSWQ+DQogIDxBc3NvY2lhdGVXaXRoUGxhY2Vob2xkZXJJZD45MDBjMTE0Mi02MDE0LTRiOTQtYTI2Yi0yNjQzZjgwMGJlNjI8L0Fzc29jaWF0ZVdpdGhQbGFjZWhvbGRlcklkPg0KICA8RW50cmllcz4NCiAgICA8RW50cnk+DQogICAgICA8SWQ+YjVkYzRjZjctNzI3OC00MDNiLThkMDYtZjczMzk2YzA2MGI3PC9JZD4NCiAgICAgIDxSZWZlcmVuY2VJZD42MmVhYzhhYi05ZGMzLTQ5ZjMtYTM4Yi03ZTkwNDE3YWI0ND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YpPC9UZXh0Pg0KICAgIDwvVGV4dFVuaXQ+DQogIDwvVGV4dFVuaXRzPg0KPC9QbGFjZWhvbGRlcj4=</w:instrText>
            </w:r>
            <w:r w:rsidRPr="00BE211F">
              <w:rPr>
                <w:rFonts w:cs="Arial"/>
                <w:color w:val="000000" w:themeColor="text1"/>
                <w:sz w:val="18"/>
                <w:szCs w:val="18"/>
              </w:rPr>
              <w:fldChar w:fldCharType="separate"/>
            </w:r>
            <w:bookmarkStart w:id="1335" w:name="_CTVP00129b910b434934f80a6ed2546f399111a"/>
            <w:r w:rsidRPr="00BE211F">
              <w:rPr>
                <w:rFonts w:cs="Arial"/>
                <w:color w:val="000000" w:themeColor="text1"/>
                <w:sz w:val="18"/>
                <w:szCs w:val="18"/>
              </w:rPr>
              <w:t>(2016)</w:t>
            </w:r>
            <w:bookmarkEnd w:id="1335"/>
            <w:r w:rsidRPr="00BE211F">
              <w:rPr>
                <w:rFonts w:cs="Arial"/>
                <w:color w:val="000000" w:themeColor="text1"/>
                <w:sz w:val="18"/>
                <w:szCs w:val="18"/>
              </w:rPr>
              <w:fldChar w:fldCharType="end"/>
            </w:r>
          </w:p>
        </w:tc>
      </w:tr>
      <w:tr w:rsidR="00285EF0" w:rsidRPr="00BE211F" w14:paraId="3D5C2848"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36EFA6F6" w14:textId="77777777" w:rsidR="00285EF0" w:rsidRPr="00BE211F" w:rsidRDefault="00285EF0" w:rsidP="00285EF0">
            <w:pPr>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22E4ED62"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i/>
                <w:color w:val="000000" w:themeColor="text1"/>
                <w:sz w:val="18"/>
                <w:szCs w:val="18"/>
              </w:rPr>
              <w:t>S</w:t>
            </w:r>
            <w:r w:rsidRPr="00BE211F">
              <w:rPr>
                <w:rFonts w:cs="Arial"/>
                <w:color w:val="000000" w:themeColor="text1"/>
                <w:sz w:val="18"/>
                <w:szCs w:val="18"/>
              </w:rPr>
              <w:t>. Typhimurium</w:t>
            </w:r>
          </w:p>
        </w:tc>
        <w:tc>
          <w:tcPr>
            <w:tcW w:w="1309" w:type="dxa"/>
          </w:tcPr>
          <w:p w14:paraId="43737D0D"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ON</w:t>
            </w:r>
          </w:p>
        </w:tc>
        <w:tc>
          <w:tcPr>
            <w:tcW w:w="1165" w:type="dxa"/>
          </w:tcPr>
          <w:p w14:paraId="40913B42"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6.6</w:t>
            </w:r>
          </w:p>
        </w:tc>
        <w:tc>
          <w:tcPr>
            <w:tcW w:w="2562" w:type="dxa"/>
          </w:tcPr>
          <w:p w14:paraId="1E9B1D28"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200ppm FC (pH NR)</w:t>
            </w:r>
          </w:p>
        </w:tc>
        <w:tc>
          <w:tcPr>
            <w:tcW w:w="1162" w:type="dxa"/>
          </w:tcPr>
          <w:p w14:paraId="3FBA5AA1"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5.0</w:t>
            </w:r>
          </w:p>
        </w:tc>
        <w:tc>
          <w:tcPr>
            <w:tcW w:w="1229" w:type="dxa"/>
          </w:tcPr>
          <w:p w14:paraId="6B3396D2"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3.8</w:t>
            </w:r>
          </w:p>
        </w:tc>
        <w:tc>
          <w:tcPr>
            <w:tcW w:w="2851" w:type="dxa"/>
          </w:tcPr>
          <w:p w14:paraId="352DE94E" w14:textId="77777777" w:rsidR="00285EF0" w:rsidRPr="00BE211F"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fldChar w:fldCharType="begin"/>
            </w:r>
            <w:r w:rsidRPr="00BE211F">
              <w:rPr>
                <w:rFonts w:cs="Arial"/>
                <w:color w:val="000000" w:themeColor="text1"/>
                <w:sz w:val="18"/>
                <w:szCs w:val="18"/>
              </w:rPr>
              <w:instrText>ADDIN CITAVI.PLACEHOLDER e82b1b1b-9d28-45e5-b574-8afe9cb43da7 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pbmdoIGV0IGFsLjwvVGV4dD4NCiAgICA8L1RleHRVbml0Pg0KICA8L1RleHRVbml0cz4NCjwvUGxhY2Vob2xkZXI+</w:instrText>
            </w:r>
            <w:r w:rsidRPr="00BE211F">
              <w:rPr>
                <w:rFonts w:cs="Arial"/>
                <w:color w:val="000000" w:themeColor="text1"/>
                <w:sz w:val="18"/>
                <w:szCs w:val="18"/>
              </w:rPr>
              <w:fldChar w:fldCharType="separate"/>
            </w:r>
            <w:bookmarkStart w:id="1336" w:name="_CTVP001e82b1b1b9d2845e5b5748afe9cb43da7"/>
            <w:r w:rsidRPr="00BE211F">
              <w:rPr>
                <w:rFonts w:cs="Arial"/>
                <w:color w:val="000000" w:themeColor="text1"/>
                <w:sz w:val="18"/>
                <w:szCs w:val="18"/>
              </w:rPr>
              <w:t>Singh et al.</w:t>
            </w:r>
            <w:bookmarkEnd w:id="1336"/>
            <w:r w:rsidRPr="00BE211F">
              <w:rPr>
                <w:rFonts w:cs="Arial"/>
                <w:color w:val="000000" w:themeColor="text1"/>
                <w:sz w:val="18"/>
                <w:szCs w:val="18"/>
              </w:rPr>
              <w:fldChar w:fldCharType="end"/>
            </w:r>
            <w:r w:rsidRPr="00BE211F">
              <w:rPr>
                <w:rFonts w:cs="Arial"/>
                <w:color w:val="000000" w:themeColor="text1"/>
                <w:sz w:val="18"/>
                <w:szCs w:val="18"/>
              </w:rPr>
              <w:t xml:space="preserve"> </w:t>
            </w:r>
            <w:r w:rsidRPr="00BE211F">
              <w:rPr>
                <w:rFonts w:cs="Arial"/>
                <w:color w:val="000000" w:themeColor="text1"/>
                <w:sz w:val="18"/>
                <w:szCs w:val="18"/>
              </w:rPr>
              <w:fldChar w:fldCharType="begin"/>
            </w:r>
            <w:r w:rsidRPr="00BE211F">
              <w:rPr>
                <w:rFonts w:cs="Arial"/>
                <w:color w:val="000000" w:themeColor="text1"/>
                <w:sz w:val="18"/>
                <w:szCs w:val="18"/>
              </w:rPr>
              <w:instrText>ADDIN CITAVI.PLACEHOLDER 5a09a74e-5333-4286-a8d3-d5cd628c8f0d PFBsYWNlaG9sZGVyPg0KICA8QWRkSW5WZXJzaW9uPjUuNS4wLjE8L0FkZEluVmVyc2lvbj4NCiAgPElkPjVhMDlhNzRlLTUzMzMtNDI4Ni1hOGQzLWQ1Y2Q2MjhjOGYwZDwvSWQ+DQogIDxBc3NvY2lhdGVXaXRoUGxhY2Vob2xkZXJJZD44NDYwNzA5My0wZGU5LTQ1YWYtYWM4ZC1kYjY4ZjJjMzY1MDc8L0Fzc29jaWF0ZVdpdGhQbGFjZWhvbGRlcklkPg0KICA8RW50cmllcz4NCiAgICA8RW50cnk+DQogICAgICA8SWQ+OWU4NDRkYTctMmQ2ZS00NGUzLTlkNTUtMjQ3ZThkNDIwOWNmPC9JZD4NCiAgICAgIDxSZWZlcmVuY2VJZD4zZTAwY2RiOC1mZTc5LTQ2NGYtOTRlMy1kYzkwNWM1OWMzMmM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hiKTwvVGV4dD4NCiAgICA8L1RleHRVbml0Pg0KICA8L1RleHRVbml0cz4NCjwvUGxhY2Vob2xkZXI+</w:instrText>
            </w:r>
            <w:r w:rsidRPr="00BE211F">
              <w:rPr>
                <w:rFonts w:cs="Arial"/>
                <w:color w:val="000000" w:themeColor="text1"/>
                <w:sz w:val="18"/>
                <w:szCs w:val="18"/>
              </w:rPr>
              <w:fldChar w:fldCharType="separate"/>
            </w:r>
            <w:bookmarkStart w:id="1337" w:name="_CTVP0015a09a74e53334286a8d3d5cd628c8f0d"/>
            <w:r w:rsidRPr="00BE211F">
              <w:rPr>
                <w:rFonts w:cs="Arial"/>
                <w:color w:val="000000" w:themeColor="text1"/>
                <w:sz w:val="18"/>
                <w:szCs w:val="18"/>
              </w:rPr>
              <w:t>(2018b)</w:t>
            </w:r>
            <w:bookmarkEnd w:id="1337"/>
            <w:r w:rsidRPr="00BE211F">
              <w:rPr>
                <w:rFonts w:cs="Arial"/>
                <w:color w:val="000000" w:themeColor="text1"/>
                <w:sz w:val="18"/>
                <w:szCs w:val="18"/>
              </w:rPr>
              <w:fldChar w:fldCharType="end"/>
            </w:r>
          </w:p>
        </w:tc>
      </w:tr>
      <w:tr w:rsidR="00285EF0" w:rsidRPr="00BE211F" w14:paraId="6AD599E9"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13822EEC" w14:textId="77777777" w:rsidR="00285EF0" w:rsidRPr="00BE211F" w:rsidRDefault="00285EF0" w:rsidP="00285EF0">
            <w:pPr>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044EC245"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i/>
                <w:color w:val="000000" w:themeColor="text1"/>
                <w:sz w:val="18"/>
                <w:szCs w:val="18"/>
              </w:rPr>
              <w:t>S</w:t>
            </w:r>
            <w:r w:rsidRPr="00BE211F">
              <w:rPr>
                <w:rFonts w:cs="Arial"/>
                <w:color w:val="000000" w:themeColor="text1"/>
                <w:sz w:val="18"/>
                <w:szCs w:val="18"/>
              </w:rPr>
              <w:t>. Typhimurium</w:t>
            </w:r>
          </w:p>
        </w:tc>
        <w:tc>
          <w:tcPr>
            <w:tcW w:w="1309" w:type="dxa"/>
          </w:tcPr>
          <w:p w14:paraId="5C7F7CD3"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1.5h</w:t>
            </w:r>
          </w:p>
        </w:tc>
        <w:tc>
          <w:tcPr>
            <w:tcW w:w="1165" w:type="dxa"/>
          </w:tcPr>
          <w:p w14:paraId="21E4877E"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6.0</w:t>
            </w:r>
          </w:p>
        </w:tc>
        <w:tc>
          <w:tcPr>
            <w:tcW w:w="2562" w:type="dxa"/>
          </w:tcPr>
          <w:p w14:paraId="572EA245"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200ppm TC (pH 7.2) (soaking alone)</w:t>
            </w:r>
          </w:p>
        </w:tc>
        <w:tc>
          <w:tcPr>
            <w:tcW w:w="1162" w:type="dxa"/>
          </w:tcPr>
          <w:p w14:paraId="3314256E"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1.0</w:t>
            </w:r>
          </w:p>
        </w:tc>
        <w:tc>
          <w:tcPr>
            <w:tcW w:w="1229" w:type="dxa"/>
          </w:tcPr>
          <w:p w14:paraId="26ECCA2C"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1.8</w:t>
            </w:r>
          </w:p>
        </w:tc>
        <w:tc>
          <w:tcPr>
            <w:tcW w:w="2851" w:type="dxa"/>
          </w:tcPr>
          <w:p w14:paraId="6514D253" w14:textId="77777777" w:rsidR="00285EF0" w:rsidRPr="00BE211F"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fldChar w:fldCharType="begin"/>
            </w:r>
            <w:r w:rsidRPr="00BE211F">
              <w:rPr>
                <w:rFonts w:cs="Arial"/>
                <w:color w:val="000000" w:themeColor="text1"/>
                <w:sz w:val="18"/>
                <w:szCs w:val="18"/>
              </w:rPr>
              <w:instrText>ADDIN CITAVI.PLACEHOLDER 6ed834b9-6668-457c-9d13-b50f45e7c3a7 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GFybmVsbCBldCBhbC48L1RleHQ+DQogICAgPC9UZXh0VW5pdD4NCiAgPC9UZXh0VW5pdHM+DQo8L1BsYWNlaG9sZGVyPg==</w:instrText>
            </w:r>
            <w:r w:rsidRPr="00BE211F">
              <w:rPr>
                <w:rFonts w:cs="Arial"/>
                <w:color w:val="000000" w:themeColor="text1"/>
                <w:sz w:val="18"/>
                <w:szCs w:val="18"/>
              </w:rPr>
              <w:fldChar w:fldCharType="separate"/>
            </w:r>
            <w:bookmarkStart w:id="1338" w:name="_CTVP0016ed834b96668457c9d13b50f45e7c3a7"/>
            <w:r w:rsidRPr="00BE211F">
              <w:rPr>
                <w:rFonts w:cs="Arial"/>
                <w:color w:val="000000" w:themeColor="text1"/>
                <w:sz w:val="18"/>
                <w:szCs w:val="18"/>
              </w:rPr>
              <w:t>Parnell et al.</w:t>
            </w:r>
            <w:bookmarkEnd w:id="1338"/>
            <w:r w:rsidRPr="00BE211F">
              <w:rPr>
                <w:rFonts w:cs="Arial"/>
                <w:color w:val="000000" w:themeColor="text1"/>
                <w:sz w:val="18"/>
                <w:szCs w:val="18"/>
              </w:rPr>
              <w:fldChar w:fldCharType="end"/>
            </w:r>
            <w:r w:rsidRPr="00BE211F">
              <w:rPr>
                <w:rFonts w:cs="Arial"/>
                <w:color w:val="000000" w:themeColor="text1"/>
                <w:sz w:val="18"/>
                <w:szCs w:val="18"/>
              </w:rPr>
              <w:t xml:space="preserve"> </w:t>
            </w:r>
            <w:r w:rsidRPr="00BE211F">
              <w:rPr>
                <w:rFonts w:cs="Arial"/>
                <w:color w:val="000000" w:themeColor="text1"/>
                <w:sz w:val="18"/>
                <w:szCs w:val="18"/>
              </w:rPr>
              <w:fldChar w:fldCharType="begin"/>
            </w:r>
            <w:r w:rsidRPr="00BE211F">
              <w:rPr>
                <w:rFonts w:cs="Arial"/>
                <w:color w:val="000000" w:themeColor="text1"/>
                <w:sz w:val="18"/>
                <w:szCs w:val="18"/>
              </w:rPr>
              <w:instrText>ADDIN CITAVI.PLACEHOLDER 7a3bb143-73d1-4fff-8ae8-e952480ccae1 PFBsYWNlaG9sZGVyPg0KICA8QWRkSW5WZXJzaW9uPjUuNS4wLjE8L0FkZEluVmVyc2lvbj4NCiAgPElkPjdhM2JiMTQzLTczZDEtNGZmZi04YWU4LWU5NTI0ODBjY2FlMTwvSWQ+DQogIDxBc3NvY2lhdGVXaXRoUGxhY2Vob2xkZXJJZD42ZWQ4MzRiOS02NjY4LTQ1N2MtOWQxMy1iNTBmNDVlN2MzYTc8L0Fzc29jaWF0ZVdpdGhQbGFjZWhvbGRlcklkPg0KICA8RW50cmllcz4NCiAgICA8RW50cnk+DQogICAgICA8SWQ+NzA0Mjc2NjgtNDUxZi00ZTU1LTg4NWQtYmJiNGViNGM0ZjI5PC9JZD4NCiAgICAgIDxSZWZlcmVuY2VJZD5kMWM1ZmE5ZS1lMmYyLTRlMDQtOGI5Zi1jZTZiMGUyYmVmNjI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NSk8L1RleHQ+DQogICAgPC9UZXh0VW5pdD4NCiAgPC9UZXh0VW5pdHM+DQo8L1BsYWNlaG9sZGVyPg==</w:instrText>
            </w:r>
            <w:r w:rsidRPr="00BE211F">
              <w:rPr>
                <w:rFonts w:cs="Arial"/>
                <w:color w:val="000000" w:themeColor="text1"/>
                <w:sz w:val="18"/>
                <w:szCs w:val="18"/>
              </w:rPr>
              <w:fldChar w:fldCharType="separate"/>
            </w:r>
            <w:bookmarkStart w:id="1339" w:name="_CTVP0017a3bb14373d14fff8ae8e952480ccae1"/>
            <w:r w:rsidRPr="00BE211F">
              <w:rPr>
                <w:rFonts w:cs="Arial"/>
                <w:color w:val="000000" w:themeColor="text1"/>
                <w:sz w:val="18"/>
                <w:szCs w:val="18"/>
              </w:rPr>
              <w:t>(2005)</w:t>
            </w:r>
            <w:bookmarkEnd w:id="1339"/>
            <w:r w:rsidRPr="00BE211F">
              <w:rPr>
                <w:rFonts w:cs="Arial"/>
                <w:color w:val="000000" w:themeColor="text1"/>
                <w:sz w:val="18"/>
                <w:szCs w:val="18"/>
              </w:rPr>
              <w:fldChar w:fldCharType="end"/>
            </w:r>
          </w:p>
        </w:tc>
      </w:tr>
      <w:tr w:rsidR="00285EF0" w:rsidRPr="00BE211F" w14:paraId="6C942E2D"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1F7E5EBB" w14:textId="77777777" w:rsidR="00285EF0" w:rsidRPr="00BE211F" w:rsidRDefault="00285EF0" w:rsidP="00285EF0">
            <w:pPr>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4E04F2BE"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i/>
                <w:color w:val="000000" w:themeColor="text1"/>
                <w:sz w:val="18"/>
                <w:szCs w:val="18"/>
              </w:rPr>
              <w:t>S</w:t>
            </w:r>
            <w:r w:rsidRPr="00BE211F">
              <w:rPr>
                <w:rFonts w:cs="Arial"/>
                <w:color w:val="000000" w:themeColor="text1"/>
                <w:sz w:val="18"/>
                <w:szCs w:val="18"/>
              </w:rPr>
              <w:t>. Typhimurium</w:t>
            </w:r>
          </w:p>
        </w:tc>
        <w:tc>
          <w:tcPr>
            <w:tcW w:w="1309" w:type="dxa"/>
          </w:tcPr>
          <w:p w14:paraId="2EE12F74"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1.5h</w:t>
            </w:r>
          </w:p>
        </w:tc>
        <w:tc>
          <w:tcPr>
            <w:tcW w:w="1165" w:type="dxa"/>
          </w:tcPr>
          <w:p w14:paraId="0FE6331C"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6.0</w:t>
            </w:r>
          </w:p>
        </w:tc>
        <w:tc>
          <w:tcPr>
            <w:tcW w:w="2562" w:type="dxa"/>
          </w:tcPr>
          <w:p w14:paraId="0D4374F8"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200ppm TC (pH 7.2) (with scrubbing)</w:t>
            </w:r>
          </w:p>
        </w:tc>
        <w:tc>
          <w:tcPr>
            <w:tcW w:w="1162" w:type="dxa"/>
          </w:tcPr>
          <w:p w14:paraId="6FEAFF9E"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1.0</w:t>
            </w:r>
          </w:p>
        </w:tc>
        <w:tc>
          <w:tcPr>
            <w:tcW w:w="1229" w:type="dxa"/>
          </w:tcPr>
          <w:p w14:paraId="255D5313"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2.8</w:t>
            </w:r>
          </w:p>
        </w:tc>
        <w:tc>
          <w:tcPr>
            <w:tcW w:w="2851" w:type="dxa"/>
          </w:tcPr>
          <w:p w14:paraId="0848D15A" w14:textId="77777777" w:rsidR="00285EF0" w:rsidRPr="00BE211F"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lang w:val="en-AU"/>
              </w:rPr>
              <w:fldChar w:fldCharType="begin"/>
            </w:r>
            <w:r w:rsidRPr="00BE211F">
              <w:rPr>
                <w:rFonts w:cs="Arial"/>
                <w:color w:val="000000" w:themeColor="text1"/>
                <w:sz w:val="18"/>
                <w:szCs w:val="18"/>
                <w:lang w:val="en-AU"/>
              </w:rPr>
              <w:instrText>ADDIN CITAVI.PLACEHOLDER c37c6c9d-60e4-4819-ac07-72f3d9571960 PFBsYWNlaG9sZGVyPg0KICA8QWRkSW5WZXJzaW9uPjUuNS4wLjE8L0FkZEluVmVyc2lvbj4NCiAgPElkPmMzN2M2YzlkLTYwZTQtNDgxOS1hYzA3LTcyZjNkOTU3MTk2MDwvSWQ+DQogIDxFbnRyaWVzPg0KICAgIDxFbnRyeT4NCiAgICAgIDxJZD43YzY4NjViNy1kNjM1LTQzODgtYWJjMC00ZjczODk3MDhlMzU8L0lkPg0KICAgICAgPFJlZmVyZW5jZUlkPmQxYzVmYTllLWUyZjItNGUwNC04YjlmLWNlNmIwZTJiZWY2Mj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GFybmVsbCBldCBhbC4gMjAwNSk8L1RleHQ+DQogICAgPC9UZXh0VW5pdD4NCiAgPC9UZXh0VW5pdHM+DQo8L1BsYWNlaG9sZGVyPg==</w:instrText>
            </w:r>
            <w:r w:rsidRPr="00BE211F">
              <w:rPr>
                <w:rFonts w:cs="Arial"/>
                <w:color w:val="000000" w:themeColor="text1"/>
                <w:sz w:val="18"/>
                <w:szCs w:val="18"/>
                <w:lang w:val="en-AU"/>
              </w:rPr>
              <w:fldChar w:fldCharType="separate"/>
            </w:r>
            <w:bookmarkStart w:id="1340" w:name="_CTVP001c37c6c9d60e44819ac0772f3d9571960"/>
            <w:r w:rsidRPr="00BE211F">
              <w:rPr>
                <w:rFonts w:cs="Arial"/>
                <w:color w:val="000000" w:themeColor="text1"/>
                <w:sz w:val="18"/>
                <w:szCs w:val="18"/>
                <w:lang w:val="en-AU"/>
              </w:rPr>
              <w:t>(Parnell et al. 2005)</w:t>
            </w:r>
            <w:bookmarkEnd w:id="1340"/>
            <w:r w:rsidRPr="00BE211F">
              <w:rPr>
                <w:rFonts w:cs="Arial"/>
                <w:color w:val="000000" w:themeColor="text1"/>
                <w:sz w:val="18"/>
                <w:szCs w:val="18"/>
                <w:lang w:val="en-AU"/>
              </w:rPr>
              <w:fldChar w:fldCharType="end"/>
            </w:r>
          </w:p>
        </w:tc>
      </w:tr>
      <w:tr w:rsidR="00285EF0" w:rsidRPr="00BE211F" w14:paraId="289CB014"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0BBC754E" w14:textId="77777777" w:rsidR="00285EF0" w:rsidRPr="00BE211F" w:rsidRDefault="00285EF0" w:rsidP="00285EF0">
            <w:pPr>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57ECD5AD"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i/>
                <w:color w:val="000000" w:themeColor="text1"/>
                <w:sz w:val="18"/>
                <w:szCs w:val="18"/>
                <w:lang w:val="en-AU"/>
              </w:rPr>
              <w:t xml:space="preserve">S. </w:t>
            </w:r>
            <w:r w:rsidRPr="00BE211F">
              <w:rPr>
                <w:rFonts w:cs="Arial"/>
                <w:color w:val="000000" w:themeColor="text1"/>
                <w:sz w:val="18"/>
                <w:szCs w:val="18"/>
                <w:lang w:val="en-AU"/>
              </w:rPr>
              <w:t>Stanley</w:t>
            </w:r>
          </w:p>
        </w:tc>
        <w:tc>
          <w:tcPr>
            <w:tcW w:w="1309" w:type="dxa"/>
          </w:tcPr>
          <w:p w14:paraId="33CE2B5C"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1h</w:t>
            </w:r>
          </w:p>
        </w:tc>
        <w:tc>
          <w:tcPr>
            <w:tcW w:w="1165" w:type="dxa"/>
          </w:tcPr>
          <w:p w14:paraId="07623647"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3.8</w:t>
            </w:r>
          </w:p>
        </w:tc>
        <w:tc>
          <w:tcPr>
            <w:tcW w:w="2562" w:type="dxa"/>
          </w:tcPr>
          <w:p w14:paraId="5DC8EAB4"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1000ppm FC (pH 7.2)</w:t>
            </w:r>
          </w:p>
        </w:tc>
        <w:tc>
          <w:tcPr>
            <w:tcW w:w="1162" w:type="dxa"/>
          </w:tcPr>
          <w:p w14:paraId="7FE0DBF8"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5</w:t>
            </w:r>
          </w:p>
        </w:tc>
        <w:tc>
          <w:tcPr>
            <w:tcW w:w="1229" w:type="dxa"/>
          </w:tcPr>
          <w:p w14:paraId="7063BE77"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3.0</w:t>
            </w:r>
          </w:p>
        </w:tc>
        <w:tc>
          <w:tcPr>
            <w:tcW w:w="2851" w:type="dxa"/>
          </w:tcPr>
          <w:p w14:paraId="3D8EC15C" w14:textId="77777777" w:rsidR="00285EF0" w:rsidRPr="00BE211F"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lang w:val="en-AU"/>
              </w:rPr>
              <w:fldChar w:fldCharType="begin"/>
            </w:r>
            <w:r w:rsidRPr="00BE211F">
              <w:rPr>
                <w:rFonts w:cs="Arial"/>
                <w:color w:val="000000" w:themeColor="text1"/>
                <w:sz w:val="18"/>
                <w:szCs w:val="18"/>
                <w:lang w:val="en-AU"/>
              </w:rPr>
              <w:instrText>ADDIN CITAVI.PLACEHOLDER 665cc81a-62ec-4602-a9b7-6ff644329cce 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VrdWt1IGFuZCBTYXBlcnM8L1RleHQ+DQogICAgPC9UZXh0VW5pdD4NCiAgPC9UZXh0VW5pdHM+DQo8L1BsYWNlaG9sZGVyPg==</w:instrText>
            </w:r>
            <w:r w:rsidRPr="00BE211F">
              <w:rPr>
                <w:rFonts w:cs="Arial"/>
                <w:color w:val="000000" w:themeColor="text1"/>
                <w:sz w:val="18"/>
                <w:szCs w:val="18"/>
                <w:lang w:val="en-AU"/>
              </w:rPr>
              <w:fldChar w:fldCharType="separate"/>
            </w:r>
            <w:bookmarkStart w:id="1341" w:name="_CTVP001665cc81a62ec4602a9b76ff644329cce"/>
            <w:r w:rsidRPr="00BE211F">
              <w:rPr>
                <w:rFonts w:cs="Arial"/>
                <w:color w:val="000000" w:themeColor="text1"/>
                <w:sz w:val="18"/>
                <w:szCs w:val="18"/>
                <w:lang w:val="en-AU"/>
              </w:rPr>
              <w:t>Ukuku and Sapers</w:t>
            </w:r>
            <w:bookmarkEnd w:id="1341"/>
            <w:r w:rsidRPr="00BE211F">
              <w:rPr>
                <w:rFonts w:cs="Arial"/>
                <w:color w:val="000000" w:themeColor="text1"/>
                <w:sz w:val="18"/>
                <w:szCs w:val="18"/>
                <w:lang w:val="en-AU"/>
              </w:rPr>
              <w:fldChar w:fldCharType="end"/>
            </w:r>
            <w:r w:rsidRPr="00BE211F">
              <w:rPr>
                <w:rFonts w:cs="Arial"/>
                <w:color w:val="000000" w:themeColor="text1"/>
                <w:sz w:val="18"/>
                <w:szCs w:val="18"/>
                <w:lang w:val="en-AU"/>
              </w:rPr>
              <w:t xml:space="preserve"> </w:t>
            </w:r>
            <w:r w:rsidRPr="00BE211F">
              <w:rPr>
                <w:rFonts w:cs="Arial"/>
                <w:color w:val="000000" w:themeColor="text1"/>
                <w:sz w:val="18"/>
                <w:szCs w:val="18"/>
                <w:lang w:val="en-AU"/>
              </w:rPr>
              <w:fldChar w:fldCharType="begin"/>
            </w:r>
            <w:r w:rsidRPr="00BE211F">
              <w:rPr>
                <w:rFonts w:cs="Arial"/>
                <w:color w:val="000000" w:themeColor="text1"/>
                <w:sz w:val="18"/>
                <w:szCs w:val="18"/>
                <w:lang w:val="en-AU"/>
              </w:rPr>
              <w:instrText>ADDIN CITAVI.PLACEHOLDER 23687fa2-49ad-45f4-b214-81d6228c637a PFBsYWNlaG9sZGVyPg0KICA8QWRkSW5WZXJzaW9uPjUuNS4wLjE8L0FkZEluVmVyc2lvbj4NCiAgPElkPjIzNjg3ZmEyLTQ5YWQtNDVmNC1iMjE0LTgxZDYyMjhjNjM3YTwvSWQ+DQogIDxBc3NvY2lhdGVXaXRoUGxhY2Vob2xkZXJJZD42NjVjYzgxYS02MmVjLTQ2MDItYTliNy02ZmY2NDQzMjljY2U8L0Fzc29jaWF0ZVdpdGhQbGFjZWhvbGRlcklkPg0KICA8RW50cmllcz4NCiAgICA8RW50cnk+DQogICAgICA8SWQ+ZWU0YThjNDYtNDMyMy00ZWE5LWJkYmYtZGRkZjZiMWVjYzJhPC9JZD4NCiAgICAgIDxSZWZlcmVuY2VJZD5iMGJiMGEyNC1mZmJhLTQ3MzUtYmFjZi1kY2FiNWNkMWRkNzI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AxKTwvVGV4dD4NCiAgICA8L1RleHRVbml0Pg0KICA8L1RleHRVbml0cz4NCjwvUGxhY2Vob2xkZXI+</w:instrText>
            </w:r>
            <w:r w:rsidRPr="00BE211F">
              <w:rPr>
                <w:rFonts w:cs="Arial"/>
                <w:color w:val="000000" w:themeColor="text1"/>
                <w:sz w:val="18"/>
                <w:szCs w:val="18"/>
                <w:lang w:val="en-AU"/>
              </w:rPr>
              <w:fldChar w:fldCharType="separate"/>
            </w:r>
            <w:bookmarkStart w:id="1342" w:name="_CTVP00123687fa249ad45f4b21481d6228c637a"/>
            <w:r w:rsidRPr="00BE211F">
              <w:rPr>
                <w:rFonts w:cs="Arial"/>
                <w:color w:val="000000" w:themeColor="text1"/>
                <w:sz w:val="18"/>
                <w:szCs w:val="18"/>
                <w:lang w:val="en-AU"/>
              </w:rPr>
              <w:t>(2001)</w:t>
            </w:r>
            <w:bookmarkEnd w:id="1342"/>
            <w:r w:rsidRPr="00BE211F">
              <w:rPr>
                <w:rFonts w:cs="Arial"/>
                <w:color w:val="000000" w:themeColor="text1"/>
                <w:sz w:val="18"/>
                <w:szCs w:val="18"/>
                <w:lang w:val="en-AU"/>
              </w:rPr>
              <w:fldChar w:fldCharType="end"/>
            </w:r>
            <w:r w:rsidRPr="00BE211F">
              <w:rPr>
                <w:rFonts w:cs="Arial"/>
                <w:color w:val="000000" w:themeColor="text1"/>
                <w:sz w:val="18"/>
                <w:szCs w:val="18"/>
                <w:lang w:val="en-AU"/>
              </w:rPr>
              <w:t xml:space="preserve"> </w:t>
            </w:r>
          </w:p>
        </w:tc>
      </w:tr>
      <w:tr w:rsidR="00285EF0" w:rsidRPr="00BE211F" w14:paraId="337C76B4"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1E1BB7F3" w14:textId="77777777" w:rsidR="00285EF0" w:rsidRPr="00BE211F" w:rsidRDefault="00285EF0" w:rsidP="00285EF0">
            <w:pPr>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286CA019"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AU"/>
              </w:rPr>
            </w:pPr>
            <w:r w:rsidRPr="00BE211F">
              <w:rPr>
                <w:rFonts w:cs="Arial"/>
                <w:color w:val="000000" w:themeColor="text1"/>
                <w:sz w:val="18"/>
                <w:szCs w:val="18"/>
                <w:lang w:val="en-AU"/>
              </w:rPr>
              <w:t xml:space="preserve">4 </w:t>
            </w:r>
            <w:r w:rsidRPr="00BE211F">
              <w:rPr>
                <w:rFonts w:cs="Arial"/>
                <w:i/>
                <w:color w:val="000000" w:themeColor="text1"/>
                <w:sz w:val="18"/>
                <w:szCs w:val="18"/>
                <w:lang w:val="en-AU"/>
              </w:rPr>
              <w:t xml:space="preserve">Salmonella </w:t>
            </w:r>
            <w:r w:rsidRPr="00BE211F">
              <w:rPr>
                <w:rFonts w:cs="Arial"/>
                <w:color w:val="000000" w:themeColor="text1"/>
                <w:sz w:val="18"/>
                <w:szCs w:val="18"/>
                <w:lang w:val="en-AU"/>
              </w:rPr>
              <w:t>serovar cocktail</w:t>
            </w:r>
          </w:p>
        </w:tc>
        <w:tc>
          <w:tcPr>
            <w:tcW w:w="1309" w:type="dxa"/>
          </w:tcPr>
          <w:p w14:paraId="6A46A91C"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1h</w:t>
            </w:r>
          </w:p>
        </w:tc>
        <w:tc>
          <w:tcPr>
            <w:tcW w:w="1165" w:type="dxa"/>
          </w:tcPr>
          <w:p w14:paraId="33D282B2"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6.9</w:t>
            </w:r>
          </w:p>
        </w:tc>
        <w:tc>
          <w:tcPr>
            <w:tcW w:w="2562" w:type="dxa"/>
          </w:tcPr>
          <w:p w14:paraId="2DECB33E"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200ppm FC (pH 6.4)</w:t>
            </w:r>
          </w:p>
        </w:tc>
        <w:tc>
          <w:tcPr>
            <w:tcW w:w="1162" w:type="dxa"/>
          </w:tcPr>
          <w:p w14:paraId="6CA51D6C"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w:t>
            </w:r>
          </w:p>
        </w:tc>
        <w:tc>
          <w:tcPr>
            <w:tcW w:w="1229" w:type="dxa"/>
          </w:tcPr>
          <w:p w14:paraId="1566B884"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2.7</w:t>
            </w:r>
          </w:p>
        </w:tc>
        <w:tc>
          <w:tcPr>
            <w:tcW w:w="2851" w:type="dxa"/>
          </w:tcPr>
          <w:p w14:paraId="20C1523B" w14:textId="77777777" w:rsidR="00285EF0" w:rsidRPr="00BE211F" w:rsidRDefault="00285EF0" w:rsidP="00285EF0">
            <w:pPr>
              <w:pStyle w:val="CitaviBibliography"/>
              <w:jc w:val="right"/>
              <w:cnfStyle w:val="000000000000" w:firstRow="0" w:lastRow="0" w:firstColumn="0" w:lastColumn="0" w:oddVBand="0" w:evenVBand="0" w:oddHBand="0" w:evenHBand="0" w:firstRowFirstColumn="0" w:firstRowLastColumn="0" w:lastRowFirstColumn="0" w:lastRowLastColumn="0"/>
              <w:rPr>
                <w:color w:val="000000" w:themeColor="text1"/>
                <w:sz w:val="18"/>
                <w:lang w:val="en-AU"/>
              </w:rPr>
            </w:pPr>
            <w:r w:rsidRPr="00BE211F">
              <w:rPr>
                <w:color w:val="000000" w:themeColor="text1"/>
                <w:sz w:val="18"/>
                <w:lang w:val="en-AU"/>
              </w:rPr>
              <w:fldChar w:fldCharType="begin"/>
            </w:r>
            <w:r w:rsidRPr="00BE211F">
              <w:rPr>
                <w:color w:val="000000" w:themeColor="text1"/>
                <w:sz w:val="18"/>
                <w:lang w:val="en-AU"/>
              </w:rPr>
              <w:instrText>ADDIN CITAVI.PLACEHOLDER a1dfce21-e290-40db-b922-d2c4fd34bfde 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VWt1a3U8L1RleHQ+DQogICAgPC9UZXh0VW5pdD4NCiAgPC9UZXh0VW5pdHM+DQo8L1BsYWNlaG9sZGVyPg==</w:instrText>
            </w:r>
            <w:r w:rsidRPr="00BE211F">
              <w:rPr>
                <w:color w:val="000000" w:themeColor="text1"/>
                <w:sz w:val="18"/>
                <w:lang w:val="en-AU"/>
              </w:rPr>
              <w:fldChar w:fldCharType="separate"/>
            </w:r>
            <w:bookmarkStart w:id="1343" w:name="_CTVP001a1dfce21e29040dbb922d2c4fd34bfde"/>
            <w:r w:rsidRPr="00BE211F">
              <w:rPr>
                <w:color w:val="000000" w:themeColor="text1"/>
                <w:sz w:val="18"/>
                <w:lang w:val="en-AU"/>
              </w:rPr>
              <w:t>Ukuku</w:t>
            </w:r>
            <w:bookmarkEnd w:id="1343"/>
            <w:r w:rsidRPr="00BE211F">
              <w:rPr>
                <w:color w:val="000000" w:themeColor="text1"/>
                <w:sz w:val="18"/>
                <w:lang w:val="en-AU"/>
              </w:rPr>
              <w:fldChar w:fldCharType="end"/>
            </w:r>
            <w:r w:rsidRPr="00BE211F">
              <w:rPr>
                <w:color w:val="000000" w:themeColor="text1"/>
                <w:sz w:val="18"/>
                <w:lang w:val="en-AU"/>
              </w:rPr>
              <w:t xml:space="preserve"> </w:t>
            </w:r>
            <w:r w:rsidRPr="00BE211F">
              <w:rPr>
                <w:color w:val="000000" w:themeColor="text1"/>
                <w:sz w:val="18"/>
                <w:lang w:val="en-AU"/>
              </w:rPr>
              <w:fldChar w:fldCharType="begin"/>
            </w:r>
            <w:r w:rsidRPr="00BE211F">
              <w:rPr>
                <w:color w:val="000000" w:themeColor="text1"/>
                <w:sz w:val="18"/>
                <w:lang w:val="en-AU"/>
              </w:rPr>
              <w:instrText>ADDIN CITAVI.PLACEHOLDER 7185de68-493d-4259-9221-816e2c208b31 PFBsYWNlaG9sZGVyPg0KICA8QWRkSW5WZXJzaW9uPjUuNS4wLjE8L0FkZEluVmVyc2lvbj4NCiAgPElkPjcxODVkZTY4LTQ5M2QtNDI1OS05MjIxLTgxNmUyYzIwOGIzMTwvSWQ+DQogIDxBc3NvY2lhdGVXaXRoUGxhY2Vob2xkZXJJZD5hMWRmY2UyMS1lMjkwLTQwZGItYjkyMi1kMmM0ZmQzNGJmZGU8L0Fzc29jaWF0ZVdpdGhQbGFjZWhvbGRlcklkPg0KICA8RW50cmllcz4NCiAgICA8RW50cnk+DQogICAgICA8SWQ+MTc1OTljOTAtZjQ3NC00MDRjLTkwOTItMDE1YTk1YWNkMzFhPC9JZD4NCiAgICAgIDxSZWZlcmVuY2VJZD44NWYyMzc4Mi1mY2RjLTQ3NDctOTQ5Mi0yYTg5OTNjMWEwYjk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DYpPC9UZXh0Pg0KICAgIDwvVGV4dFVuaXQ+DQogIDwvVGV4dFVuaXRzPg0KPC9QbGFjZWhvbGRlcj4=</w:instrText>
            </w:r>
            <w:r w:rsidRPr="00BE211F">
              <w:rPr>
                <w:color w:val="000000" w:themeColor="text1"/>
                <w:sz w:val="18"/>
                <w:lang w:val="en-AU"/>
              </w:rPr>
              <w:fldChar w:fldCharType="separate"/>
            </w:r>
            <w:bookmarkStart w:id="1344" w:name="_CTVP0017185de68493d42599221816e2c208b31"/>
            <w:r w:rsidRPr="00BE211F">
              <w:rPr>
                <w:color w:val="000000" w:themeColor="text1"/>
                <w:sz w:val="18"/>
                <w:lang w:val="en-AU"/>
              </w:rPr>
              <w:t>(2006)</w:t>
            </w:r>
            <w:bookmarkEnd w:id="1344"/>
            <w:r w:rsidRPr="00BE211F">
              <w:rPr>
                <w:color w:val="000000" w:themeColor="text1"/>
                <w:sz w:val="18"/>
                <w:lang w:val="en-AU"/>
              </w:rPr>
              <w:fldChar w:fldCharType="end"/>
            </w:r>
          </w:p>
        </w:tc>
      </w:tr>
      <w:tr w:rsidR="00285EF0" w:rsidRPr="00BE211F" w14:paraId="063A5D02"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48E2A5FD" w14:textId="77777777" w:rsidR="00285EF0" w:rsidRPr="00BE211F" w:rsidRDefault="00285EF0" w:rsidP="00285EF0">
            <w:pPr>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3A06C981"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AU"/>
              </w:rPr>
            </w:pPr>
            <w:r w:rsidRPr="00BE211F">
              <w:rPr>
                <w:rFonts w:cs="Arial"/>
                <w:i/>
                <w:color w:val="000000" w:themeColor="text1"/>
                <w:sz w:val="18"/>
                <w:szCs w:val="18"/>
                <w:lang w:val="en-AU"/>
              </w:rPr>
              <w:t>S.</w:t>
            </w:r>
            <w:r w:rsidRPr="00BE211F">
              <w:rPr>
                <w:rFonts w:cs="Arial"/>
                <w:color w:val="000000" w:themeColor="text1"/>
                <w:sz w:val="18"/>
                <w:szCs w:val="18"/>
                <w:lang w:val="en-AU"/>
              </w:rPr>
              <w:t xml:space="preserve"> Poona</w:t>
            </w:r>
          </w:p>
        </w:tc>
        <w:tc>
          <w:tcPr>
            <w:tcW w:w="1309" w:type="dxa"/>
          </w:tcPr>
          <w:p w14:paraId="316D379A"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12h</w:t>
            </w:r>
          </w:p>
        </w:tc>
        <w:tc>
          <w:tcPr>
            <w:tcW w:w="1165" w:type="dxa"/>
          </w:tcPr>
          <w:p w14:paraId="45FACB56"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4.8</w:t>
            </w:r>
          </w:p>
        </w:tc>
        <w:tc>
          <w:tcPr>
            <w:tcW w:w="2562" w:type="dxa"/>
          </w:tcPr>
          <w:p w14:paraId="41578B84"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200ppm FC (pH 6.5)</w:t>
            </w:r>
          </w:p>
        </w:tc>
        <w:tc>
          <w:tcPr>
            <w:tcW w:w="1162" w:type="dxa"/>
          </w:tcPr>
          <w:p w14:paraId="569028A9"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3</w:t>
            </w:r>
          </w:p>
        </w:tc>
        <w:tc>
          <w:tcPr>
            <w:tcW w:w="1229" w:type="dxa"/>
          </w:tcPr>
          <w:p w14:paraId="7374AFD6"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0.1</w:t>
            </w:r>
          </w:p>
        </w:tc>
        <w:tc>
          <w:tcPr>
            <w:tcW w:w="2851" w:type="dxa"/>
          </w:tcPr>
          <w:p w14:paraId="5E8A99C7" w14:textId="3CA4074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n-AU"/>
              </w:rPr>
            </w:pPr>
            <w:r w:rsidRPr="00BE211F">
              <w:rPr>
                <w:rFonts w:cs="Arial"/>
                <w:color w:val="000000" w:themeColor="text1"/>
                <w:sz w:val="18"/>
                <w:szCs w:val="18"/>
                <w:lang w:eastAsia="en-AU"/>
              </w:rPr>
              <w:fldChar w:fldCharType="begin"/>
            </w:r>
            <w:r w:rsidRPr="00BE211F">
              <w:rPr>
                <w:rFonts w:cs="Arial"/>
                <w:color w:val="000000" w:themeColor="text1"/>
                <w:sz w:val="18"/>
                <w:szCs w:val="18"/>
                <w:lang w:eastAsia="en-AU"/>
              </w:rPr>
              <w:instrText>ADDIN CITAVI.PLACEHOLDER dacb0983-1ffa-415b-83ec-18bb4d058e0f 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WYWRsYW11ZGkgZXQgYWwuPC9UZXh0Pg0KICAgIDwvVGV4dFVuaXQ+DQogIDwvVGV4dFVuaXRzPg0KPC9QbGFjZWhvbGRlcj4=</w:instrText>
            </w:r>
            <w:r w:rsidRPr="00BE211F">
              <w:rPr>
                <w:rFonts w:cs="Arial"/>
                <w:color w:val="000000" w:themeColor="text1"/>
                <w:sz w:val="18"/>
                <w:szCs w:val="18"/>
                <w:lang w:eastAsia="en-AU"/>
              </w:rPr>
              <w:fldChar w:fldCharType="separate"/>
            </w:r>
            <w:bookmarkStart w:id="1345" w:name="_CTVP001dacb09831ffa415b83ec18bb4d058e0f"/>
            <w:r w:rsidRPr="00BE211F">
              <w:rPr>
                <w:rFonts w:cs="Arial"/>
                <w:color w:val="000000" w:themeColor="text1"/>
                <w:sz w:val="18"/>
                <w:szCs w:val="18"/>
                <w:lang w:eastAsia="en-AU"/>
              </w:rPr>
              <w:t>Vadlamudi et al.</w:t>
            </w:r>
            <w:bookmarkEnd w:id="1345"/>
            <w:r w:rsidRPr="00BE211F">
              <w:rPr>
                <w:rFonts w:cs="Arial"/>
                <w:color w:val="000000" w:themeColor="text1"/>
                <w:sz w:val="18"/>
                <w:szCs w:val="18"/>
                <w:lang w:eastAsia="en-AU"/>
              </w:rPr>
              <w:fldChar w:fldCharType="end"/>
            </w:r>
            <w:r w:rsidRPr="00BE211F">
              <w:rPr>
                <w:rFonts w:cs="Arial"/>
                <w:color w:val="000000" w:themeColor="text1"/>
                <w:sz w:val="18"/>
                <w:szCs w:val="18"/>
                <w:lang w:eastAsia="en-AU"/>
              </w:rPr>
              <w:t xml:space="preserve"> </w:t>
            </w:r>
            <w:r w:rsidRPr="00BE211F">
              <w:rPr>
                <w:rFonts w:cs="Arial"/>
                <w:color w:val="000000" w:themeColor="text1"/>
                <w:sz w:val="18"/>
                <w:szCs w:val="18"/>
                <w:lang w:eastAsia="en-AU"/>
              </w:rPr>
              <w:fldChar w:fldCharType="begin"/>
            </w:r>
            <w:r w:rsidRPr="00BE211F">
              <w:rPr>
                <w:rFonts w:cs="Arial"/>
                <w:color w:val="000000" w:themeColor="text1"/>
                <w:sz w:val="18"/>
                <w:szCs w:val="18"/>
                <w:lang w:eastAsia="en-AU"/>
              </w:rPr>
              <w:instrText>ADDIN CITAVI.PLACEHOLDER 92be38d0-eb87-4ccd-9eb5-e4af2b52281c PFBsYWNlaG9sZGVyPg0KICA8QWRkSW5WZXJzaW9uPjUuNS4wLjE8L0FkZEluVmVyc2lvbj4NCiAgPElkPjkyYmUzOGQwLWViODctNGNjZC05ZWI1LWU0YWYyYjUyMjgxYzwvSWQ+DQogIDxBc3NvY2lhdGVXaXRoUGxhY2Vob2xkZXJJZD5kYWNiMDk4My0xZmZhLTQxNWItODNlYy0xOGJiNGQwNThlMGY8L0Fzc29jaWF0ZVdpdGhQbGFjZWhvbGRlcklkPg0KICA8RW50cmllcz4NCiAgICA8RW50cnk+DQogICAgICA8SWQ+MmYyZTE2MjUtYzVjNC00NTdiLTkwNTItZjc2YTcyNDllZjRkPC9JZD4NCiAgICAgIDxSZWZlcmVuY2VJZD41YTRjZDM1MC02ODBjLTRjNDctOWExNi04ZTEyMTBjNzcxMW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Mik8L1RleHQ+DQogICAgPC9UZXh0VW5pdD4NCiAgPC9UZXh0VW5pdHM+DQo8L1BsYWNlaG9sZGVyPg==</w:instrText>
            </w:r>
            <w:r w:rsidRPr="00BE211F">
              <w:rPr>
                <w:rFonts w:cs="Arial"/>
                <w:color w:val="000000" w:themeColor="text1"/>
                <w:sz w:val="18"/>
                <w:szCs w:val="18"/>
                <w:lang w:eastAsia="en-AU"/>
              </w:rPr>
              <w:fldChar w:fldCharType="separate"/>
            </w:r>
            <w:bookmarkStart w:id="1346" w:name="_CTVP00192be38d0eb874ccd9eb5e4af2b52281c"/>
            <w:r w:rsidRPr="00BE211F">
              <w:rPr>
                <w:rFonts w:cs="Arial"/>
                <w:color w:val="000000" w:themeColor="text1"/>
                <w:sz w:val="18"/>
                <w:szCs w:val="18"/>
                <w:lang w:eastAsia="en-AU"/>
              </w:rPr>
              <w:t>(2012)</w:t>
            </w:r>
            <w:bookmarkEnd w:id="1346"/>
            <w:r w:rsidRPr="00BE211F">
              <w:rPr>
                <w:rFonts w:cs="Arial"/>
                <w:color w:val="000000" w:themeColor="text1"/>
                <w:sz w:val="18"/>
                <w:szCs w:val="18"/>
                <w:lang w:eastAsia="en-AU"/>
              </w:rPr>
              <w:fldChar w:fldCharType="end"/>
            </w:r>
          </w:p>
        </w:tc>
      </w:tr>
      <w:tr w:rsidR="00285EF0" w:rsidRPr="00BE211F" w14:paraId="22977335"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080ED6EB" w14:textId="77777777" w:rsidR="00285EF0" w:rsidRPr="00F31075" w:rsidRDefault="00285EF0" w:rsidP="00285EF0">
            <w:pPr>
              <w:rPr>
                <w:rFonts w:cs="Arial"/>
                <w:b w:val="0"/>
                <w:color w:val="000000" w:themeColor="text1"/>
                <w:sz w:val="18"/>
                <w:szCs w:val="18"/>
                <w:lang w:eastAsia="en-AU"/>
              </w:rPr>
            </w:pPr>
            <w:r w:rsidRPr="00F31075">
              <w:rPr>
                <w:rFonts w:cs="Arial"/>
                <w:b w:val="0"/>
                <w:color w:val="000000"/>
                <w:sz w:val="18"/>
                <w:szCs w:val="18"/>
              </w:rPr>
              <w:t>Lettuce</w:t>
            </w:r>
          </w:p>
        </w:tc>
        <w:tc>
          <w:tcPr>
            <w:tcW w:w="1764" w:type="dxa"/>
            <w:vAlign w:val="center"/>
          </w:tcPr>
          <w:p w14:paraId="3C57A9E5" w14:textId="77777777" w:rsidR="00285EF0" w:rsidRPr="00F31075"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lang w:val="en-AU"/>
              </w:rPr>
            </w:pPr>
            <w:r w:rsidRPr="00F31075">
              <w:rPr>
                <w:rFonts w:cs="Arial"/>
                <w:bCs/>
                <w:i/>
                <w:iCs/>
                <w:color w:val="000000"/>
                <w:sz w:val="18"/>
                <w:szCs w:val="18"/>
              </w:rPr>
              <w:t>E. coli</w:t>
            </w:r>
          </w:p>
        </w:tc>
        <w:tc>
          <w:tcPr>
            <w:tcW w:w="1309" w:type="dxa"/>
            <w:vAlign w:val="center"/>
          </w:tcPr>
          <w:p w14:paraId="0A1D9CB2" w14:textId="77777777" w:rsidR="00285EF0" w:rsidRPr="00F31075"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F31075">
              <w:rPr>
                <w:rFonts w:cs="Arial"/>
                <w:bCs/>
                <w:color w:val="000000"/>
                <w:sz w:val="18"/>
                <w:szCs w:val="18"/>
              </w:rPr>
              <w:t>6h</w:t>
            </w:r>
          </w:p>
        </w:tc>
        <w:tc>
          <w:tcPr>
            <w:tcW w:w="1165" w:type="dxa"/>
            <w:vAlign w:val="center"/>
          </w:tcPr>
          <w:p w14:paraId="2D111EB9" w14:textId="77777777" w:rsidR="00285EF0" w:rsidRPr="00F31075"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F31075">
              <w:rPr>
                <w:rFonts w:cs="Arial"/>
                <w:bCs/>
                <w:color w:val="000000"/>
                <w:sz w:val="18"/>
                <w:szCs w:val="18"/>
              </w:rPr>
              <w:t>6.4</w:t>
            </w:r>
          </w:p>
        </w:tc>
        <w:tc>
          <w:tcPr>
            <w:tcW w:w="2562" w:type="dxa"/>
            <w:vAlign w:val="center"/>
          </w:tcPr>
          <w:p w14:paraId="04D472AE" w14:textId="77777777" w:rsidR="00285EF0" w:rsidRPr="00F31075"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F31075">
              <w:rPr>
                <w:rFonts w:cs="Arial"/>
                <w:bCs/>
                <w:color w:val="000000"/>
                <w:sz w:val="18"/>
                <w:szCs w:val="18"/>
              </w:rPr>
              <w:t>100ppm FC (pH NR)</w:t>
            </w:r>
          </w:p>
        </w:tc>
        <w:tc>
          <w:tcPr>
            <w:tcW w:w="1162" w:type="dxa"/>
            <w:vAlign w:val="center"/>
          </w:tcPr>
          <w:p w14:paraId="65403E06" w14:textId="77777777" w:rsidR="00285EF0" w:rsidRPr="00F31075"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F31075">
              <w:rPr>
                <w:rFonts w:cs="Arial"/>
                <w:bCs/>
                <w:color w:val="000000"/>
                <w:sz w:val="18"/>
                <w:szCs w:val="18"/>
              </w:rPr>
              <w:t>15</w:t>
            </w:r>
          </w:p>
        </w:tc>
        <w:tc>
          <w:tcPr>
            <w:tcW w:w="1229" w:type="dxa"/>
            <w:vAlign w:val="center"/>
          </w:tcPr>
          <w:p w14:paraId="6C984A96" w14:textId="77777777" w:rsidR="00285EF0" w:rsidRPr="00F31075"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F31075">
              <w:rPr>
                <w:rFonts w:cs="Arial"/>
                <w:bCs/>
                <w:color w:val="000000"/>
                <w:sz w:val="18"/>
                <w:szCs w:val="18"/>
              </w:rPr>
              <w:t>2.9</w:t>
            </w:r>
          </w:p>
        </w:tc>
        <w:tc>
          <w:tcPr>
            <w:tcW w:w="2851" w:type="dxa"/>
            <w:vAlign w:val="center"/>
          </w:tcPr>
          <w:p w14:paraId="2972579A" w14:textId="77777777" w:rsidR="00285EF0" w:rsidRPr="00F31075"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bookmarkStart w:id="1347" w:name="RANGE!H2"/>
            <w:r w:rsidRPr="00F31075">
              <w:rPr>
                <w:rFonts w:cs="Arial"/>
                <w:bCs/>
                <w:color w:val="000000"/>
                <w:sz w:val="18"/>
                <w:szCs w:val="18"/>
                <w:lang w:eastAsia="en-AU"/>
              </w:rPr>
              <w:t>Karaca and Velioglu (2014)</w:t>
            </w:r>
            <w:bookmarkEnd w:id="1347"/>
          </w:p>
        </w:tc>
      </w:tr>
      <w:tr w:rsidR="00285EF0" w:rsidRPr="00BE211F" w14:paraId="6C706DE6"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272B7DF0" w14:textId="77777777" w:rsidR="00285EF0" w:rsidRPr="00F31075" w:rsidRDefault="00285EF0" w:rsidP="00285EF0">
            <w:pPr>
              <w:rPr>
                <w:rFonts w:cs="Arial"/>
                <w:b w:val="0"/>
                <w:color w:val="000000" w:themeColor="text1"/>
                <w:sz w:val="18"/>
                <w:szCs w:val="18"/>
                <w:lang w:eastAsia="en-AU"/>
              </w:rPr>
            </w:pPr>
            <w:r w:rsidRPr="00F31075">
              <w:rPr>
                <w:rFonts w:cs="Arial"/>
                <w:b w:val="0"/>
                <w:color w:val="000000"/>
                <w:sz w:val="18"/>
                <w:szCs w:val="18"/>
              </w:rPr>
              <w:t>Lettuce</w:t>
            </w:r>
          </w:p>
        </w:tc>
        <w:tc>
          <w:tcPr>
            <w:tcW w:w="1764" w:type="dxa"/>
            <w:vAlign w:val="center"/>
          </w:tcPr>
          <w:p w14:paraId="4A8B372E"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rPr>
              <w:t>E. coli</w:t>
            </w:r>
          </w:p>
        </w:tc>
        <w:tc>
          <w:tcPr>
            <w:tcW w:w="1309" w:type="dxa"/>
            <w:vAlign w:val="center"/>
          </w:tcPr>
          <w:p w14:paraId="59D0B521"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15 min</w:t>
            </w:r>
          </w:p>
        </w:tc>
        <w:tc>
          <w:tcPr>
            <w:tcW w:w="1165" w:type="dxa"/>
            <w:vAlign w:val="center"/>
          </w:tcPr>
          <w:p w14:paraId="36C18F87"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~4.0</w:t>
            </w:r>
          </w:p>
        </w:tc>
        <w:tc>
          <w:tcPr>
            <w:tcW w:w="2562" w:type="dxa"/>
            <w:vAlign w:val="center"/>
          </w:tcPr>
          <w:p w14:paraId="3AABEE08"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100 ppm FC (pH NR)</w:t>
            </w:r>
          </w:p>
        </w:tc>
        <w:tc>
          <w:tcPr>
            <w:tcW w:w="1162" w:type="dxa"/>
            <w:vAlign w:val="center"/>
          </w:tcPr>
          <w:p w14:paraId="70D78763"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5</w:t>
            </w:r>
          </w:p>
        </w:tc>
        <w:tc>
          <w:tcPr>
            <w:tcW w:w="1229" w:type="dxa"/>
            <w:vAlign w:val="center"/>
          </w:tcPr>
          <w:p w14:paraId="1771E30B"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w:t>
            </w:r>
          </w:p>
        </w:tc>
        <w:tc>
          <w:tcPr>
            <w:tcW w:w="2851" w:type="dxa"/>
            <w:vAlign w:val="center"/>
          </w:tcPr>
          <w:p w14:paraId="071FDD10"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n-AU"/>
              </w:rPr>
            </w:pPr>
            <w:bookmarkStart w:id="1348" w:name="RANGE!H3"/>
            <w:r>
              <w:rPr>
                <w:rFonts w:cs="Arial"/>
                <w:color w:val="000000"/>
                <w:sz w:val="18"/>
                <w:szCs w:val="18"/>
              </w:rPr>
              <w:t>Francis and O'Beirne (2002)</w:t>
            </w:r>
            <w:bookmarkEnd w:id="1348"/>
          </w:p>
        </w:tc>
      </w:tr>
      <w:tr w:rsidR="00285EF0" w:rsidRPr="00BE211F" w14:paraId="472CBD6C"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30350E83" w14:textId="77777777" w:rsidR="00285EF0" w:rsidRPr="00F31075" w:rsidRDefault="00285EF0" w:rsidP="00285EF0">
            <w:pPr>
              <w:rPr>
                <w:rFonts w:cs="Arial"/>
                <w:b w:val="0"/>
                <w:color w:val="000000" w:themeColor="text1"/>
                <w:sz w:val="18"/>
                <w:szCs w:val="18"/>
              </w:rPr>
            </w:pPr>
            <w:r w:rsidRPr="00F31075">
              <w:rPr>
                <w:rFonts w:cs="Arial"/>
                <w:b w:val="0"/>
                <w:color w:val="000000"/>
                <w:sz w:val="18"/>
                <w:szCs w:val="18"/>
              </w:rPr>
              <w:t>Lettuce</w:t>
            </w:r>
          </w:p>
        </w:tc>
        <w:tc>
          <w:tcPr>
            <w:tcW w:w="1764" w:type="dxa"/>
            <w:vAlign w:val="center"/>
          </w:tcPr>
          <w:p w14:paraId="7E7A781A" w14:textId="77777777" w:rsidR="00285EF0" w:rsidRPr="00332B61" w:rsidRDefault="00285EF0" w:rsidP="00285EF0">
            <w:pPr>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rPr>
            </w:pPr>
            <w:r>
              <w:rPr>
                <w:rFonts w:cs="Arial"/>
                <w:i/>
                <w:iCs/>
                <w:color w:val="000000"/>
                <w:sz w:val="18"/>
                <w:szCs w:val="18"/>
              </w:rPr>
              <w:t>E. coli</w:t>
            </w:r>
          </w:p>
        </w:tc>
        <w:tc>
          <w:tcPr>
            <w:tcW w:w="1309" w:type="dxa"/>
            <w:vAlign w:val="center"/>
          </w:tcPr>
          <w:p w14:paraId="3B5E6658" w14:textId="77777777" w:rsidR="00285EF0" w:rsidRPr="00332B61"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6h</w:t>
            </w:r>
          </w:p>
        </w:tc>
        <w:tc>
          <w:tcPr>
            <w:tcW w:w="1165" w:type="dxa"/>
            <w:vAlign w:val="center"/>
          </w:tcPr>
          <w:p w14:paraId="2F892333" w14:textId="77777777" w:rsidR="00285EF0" w:rsidRPr="00332B61"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6.4</w:t>
            </w:r>
          </w:p>
        </w:tc>
        <w:tc>
          <w:tcPr>
            <w:tcW w:w="2562" w:type="dxa"/>
            <w:vAlign w:val="center"/>
          </w:tcPr>
          <w:p w14:paraId="3B181E37" w14:textId="77777777" w:rsidR="00285EF0" w:rsidRPr="00332B61" w:rsidRDefault="00285EF0" w:rsidP="00285EF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100ppm FC (pH NR)</w:t>
            </w:r>
          </w:p>
        </w:tc>
        <w:tc>
          <w:tcPr>
            <w:tcW w:w="1162" w:type="dxa"/>
            <w:vAlign w:val="center"/>
          </w:tcPr>
          <w:p w14:paraId="274BF0C9" w14:textId="77777777" w:rsidR="00285EF0" w:rsidRPr="00332B61"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15</w:t>
            </w:r>
          </w:p>
        </w:tc>
        <w:tc>
          <w:tcPr>
            <w:tcW w:w="1229" w:type="dxa"/>
            <w:vAlign w:val="center"/>
          </w:tcPr>
          <w:p w14:paraId="27610977" w14:textId="77777777" w:rsidR="00285EF0" w:rsidRPr="00332B61"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2.9</w:t>
            </w:r>
          </w:p>
        </w:tc>
        <w:tc>
          <w:tcPr>
            <w:tcW w:w="2851" w:type="dxa"/>
            <w:vAlign w:val="center"/>
          </w:tcPr>
          <w:p w14:paraId="50B4E7C8" w14:textId="77777777" w:rsidR="00285EF0" w:rsidRPr="00332B61"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bookmarkStart w:id="1349" w:name="RANGE!H4"/>
            <w:r>
              <w:rPr>
                <w:rFonts w:cs="Arial"/>
                <w:color w:val="000000"/>
                <w:sz w:val="18"/>
                <w:szCs w:val="18"/>
                <w:lang w:eastAsia="en-AU"/>
              </w:rPr>
              <w:t>Karaca and Velioglu (2014)</w:t>
            </w:r>
            <w:bookmarkEnd w:id="1349"/>
          </w:p>
        </w:tc>
      </w:tr>
      <w:tr w:rsidR="00285EF0" w:rsidRPr="00BE211F" w14:paraId="66537736"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1A6BA2F1" w14:textId="77777777" w:rsidR="00285EF0" w:rsidRPr="00F31075" w:rsidRDefault="00285EF0" w:rsidP="00285EF0">
            <w:pPr>
              <w:rPr>
                <w:rFonts w:cs="Arial"/>
                <w:b w:val="0"/>
                <w:color w:val="000000" w:themeColor="text1"/>
                <w:sz w:val="18"/>
                <w:szCs w:val="18"/>
              </w:rPr>
            </w:pPr>
            <w:r w:rsidRPr="00F31075">
              <w:rPr>
                <w:rFonts w:cs="Arial"/>
                <w:b w:val="0"/>
                <w:color w:val="000000"/>
                <w:sz w:val="18"/>
                <w:szCs w:val="18"/>
              </w:rPr>
              <w:t>Lettuce</w:t>
            </w:r>
          </w:p>
        </w:tc>
        <w:tc>
          <w:tcPr>
            <w:tcW w:w="1764" w:type="dxa"/>
            <w:vAlign w:val="center"/>
          </w:tcPr>
          <w:p w14:paraId="2E56AEB3"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lang w:val="en-AU"/>
              </w:rPr>
              <w:t xml:space="preserve">E. coli </w:t>
            </w:r>
            <w:r>
              <w:rPr>
                <w:rFonts w:cs="Arial"/>
                <w:color w:val="000000"/>
                <w:sz w:val="18"/>
                <w:szCs w:val="18"/>
                <w:lang w:val="en-AU"/>
              </w:rPr>
              <w:t>O157: H7</w:t>
            </w:r>
          </w:p>
        </w:tc>
        <w:tc>
          <w:tcPr>
            <w:tcW w:w="1309" w:type="dxa"/>
            <w:vAlign w:val="center"/>
          </w:tcPr>
          <w:p w14:paraId="4E78D6E1"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 min</w:t>
            </w:r>
          </w:p>
        </w:tc>
        <w:tc>
          <w:tcPr>
            <w:tcW w:w="1165" w:type="dxa"/>
            <w:vAlign w:val="center"/>
          </w:tcPr>
          <w:p w14:paraId="0CD84504"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~8.0</w:t>
            </w:r>
          </w:p>
        </w:tc>
        <w:tc>
          <w:tcPr>
            <w:tcW w:w="2562" w:type="dxa"/>
            <w:vAlign w:val="center"/>
          </w:tcPr>
          <w:p w14:paraId="5FDC64AC"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300ppm and 600ppm (pH 10, free/total chlorine NR)</w:t>
            </w:r>
          </w:p>
        </w:tc>
        <w:tc>
          <w:tcPr>
            <w:tcW w:w="1162" w:type="dxa"/>
            <w:vAlign w:val="center"/>
          </w:tcPr>
          <w:p w14:paraId="250EF97F"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3</w:t>
            </w:r>
          </w:p>
        </w:tc>
        <w:tc>
          <w:tcPr>
            <w:tcW w:w="1229" w:type="dxa"/>
            <w:vAlign w:val="center"/>
          </w:tcPr>
          <w:p w14:paraId="4A863CE6"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1.5 - 1.8</w:t>
            </w:r>
          </w:p>
        </w:tc>
        <w:tc>
          <w:tcPr>
            <w:tcW w:w="2851" w:type="dxa"/>
            <w:vAlign w:val="center"/>
          </w:tcPr>
          <w:p w14:paraId="1ADB3380"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bookmarkStart w:id="1350" w:name="RANGE!H5"/>
            <w:r>
              <w:rPr>
                <w:rFonts w:cs="Arial"/>
                <w:color w:val="000000"/>
                <w:sz w:val="18"/>
                <w:szCs w:val="18"/>
              </w:rPr>
              <w:t>Niemira and Cooke (2010)</w:t>
            </w:r>
            <w:bookmarkEnd w:id="1350"/>
          </w:p>
        </w:tc>
      </w:tr>
      <w:tr w:rsidR="00285EF0" w:rsidRPr="00BE211F" w14:paraId="308CC913"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2B1137EC" w14:textId="77777777" w:rsidR="00285EF0" w:rsidRPr="00F31075" w:rsidRDefault="00285EF0" w:rsidP="00285EF0">
            <w:pPr>
              <w:rPr>
                <w:rFonts w:cs="Arial"/>
                <w:b w:val="0"/>
                <w:color w:val="000000" w:themeColor="text1"/>
                <w:sz w:val="18"/>
                <w:szCs w:val="18"/>
              </w:rPr>
            </w:pPr>
            <w:r w:rsidRPr="00F31075">
              <w:rPr>
                <w:rFonts w:cs="Arial"/>
                <w:b w:val="0"/>
                <w:color w:val="000000"/>
                <w:sz w:val="18"/>
                <w:szCs w:val="18"/>
              </w:rPr>
              <w:t>Lettuce</w:t>
            </w:r>
          </w:p>
        </w:tc>
        <w:tc>
          <w:tcPr>
            <w:tcW w:w="1764" w:type="dxa"/>
            <w:vAlign w:val="center"/>
          </w:tcPr>
          <w:p w14:paraId="4E9B2263"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lang w:val="en-AU"/>
              </w:rPr>
              <w:t xml:space="preserve">E. coli </w:t>
            </w:r>
            <w:r>
              <w:rPr>
                <w:rFonts w:cs="Arial"/>
                <w:color w:val="000000"/>
                <w:sz w:val="18"/>
                <w:szCs w:val="18"/>
                <w:lang w:val="en-AU"/>
              </w:rPr>
              <w:t>O157: H7</w:t>
            </w:r>
          </w:p>
        </w:tc>
        <w:tc>
          <w:tcPr>
            <w:tcW w:w="1309" w:type="dxa"/>
            <w:vAlign w:val="center"/>
          </w:tcPr>
          <w:p w14:paraId="30831F03"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30min</w:t>
            </w:r>
          </w:p>
        </w:tc>
        <w:tc>
          <w:tcPr>
            <w:tcW w:w="1165" w:type="dxa"/>
            <w:vAlign w:val="center"/>
          </w:tcPr>
          <w:p w14:paraId="314970E9"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~8.0</w:t>
            </w:r>
          </w:p>
        </w:tc>
        <w:tc>
          <w:tcPr>
            <w:tcW w:w="2562" w:type="dxa"/>
            <w:vAlign w:val="center"/>
          </w:tcPr>
          <w:p w14:paraId="697D64AC"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300ppm and 600ppm (pH 9.77, 9.99) free/total chlorine NR)</w:t>
            </w:r>
          </w:p>
        </w:tc>
        <w:tc>
          <w:tcPr>
            <w:tcW w:w="1162" w:type="dxa"/>
            <w:vAlign w:val="center"/>
          </w:tcPr>
          <w:p w14:paraId="0A8C0603"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3</w:t>
            </w:r>
          </w:p>
        </w:tc>
        <w:tc>
          <w:tcPr>
            <w:tcW w:w="1229" w:type="dxa"/>
            <w:vAlign w:val="center"/>
          </w:tcPr>
          <w:p w14:paraId="38CF474E"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&lt;1.0</w:t>
            </w:r>
          </w:p>
        </w:tc>
        <w:tc>
          <w:tcPr>
            <w:tcW w:w="2851" w:type="dxa"/>
            <w:vAlign w:val="center"/>
          </w:tcPr>
          <w:p w14:paraId="02EF473E"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bookmarkStart w:id="1351" w:name="RANGE!H6"/>
            <w:r>
              <w:rPr>
                <w:rFonts w:cs="Arial"/>
                <w:color w:val="000000"/>
                <w:sz w:val="18"/>
                <w:szCs w:val="18"/>
              </w:rPr>
              <w:t>Niemira (2007)</w:t>
            </w:r>
            <w:bookmarkEnd w:id="1351"/>
          </w:p>
        </w:tc>
      </w:tr>
      <w:tr w:rsidR="00285EF0" w:rsidRPr="00BE211F" w14:paraId="0B7D7CEB"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240AB68C" w14:textId="77777777" w:rsidR="00285EF0" w:rsidRPr="00F31075" w:rsidRDefault="00285EF0" w:rsidP="00285EF0">
            <w:pPr>
              <w:widowControl/>
              <w:rPr>
                <w:rFonts w:cs="Arial"/>
                <w:b w:val="0"/>
                <w:color w:val="000000" w:themeColor="text1"/>
                <w:sz w:val="18"/>
                <w:szCs w:val="18"/>
                <w:lang w:bidi="ar-SA"/>
              </w:rPr>
            </w:pPr>
            <w:r w:rsidRPr="00F31075">
              <w:rPr>
                <w:rFonts w:cs="Arial"/>
                <w:b w:val="0"/>
                <w:color w:val="000000"/>
                <w:sz w:val="18"/>
                <w:szCs w:val="18"/>
              </w:rPr>
              <w:t>Lettuce</w:t>
            </w:r>
          </w:p>
        </w:tc>
        <w:tc>
          <w:tcPr>
            <w:tcW w:w="1764" w:type="dxa"/>
            <w:vAlign w:val="center"/>
          </w:tcPr>
          <w:p w14:paraId="4A09DEC4"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lang w:val="en-AU"/>
              </w:rPr>
              <w:t xml:space="preserve">E. coli </w:t>
            </w:r>
            <w:r>
              <w:rPr>
                <w:rFonts w:cs="Arial"/>
                <w:color w:val="000000"/>
                <w:sz w:val="18"/>
                <w:szCs w:val="18"/>
                <w:lang w:val="en-AU"/>
              </w:rPr>
              <w:t>O157: H7</w:t>
            </w:r>
          </w:p>
        </w:tc>
        <w:tc>
          <w:tcPr>
            <w:tcW w:w="1309" w:type="dxa"/>
            <w:vAlign w:val="center"/>
          </w:tcPr>
          <w:p w14:paraId="77B3F119"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ON</w:t>
            </w:r>
          </w:p>
        </w:tc>
        <w:tc>
          <w:tcPr>
            <w:tcW w:w="1165" w:type="dxa"/>
            <w:vAlign w:val="center"/>
          </w:tcPr>
          <w:p w14:paraId="4D353B80"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 4.9</w:t>
            </w:r>
          </w:p>
        </w:tc>
        <w:tc>
          <w:tcPr>
            <w:tcW w:w="2562" w:type="dxa"/>
            <w:vAlign w:val="center"/>
          </w:tcPr>
          <w:p w14:paraId="0E387B3D"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100 ppm FC (pH 6.5)</w:t>
            </w:r>
          </w:p>
        </w:tc>
        <w:tc>
          <w:tcPr>
            <w:tcW w:w="1162" w:type="dxa"/>
            <w:vAlign w:val="center"/>
          </w:tcPr>
          <w:p w14:paraId="27DC8F8E"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w:t>
            </w:r>
          </w:p>
        </w:tc>
        <w:tc>
          <w:tcPr>
            <w:tcW w:w="1229" w:type="dxa"/>
            <w:vAlign w:val="center"/>
          </w:tcPr>
          <w:p w14:paraId="537BFD7F"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0.5</w:t>
            </w:r>
          </w:p>
        </w:tc>
        <w:tc>
          <w:tcPr>
            <w:tcW w:w="2851" w:type="dxa"/>
            <w:vAlign w:val="center"/>
          </w:tcPr>
          <w:p w14:paraId="56B8D2D8"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bookmarkStart w:id="1352" w:name="RANGE!H7"/>
            <w:r>
              <w:rPr>
                <w:rFonts w:cs="Arial"/>
                <w:color w:val="000000"/>
                <w:sz w:val="18"/>
                <w:szCs w:val="18"/>
              </w:rPr>
              <w:t>López-Gálvez et al. (2010)</w:t>
            </w:r>
            <w:bookmarkEnd w:id="1352"/>
          </w:p>
        </w:tc>
      </w:tr>
      <w:tr w:rsidR="00285EF0" w:rsidRPr="00BE211F" w14:paraId="1A786552"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682DEBAE" w14:textId="77777777" w:rsidR="00285EF0" w:rsidRPr="00F31075" w:rsidRDefault="00285EF0" w:rsidP="00285EF0">
            <w:pPr>
              <w:rPr>
                <w:rFonts w:cs="Arial"/>
                <w:b w:val="0"/>
                <w:color w:val="000000" w:themeColor="text1"/>
                <w:sz w:val="18"/>
                <w:szCs w:val="18"/>
              </w:rPr>
            </w:pPr>
            <w:r w:rsidRPr="00F31075">
              <w:rPr>
                <w:rFonts w:cs="Arial"/>
                <w:b w:val="0"/>
                <w:color w:val="000000"/>
                <w:sz w:val="18"/>
                <w:szCs w:val="18"/>
              </w:rPr>
              <w:t>Lettuce</w:t>
            </w:r>
          </w:p>
        </w:tc>
        <w:tc>
          <w:tcPr>
            <w:tcW w:w="1764" w:type="dxa"/>
            <w:vAlign w:val="center"/>
          </w:tcPr>
          <w:p w14:paraId="44B767C6"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lang w:val="en-AU"/>
              </w:rPr>
              <w:t xml:space="preserve">E. coli </w:t>
            </w:r>
            <w:r>
              <w:rPr>
                <w:rFonts w:cs="Arial"/>
                <w:color w:val="000000"/>
                <w:sz w:val="18"/>
                <w:szCs w:val="18"/>
                <w:lang w:val="en-AU"/>
              </w:rPr>
              <w:t>O157:H7</w:t>
            </w:r>
          </w:p>
        </w:tc>
        <w:tc>
          <w:tcPr>
            <w:tcW w:w="1309" w:type="dxa"/>
            <w:vAlign w:val="center"/>
          </w:tcPr>
          <w:p w14:paraId="4B14F08B"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24h</w:t>
            </w:r>
          </w:p>
        </w:tc>
        <w:tc>
          <w:tcPr>
            <w:tcW w:w="1165" w:type="dxa"/>
            <w:vAlign w:val="center"/>
          </w:tcPr>
          <w:p w14:paraId="7D5CE79F"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7.1 - 8.7</w:t>
            </w:r>
          </w:p>
        </w:tc>
        <w:tc>
          <w:tcPr>
            <w:tcW w:w="2562" w:type="dxa"/>
            <w:vAlign w:val="center"/>
          </w:tcPr>
          <w:p w14:paraId="702ECAE0"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200ppm FC (pH 6.8)</w:t>
            </w:r>
          </w:p>
        </w:tc>
        <w:tc>
          <w:tcPr>
            <w:tcW w:w="1162" w:type="dxa"/>
            <w:vAlign w:val="center"/>
          </w:tcPr>
          <w:p w14:paraId="4E29E6FD"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5</w:t>
            </w:r>
          </w:p>
        </w:tc>
        <w:tc>
          <w:tcPr>
            <w:tcW w:w="1229" w:type="dxa"/>
            <w:vAlign w:val="center"/>
          </w:tcPr>
          <w:p w14:paraId="388F5C3D"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1.2 - 1.5</w:t>
            </w:r>
          </w:p>
        </w:tc>
        <w:tc>
          <w:tcPr>
            <w:tcW w:w="2851" w:type="dxa"/>
            <w:vAlign w:val="center"/>
          </w:tcPr>
          <w:p w14:paraId="6ED27250"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bookmarkStart w:id="1353" w:name="RANGE!H8"/>
            <w:r>
              <w:rPr>
                <w:rFonts w:cs="Arial"/>
                <w:color w:val="000000"/>
                <w:sz w:val="18"/>
                <w:szCs w:val="18"/>
              </w:rPr>
              <w:t xml:space="preserve"> Lang et al. (2004)</w:t>
            </w:r>
            <w:bookmarkEnd w:id="1353"/>
          </w:p>
        </w:tc>
      </w:tr>
      <w:tr w:rsidR="00285EF0" w:rsidRPr="00BE211F" w14:paraId="04C1FC6A"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17D3B0D1" w14:textId="77777777" w:rsidR="00285EF0" w:rsidRPr="00F31075" w:rsidRDefault="00285EF0" w:rsidP="00285EF0">
            <w:pPr>
              <w:rPr>
                <w:rFonts w:cs="Arial"/>
                <w:b w:val="0"/>
                <w:color w:val="000000" w:themeColor="text1"/>
                <w:sz w:val="18"/>
                <w:szCs w:val="18"/>
              </w:rPr>
            </w:pPr>
            <w:r w:rsidRPr="00F31075">
              <w:rPr>
                <w:rFonts w:cs="Arial"/>
                <w:b w:val="0"/>
                <w:color w:val="000000"/>
                <w:sz w:val="18"/>
                <w:szCs w:val="18"/>
              </w:rPr>
              <w:t>Lettuce</w:t>
            </w:r>
          </w:p>
        </w:tc>
        <w:tc>
          <w:tcPr>
            <w:tcW w:w="1764" w:type="dxa"/>
            <w:vAlign w:val="center"/>
          </w:tcPr>
          <w:p w14:paraId="2F32F3FB"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rPr>
              <w:t>E. coli</w:t>
            </w:r>
            <w:r>
              <w:rPr>
                <w:rFonts w:cs="Arial"/>
                <w:color w:val="000000"/>
                <w:sz w:val="18"/>
                <w:szCs w:val="18"/>
              </w:rPr>
              <w:t xml:space="preserve"> O157:H7</w:t>
            </w:r>
          </w:p>
        </w:tc>
        <w:tc>
          <w:tcPr>
            <w:tcW w:w="1309" w:type="dxa"/>
            <w:vAlign w:val="center"/>
          </w:tcPr>
          <w:p w14:paraId="50C6A48C"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ON</w:t>
            </w:r>
          </w:p>
        </w:tc>
        <w:tc>
          <w:tcPr>
            <w:tcW w:w="1165" w:type="dxa"/>
            <w:vAlign w:val="center"/>
          </w:tcPr>
          <w:p w14:paraId="6FA369D2"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6.9</w:t>
            </w:r>
          </w:p>
        </w:tc>
        <w:tc>
          <w:tcPr>
            <w:tcW w:w="2562" w:type="dxa"/>
            <w:vAlign w:val="center"/>
          </w:tcPr>
          <w:p w14:paraId="6B1F8AC2"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100ppm FC (pH NR)</w:t>
            </w:r>
          </w:p>
        </w:tc>
        <w:tc>
          <w:tcPr>
            <w:tcW w:w="1162" w:type="dxa"/>
            <w:vAlign w:val="center"/>
          </w:tcPr>
          <w:p w14:paraId="341B1CDA"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5</w:t>
            </w:r>
          </w:p>
        </w:tc>
        <w:tc>
          <w:tcPr>
            <w:tcW w:w="1229" w:type="dxa"/>
            <w:vAlign w:val="center"/>
          </w:tcPr>
          <w:p w14:paraId="0F2EB216"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2.1</w:t>
            </w:r>
          </w:p>
        </w:tc>
        <w:tc>
          <w:tcPr>
            <w:tcW w:w="2851" w:type="dxa"/>
            <w:vAlign w:val="center"/>
          </w:tcPr>
          <w:p w14:paraId="0D72B622"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bookmarkStart w:id="1354" w:name="RANGE!H9"/>
            <w:r>
              <w:rPr>
                <w:rFonts w:cs="Arial"/>
                <w:color w:val="000000"/>
                <w:sz w:val="18"/>
                <w:szCs w:val="18"/>
              </w:rPr>
              <w:t>Singh et al. (2018b)</w:t>
            </w:r>
            <w:bookmarkEnd w:id="1354"/>
          </w:p>
        </w:tc>
      </w:tr>
      <w:tr w:rsidR="00285EF0" w:rsidRPr="00BE211F" w14:paraId="06461781"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20FD1B9E" w14:textId="77777777" w:rsidR="00285EF0" w:rsidRPr="00F31075" w:rsidRDefault="00285EF0" w:rsidP="00285EF0">
            <w:pPr>
              <w:rPr>
                <w:rFonts w:cs="Arial"/>
                <w:b w:val="0"/>
                <w:color w:val="000000" w:themeColor="text1"/>
                <w:sz w:val="18"/>
                <w:szCs w:val="18"/>
              </w:rPr>
            </w:pPr>
            <w:r w:rsidRPr="00F31075">
              <w:rPr>
                <w:rFonts w:cs="Arial"/>
                <w:b w:val="0"/>
                <w:color w:val="000000"/>
                <w:sz w:val="18"/>
                <w:szCs w:val="18"/>
              </w:rPr>
              <w:t>Lettuce</w:t>
            </w:r>
          </w:p>
        </w:tc>
        <w:tc>
          <w:tcPr>
            <w:tcW w:w="1764" w:type="dxa"/>
            <w:vAlign w:val="center"/>
          </w:tcPr>
          <w:p w14:paraId="29193D37"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lang w:val="en-AU"/>
              </w:rPr>
              <w:t>L. innocua</w:t>
            </w:r>
          </w:p>
        </w:tc>
        <w:tc>
          <w:tcPr>
            <w:tcW w:w="1309" w:type="dxa"/>
            <w:vAlign w:val="center"/>
          </w:tcPr>
          <w:p w14:paraId="484E1F07"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6h</w:t>
            </w:r>
          </w:p>
        </w:tc>
        <w:tc>
          <w:tcPr>
            <w:tcW w:w="1165" w:type="dxa"/>
            <w:vAlign w:val="center"/>
          </w:tcPr>
          <w:p w14:paraId="78092449"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6.5</w:t>
            </w:r>
          </w:p>
        </w:tc>
        <w:tc>
          <w:tcPr>
            <w:tcW w:w="2562" w:type="dxa"/>
            <w:vAlign w:val="center"/>
          </w:tcPr>
          <w:p w14:paraId="11C1EF12"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100ppm FC (pH NR)</w:t>
            </w:r>
          </w:p>
        </w:tc>
        <w:tc>
          <w:tcPr>
            <w:tcW w:w="1162" w:type="dxa"/>
            <w:vAlign w:val="center"/>
          </w:tcPr>
          <w:p w14:paraId="57FD4467"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15</w:t>
            </w:r>
          </w:p>
        </w:tc>
        <w:tc>
          <w:tcPr>
            <w:tcW w:w="1229" w:type="dxa"/>
            <w:vAlign w:val="center"/>
          </w:tcPr>
          <w:p w14:paraId="2A360C78"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2.3</w:t>
            </w:r>
          </w:p>
        </w:tc>
        <w:tc>
          <w:tcPr>
            <w:tcW w:w="2851" w:type="dxa"/>
            <w:vAlign w:val="center"/>
          </w:tcPr>
          <w:p w14:paraId="76892464"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bookmarkStart w:id="1355" w:name="RANGE!H10"/>
            <w:r>
              <w:rPr>
                <w:rFonts w:cs="Arial"/>
                <w:color w:val="000000"/>
                <w:sz w:val="18"/>
                <w:szCs w:val="18"/>
                <w:lang w:eastAsia="en-AU"/>
              </w:rPr>
              <w:t>Karaca and Velioglu (2014)</w:t>
            </w:r>
            <w:bookmarkEnd w:id="1355"/>
          </w:p>
        </w:tc>
      </w:tr>
      <w:tr w:rsidR="00285EF0" w:rsidRPr="00BE211F" w14:paraId="4622BF7F"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4A00570D" w14:textId="77777777" w:rsidR="00285EF0" w:rsidRPr="00F31075" w:rsidRDefault="00285EF0" w:rsidP="00285EF0">
            <w:pPr>
              <w:rPr>
                <w:rFonts w:cs="Arial"/>
                <w:b w:val="0"/>
                <w:color w:val="000000" w:themeColor="text1"/>
                <w:sz w:val="18"/>
                <w:szCs w:val="18"/>
              </w:rPr>
            </w:pPr>
            <w:r w:rsidRPr="00F31075">
              <w:rPr>
                <w:rFonts w:cs="Arial"/>
                <w:b w:val="0"/>
                <w:color w:val="000000"/>
                <w:sz w:val="18"/>
                <w:szCs w:val="18"/>
              </w:rPr>
              <w:t>Lettuce</w:t>
            </w:r>
          </w:p>
        </w:tc>
        <w:tc>
          <w:tcPr>
            <w:tcW w:w="1764" w:type="dxa"/>
            <w:vAlign w:val="center"/>
          </w:tcPr>
          <w:p w14:paraId="0A18677E"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rPr>
              <w:t>L. innocua</w:t>
            </w:r>
          </w:p>
        </w:tc>
        <w:tc>
          <w:tcPr>
            <w:tcW w:w="1309" w:type="dxa"/>
            <w:vAlign w:val="center"/>
          </w:tcPr>
          <w:p w14:paraId="6546F11D"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15min</w:t>
            </w:r>
          </w:p>
        </w:tc>
        <w:tc>
          <w:tcPr>
            <w:tcW w:w="1165" w:type="dxa"/>
            <w:vAlign w:val="center"/>
          </w:tcPr>
          <w:p w14:paraId="6D9CC30B"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~4.0</w:t>
            </w:r>
          </w:p>
        </w:tc>
        <w:tc>
          <w:tcPr>
            <w:tcW w:w="2562" w:type="dxa"/>
            <w:vAlign w:val="center"/>
          </w:tcPr>
          <w:p w14:paraId="31F37136"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100 ppm FC (pH NR)</w:t>
            </w:r>
          </w:p>
        </w:tc>
        <w:tc>
          <w:tcPr>
            <w:tcW w:w="1162" w:type="dxa"/>
            <w:vAlign w:val="center"/>
          </w:tcPr>
          <w:p w14:paraId="634AF3F7"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5</w:t>
            </w:r>
          </w:p>
        </w:tc>
        <w:tc>
          <w:tcPr>
            <w:tcW w:w="1229" w:type="dxa"/>
            <w:vAlign w:val="center"/>
          </w:tcPr>
          <w:p w14:paraId="4D7E3248"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1.5</w:t>
            </w:r>
          </w:p>
        </w:tc>
        <w:tc>
          <w:tcPr>
            <w:tcW w:w="2851" w:type="dxa"/>
            <w:vAlign w:val="center"/>
          </w:tcPr>
          <w:p w14:paraId="7D5BCF0A"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Francis and O'Beirne (2002)</w:t>
            </w:r>
          </w:p>
        </w:tc>
      </w:tr>
      <w:tr w:rsidR="00285EF0" w:rsidRPr="00BE211F" w14:paraId="7811CDEF"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3E19578F" w14:textId="77777777" w:rsidR="00285EF0" w:rsidRPr="00F31075" w:rsidRDefault="00285EF0" w:rsidP="00285EF0">
            <w:pPr>
              <w:rPr>
                <w:rFonts w:cs="Arial"/>
                <w:b w:val="0"/>
                <w:color w:val="000000" w:themeColor="text1"/>
                <w:sz w:val="18"/>
                <w:szCs w:val="18"/>
              </w:rPr>
            </w:pPr>
            <w:r w:rsidRPr="00F31075">
              <w:rPr>
                <w:rFonts w:cs="Arial"/>
                <w:b w:val="0"/>
                <w:color w:val="000000"/>
                <w:sz w:val="18"/>
                <w:szCs w:val="18"/>
              </w:rPr>
              <w:t>Lettuce</w:t>
            </w:r>
          </w:p>
        </w:tc>
        <w:tc>
          <w:tcPr>
            <w:tcW w:w="1764" w:type="dxa"/>
            <w:vAlign w:val="center"/>
          </w:tcPr>
          <w:p w14:paraId="6D40DC6B"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rPr>
              <w:t>L. monocytogenes</w:t>
            </w:r>
          </w:p>
        </w:tc>
        <w:tc>
          <w:tcPr>
            <w:tcW w:w="1309" w:type="dxa"/>
            <w:vAlign w:val="center"/>
          </w:tcPr>
          <w:p w14:paraId="6C54DC0C"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NR</w:t>
            </w:r>
          </w:p>
        </w:tc>
        <w:tc>
          <w:tcPr>
            <w:tcW w:w="1165" w:type="dxa"/>
            <w:vAlign w:val="center"/>
          </w:tcPr>
          <w:p w14:paraId="0E8A96D9"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3.0 - 5.0</w:t>
            </w:r>
          </w:p>
        </w:tc>
        <w:tc>
          <w:tcPr>
            <w:tcW w:w="2562" w:type="dxa"/>
            <w:vAlign w:val="center"/>
          </w:tcPr>
          <w:p w14:paraId="75C9B841"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200ppm (pH 7, free/total NR)</w:t>
            </w:r>
          </w:p>
        </w:tc>
        <w:tc>
          <w:tcPr>
            <w:tcW w:w="1162" w:type="dxa"/>
            <w:vAlign w:val="center"/>
          </w:tcPr>
          <w:p w14:paraId="56AE8302"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10</w:t>
            </w:r>
          </w:p>
        </w:tc>
        <w:tc>
          <w:tcPr>
            <w:tcW w:w="1229" w:type="dxa"/>
            <w:vAlign w:val="center"/>
          </w:tcPr>
          <w:p w14:paraId="7FE4C50E"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0.30 - 0.71</w:t>
            </w:r>
          </w:p>
        </w:tc>
        <w:tc>
          <w:tcPr>
            <w:tcW w:w="2851" w:type="dxa"/>
            <w:vAlign w:val="center"/>
          </w:tcPr>
          <w:p w14:paraId="0668A86B"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bookmarkStart w:id="1356" w:name="RANGE!H12"/>
            <w:r>
              <w:rPr>
                <w:rFonts w:cs="Arial"/>
                <w:color w:val="000000"/>
                <w:sz w:val="18"/>
                <w:szCs w:val="18"/>
              </w:rPr>
              <w:t>Omac et al. (2017)</w:t>
            </w:r>
            <w:bookmarkEnd w:id="1356"/>
          </w:p>
        </w:tc>
      </w:tr>
      <w:tr w:rsidR="00285EF0" w:rsidRPr="00BE211F" w14:paraId="62F8A2D4"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5E164B73" w14:textId="77777777" w:rsidR="00285EF0" w:rsidRPr="00F31075" w:rsidRDefault="00285EF0" w:rsidP="00285EF0">
            <w:pPr>
              <w:rPr>
                <w:rFonts w:cs="Arial"/>
                <w:b w:val="0"/>
                <w:color w:val="000000" w:themeColor="text1"/>
                <w:sz w:val="18"/>
                <w:szCs w:val="18"/>
                <w:lang w:eastAsia="en-AU"/>
              </w:rPr>
            </w:pPr>
            <w:r w:rsidRPr="00F31075">
              <w:rPr>
                <w:rFonts w:cs="Arial"/>
                <w:b w:val="0"/>
                <w:color w:val="000000"/>
                <w:sz w:val="18"/>
                <w:szCs w:val="18"/>
              </w:rPr>
              <w:t>Lettuce</w:t>
            </w:r>
          </w:p>
        </w:tc>
        <w:tc>
          <w:tcPr>
            <w:tcW w:w="1764" w:type="dxa"/>
            <w:vAlign w:val="center"/>
          </w:tcPr>
          <w:p w14:paraId="18595DE9"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lang w:val="en-AU"/>
              </w:rPr>
              <w:t>L. monocytogenes</w:t>
            </w:r>
          </w:p>
        </w:tc>
        <w:tc>
          <w:tcPr>
            <w:tcW w:w="1309" w:type="dxa"/>
            <w:vAlign w:val="center"/>
          </w:tcPr>
          <w:p w14:paraId="37747309"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24h</w:t>
            </w:r>
          </w:p>
        </w:tc>
        <w:tc>
          <w:tcPr>
            <w:tcW w:w="1165" w:type="dxa"/>
            <w:vAlign w:val="center"/>
          </w:tcPr>
          <w:p w14:paraId="096DED60"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6.9 - 8.9</w:t>
            </w:r>
          </w:p>
        </w:tc>
        <w:tc>
          <w:tcPr>
            <w:tcW w:w="2562" w:type="dxa"/>
            <w:vAlign w:val="center"/>
          </w:tcPr>
          <w:p w14:paraId="59382BD4"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200ppm FC (pH 6.8)</w:t>
            </w:r>
          </w:p>
        </w:tc>
        <w:tc>
          <w:tcPr>
            <w:tcW w:w="1162" w:type="dxa"/>
            <w:vAlign w:val="center"/>
          </w:tcPr>
          <w:p w14:paraId="5AF64772"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5</w:t>
            </w:r>
          </w:p>
        </w:tc>
        <w:tc>
          <w:tcPr>
            <w:tcW w:w="1229" w:type="dxa"/>
            <w:vAlign w:val="center"/>
          </w:tcPr>
          <w:p w14:paraId="351FBBAD"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1.2 - 1.5</w:t>
            </w:r>
          </w:p>
        </w:tc>
        <w:tc>
          <w:tcPr>
            <w:tcW w:w="2851" w:type="dxa"/>
            <w:vAlign w:val="center"/>
          </w:tcPr>
          <w:p w14:paraId="1D6FBED5"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n-AU"/>
              </w:rPr>
            </w:pPr>
            <w:bookmarkStart w:id="1357" w:name="RANGE!H13"/>
            <w:r>
              <w:rPr>
                <w:rFonts w:cs="Arial"/>
                <w:color w:val="000000"/>
                <w:sz w:val="18"/>
                <w:szCs w:val="18"/>
              </w:rPr>
              <w:t xml:space="preserve"> Lang et al. (2004)</w:t>
            </w:r>
            <w:bookmarkEnd w:id="1357"/>
          </w:p>
        </w:tc>
      </w:tr>
      <w:tr w:rsidR="00285EF0" w:rsidRPr="00BE211F" w14:paraId="4E0CCB15"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778B9AB8" w14:textId="77777777" w:rsidR="00285EF0" w:rsidRPr="00F31075" w:rsidRDefault="00285EF0" w:rsidP="00285EF0">
            <w:pPr>
              <w:rPr>
                <w:rFonts w:cs="Arial"/>
                <w:b w:val="0"/>
                <w:color w:val="000000" w:themeColor="text1"/>
                <w:sz w:val="18"/>
                <w:szCs w:val="18"/>
                <w:lang w:eastAsia="en-AU"/>
              </w:rPr>
            </w:pPr>
            <w:r w:rsidRPr="00F31075">
              <w:rPr>
                <w:rFonts w:cs="Arial"/>
                <w:b w:val="0"/>
                <w:color w:val="000000"/>
                <w:sz w:val="18"/>
                <w:szCs w:val="18"/>
              </w:rPr>
              <w:t>Lettuce</w:t>
            </w:r>
          </w:p>
        </w:tc>
        <w:tc>
          <w:tcPr>
            <w:tcW w:w="1764" w:type="dxa"/>
            <w:vAlign w:val="center"/>
          </w:tcPr>
          <w:p w14:paraId="41BB80C6"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rPr>
              <w:t>L. monocytogenes</w:t>
            </w:r>
          </w:p>
        </w:tc>
        <w:tc>
          <w:tcPr>
            <w:tcW w:w="1309" w:type="dxa"/>
            <w:vAlign w:val="center"/>
          </w:tcPr>
          <w:p w14:paraId="5148168D"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ON</w:t>
            </w:r>
          </w:p>
        </w:tc>
        <w:tc>
          <w:tcPr>
            <w:tcW w:w="1165" w:type="dxa"/>
            <w:vAlign w:val="center"/>
          </w:tcPr>
          <w:p w14:paraId="55960B45"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7.7</w:t>
            </w:r>
          </w:p>
        </w:tc>
        <w:tc>
          <w:tcPr>
            <w:tcW w:w="2562" w:type="dxa"/>
            <w:vAlign w:val="center"/>
          </w:tcPr>
          <w:p w14:paraId="783B2D0E" w14:textId="455252C5" w:rsidR="00285EF0" w:rsidRPr="00BE211F" w:rsidRDefault="006B32C8"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 xml:space="preserve">100ppm FC (pH </w:t>
            </w:r>
            <w:r w:rsidR="00285EF0">
              <w:rPr>
                <w:rFonts w:cs="Arial"/>
                <w:color w:val="000000"/>
                <w:sz w:val="18"/>
                <w:szCs w:val="18"/>
              </w:rPr>
              <w:t>NR)</w:t>
            </w:r>
          </w:p>
        </w:tc>
        <w:tc>
          <w:tcPr>
            <w:tcW w:w="1162" w:type="dxa"/>
            <w:vAlign w:val="center"/>
          </w:tcPr>
          <w:p w14:paraId="113C6DDF"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5</w:t>
            </w:r>
          </w:p>
        </w:tc>
        <w:tc>
          <w:tcPr>
            <w:tcW w:w="1229" w:type="dxa"/>
            <w:vAlign w:val="center"/>
          </w:tcPr>
          <w:p w14:paraId="564FBA2F"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1.7</w:t>
            </w:r>
          </w:p>
        </w:tc>
        <w:tc>
          <w:tcPr>
            <w:tcW w:w="2851" w:type="dxa"/>
            <w:vAlign w:val="center"/>
          </w:tcPr>
          <w:p w14:paraId="4BA6836D"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bookmarkStart w:id="1358" w:name="RANGE!H14"/>
            <w:r>
              <w:rPr>
                <w:rFonts w:cs="Arial"/>
                <w:color w:val="000000"/>
                <w:sz w:val="18"/>
                <w:szCs w:val="18"/>
              </w:rPr>
              <w:t>Singh et al. (2018b)</w:t>
            </w:r>
            <w:bookmarkEnd w:id="1358"/>
          </w:p>
        </w:tc>
      </w:tr>
      <w:tr w:rsidR="00285EF0" w:rsidRPr="00BE211F" w14:paraId="71A69C05"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5BD7C057" w14:textId="77777777" w:rsidR="00285EF0" w:rsidRPr="00F31075" w:rsidRDefault="00285EF0" w:rsidP="00285EF0">
            <w:pPr>
              <w:widowControl/>
              <w:rPr>
                <w:rFonts w:cs="Arial"/>
                <w:b w:val="0"/>
                <w:color w:val="000000" w:themeColor="text1"/>
                <w:sz w:val="18"/>
                <w:szCs w:val="18"/>
                <w:lang w:bidi="ar-SA"/>
              </w:rPr>
            </w:pPr>
            <w:r w:rsidRPr="00F31075">
              <w:rPr>
                <w:rFonts w:cs="Arial"/>
                <w:b w:val="0"/>
                <w:color w:val="000000"/>
                <w:sz w:val="18"/>
                <w:szCs w:val="18"/>
              </w:rPr>
              <w:t>Lettuce</w:t>
            </w:r>
          </w:p>
        </w:tc>
        <w:tc>
          <w:tcPr>
            <w:tcW w:w="1764" w:type="dxa"/>
            <w:vAlign w:val="center"/>
          </w:tcPr>
          <w:p w14:paraId="7EFAB007"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rPr>
            </w:pPr>
            <w:r>
              <w:rPr>
                <w:rFonts w:cs="Arial"/>
                <w:i/>
                <w:iCs/>
                <w:color w:val="000000"/>
                <w:sz w:val="18"/>
                <w:szCs w:val="18"/>
              </w:rPr>
              <w:t>S.</w:t>
            </w:r>
            <w:r>
              <w:rPr>
                <w:rFonts w:cs="Arial"/>
                <w:color w:val="000000"/>
                <w:sz w:val="18"/>
                <w:szCs w:val="18"/>
              </w:rPr>
              <w:t xml:space="preserve"> Baildon</w:t>
            </w:r>
          </w:p>
        </w:tc>
        <w:tc>
          <w:tcPr>
            <w:tcW w:w="1309" w:type="dxa"/>
            <w:vAlign w:val="center"/>
          </w:tcPr>
          <w:p w14:paraId="7240085B"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25min</w:t>
            </w:r>
          </w:p>
        </w:tc>
        <w:tc>
          <w:tcPr>
            <w:tcW w:w="1165" w:type="dxa"/>
            <w:vAlign w:val="center"/>
          </w:tcPr>
          <w:p w14:paraId="1D8D892A"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3.6</w:t>
            </w:r>
          </w:p>
        </w:tc>
        <w:tc>
          <w:tcPr>
            <w:tcW w:w="2562" w:type="dxa"/>
            <w:vAlign w:val="center"/>
          </w:tcPr>
          <w:p w14:paraId="59D3DEB5"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120 - 200 ppm FC (pH 6.8)</w:t>
            </w:r>
          </w:p>
        </w:tc>
        <w:tc>
          <w:tcPr>
            <w:tcW w:w="1162" w:type="dxa"/>
            <w:vAlign w:val="center"/>
          </w:tcPr>
          <w:p w14:paraId="3013A66A"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40s</w:t>
            </w:r>
          </w:p>
        </w:tc>
        <w:tc>
          <w:tcPr>
            <w:tcW w:w="1229" w:type="dxa"/>
            <w:vAlign w:val="center"/>
          </w:tcPr>
          <w:p w14:paraId="7CE3F01E"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&lt;1.0</w:t>
            </w:r>
          </w:p>
        </w:tc>
        <w:tc>
          <w:tcPr>
            <w:tcW w:w="2851" w:type="dxa"/>
            <w:vAlign w:val="center"/>
          </w:tcPr>
          <w:p w14:paraId="4F7FB744"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bookmarkStart w:id="1359" w:name="RANGE!H15"/>
            <w:r>
              <w:rPr>
                <w:rFonts w:cs="Arial"/>
                <w:color w:val="000000"/>
                <w:sz w:val="18"/>
                <w:szCs w:val="18"/>
              </w:rPr>
              <w:t>Weissinger et al. (2000)</w:t>
            </w:r>
            <w:bookmarkEnd w:id="1359"/>
          </w:p>
        </w:tc>
      </w:tr>
      <w:tr w:rsidR="00285EF0" w:rsidRPr="00BE211F" w14:paraId="7FA41866"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1FBC505F" w14:textId="77777777" w:rsidR="00285EF0" w:rsidRPr="00F31075" w:rsidRDefault="00285EF0" w:rsidP="00285EF0">
            <w:pPr>
              <w:widowControl/>
              <w:rPr>
                <w:rFonts w:cs="Arial"/>
                <w:b w:val="0"/>
                <w:color w:val="000000" w:themeColor="text1"/>
                <w:sz w:val="18"/>
                <w:szCs w:val="18"/>
                <w:lang w:bidi="ar-SA"/>
              </w:rPr>
            </w:pPr>
            <w:r w:rsidRPr="00F31075">
              <w:rPr>
                <w:rFonts w:cs="Arial"/>
                <w:b w:val="0"/>
                <w:color w:val="000000"/>
                <w:sz w:val="18"/>
                <w:szCs w:val="18"/>
              </w:rPr>
              <w:t>Lettuce</w:t>
            </w:r>
          </w:p>
        </w:tc>
        <w:tc>
          <w:tcPr>
            <w:tcW w:w="1764" w:type="dxa"/>
            <w:vAlign w:val="center"/>
          </w:tcPr>
          <w:p w14:paraId="16641D5D"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rPr>
            </w:pPr>
            <w:r>
              <w:rPr>
                <w:rFonts w:cs="Arial"/>
                <w:i/>
                <w:iCs/>
                <w:color w:val="000000"/>
                <w:sz w:val="18"/>
                <w:szCs w:val="18"/>
                <w:lang w:val="en-AU"/>
              </w:rPr>
              <w:t>Salmonella</w:t>
            </w:r>
          </w:p>
        </w:tc>
        <w:tc>
          <w:tcPr>
            <w:tcW w:w="1309" w:type="dxa"/>
            <w:vAlign w:val="center"/>
          </w:tcPr>
          <w:p w14:paraId="19C72BE4"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24h</w:t>
            </w:r>
          </w:p>
        </w:tc>
        <w:tc>
          <w:tcPr>
            <w:tcW w:w="1165" w:type="dxa"/>
            <w:vAlign w:val="center"/>
          </w:tcPr>
          <w:p w14:paraId="08EB78A9"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7.4 - 8.9</w:t>
            </w:r>
          </w:p>
        </w:tc>
        <w:tc>
          <w:tcPr>
            <w:tcW w:w="2562" w:type="dxa"/>
            <w:vAlign w:val="center"/>
          </w:tcPr>
          <w:p w14:paraId="4C80B307"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200ppm FC (pH 6.8)</w:t>
            </w:r>
          </w:p>
        </w:tc>
        <w:tc>
          <w:tcPr>
            <w:tcW w:w="1162" w:type="dxa"/>
            <w:vAlign w:val="center"/>
          </w:tcPr>
          <w:p w14:paraId="0060DFE6"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5</w:t>
            </w:r>
          </w:p>
        </w:tc>
        <w:tc>
          <w:tcPr>
            <w:tcW w:w="1229" w:type="dxa"/>
            <w:vAlign w:val="center"/>
          </w:tcPr>
          <w:p w14:paraId="1F7A318E"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1.4 - 1.9</w:t>
            </w:r>
          </w:p>
        </w:tc>
        <w:tc>
          <w:tcPr>
            <w:tcW w:w="2851" w:type="dxa"/>
            <w:vAlign w:val="center"/>
          </w:tcPr>
          <w:p w14:paraId="2DCBD481"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bookmarkStart w:id="1360" w:name="RANGE!H16"/>
            <w:r>
              <w:rPr>
                <w:rFonts w:cs="Arial"/>
                <w:color w:val="000000"/>
                <w:sz w:val="18"/>
                <w:szCs w:val="18"/>
              </w:rPr>
              <w:t xml:space="preserve"> Lang et al. (2004)</w:t>
            </w:r>
            <w:bookmarkEnd w:id="1360"/>
          </w:p>
        </w:tc>
      </w:tr>
      <w:tr w:rsidR="00285EF0" w:rsidRPr="00BE211F" w14:paraId="79A0CE6E"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55490274" w14:textId="77777777" w:rsidR="00285EF0" w:rsidRPr="00F31075" w:rsidRDefault="00285EF0" w:rsidP="00285EF0">
            <w:pPr>
              <w:widowControl/>
              <w:rPr>
                <w:rFonts w:cs="Arial"/>
                <w:b w:val="0"/>
                <w:color w:val="000000" w:themeColor="text1"/>
                <w:sz w:val="18"/>
                <w:szCs w:val="18"/>
              </w:rPr>
            </w:pPr>
            <w:r w:rsidRPr="00F31075">
              <w:rPr>
                <w:rFonts w:cs="Arial"/>
                <w:b w:val="0"/>
                <w:color w:val="000000"/>
                <w:sz w:val="18"/>
                <w:szCs w:val="18"/>
              </w:rPr>
              <w:t>Lettuce</w:t>
            </w:r>
          </w:p>
        </w:tc>
        <w:tc>
          <w:tcPr>
            <w:tcW w:w="1764" w:type="dxa"/>
            <w:vAlign w:val="center"/>
          </w:tcPr>
          <w:p w14:paraId="6CF010A7"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rPr>
            </w:pPr>
            <w:r>
              <w:rPr>
                <w:rFonts w:cs="Arial"/>
                <w:i/>
                <w:iCs/>
                <w:color w:val="000000"/>
                <w:sz w:val="18"/>
                <w:szCs w:val="18"/>
              </w:rPr>
              <w:t xml:space="preserve">Salmonella </w:t>
            </w:r>
          </w:p>
        </w:tc>
        <w:tc>
          <w:tcPr>
            <w:tcW w:w="1309" w:type="dxa"/>
            <w:vAlign w:val="center"/>
          </w:tcPr>
          <w:p w14:paraId="50BBC1D1"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24h</w:t>
            </w:r>
          </w:p>
        </w:tc>
        <w:tc>
          <w:tcPr>
            <w:tcW w:w="1165" w:type="dxa"/>
            <w:vAlign w:val="center"/>
          </w:tcPr>
          <w:p w14:paraId="4E073F2C"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~7.0</w:t>
            </w:r>
          </w:p>
        </w:tc>
        <w:tc>
          <w:tcPr>
            <w:tcW w:w="2562" w:type="dxa"/>
            <w:vAlign w:val="center"/>
          </w:tcPr>
          <w:p w14:paraId="070F696F"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10 – 20ppm FC (pH NR)</w:t>
            </w:r>
          </w:p>
        </w:tc>
        <w:tc>
          <w:tcPr>
            <w:tcW w:w="1162" w:type="dxa"/>
            <w:vAlign w:val="center"/>
          </w:tcPr>
          <w:p w14:paraId="754C70C2" w14:textId="77777777" w:rsidR="00285EF0" w:rsidRPr="005C5C07"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highlight w:val="yellow"/>
              </w:rPr>
            </w:pPr>
            <w:r w:rsidRPr="001A5849">
              <w:rPr>
                <w:rFonts w:cs="Arial"/>
                <w:color w:val="000000"/>
                <w:sz w:val="18"/>
                <w:szCs w:val="18"/>
              </w:rPr>
              <w:t>1 - 3</w:t>
            </w:r>
          </w:p>
        </w:tc>
        <w:tc>
          <w:tcPr>
            <w:tcW w:w="1229" w:type="dxa"/>
            <w:vAlign w:val="center"/>
          </w:tcPr>
          <w:p w14:paraId="108EAD7A"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0.7 - 1.4</w:t>
            </w:r>
          </w:p>
        </w:tc>
        <w:tc>
          <w:tcPr>
            <w:tcW w:w="2851" w:type="dxa"/>
            <w:vAlign w:val="center"/>
          </w:tcPr>
          <w:p w14:paraId="4CA1E37B"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bookmarkStart w:id="1361" w:name="RANGE!H17"/>
            <w:r>
              <w:rPr>
                <w:rFonts w:cs="Arial"/>
                <w:color w:val="000000"/>
                <w:sz w:val="18"/>
                <w:szCs w:val="18"/>
              </w:rPr>
              <w:t>Lippman et al. (2020)</w:t>
            </w:r>
            <w:bookmarkEnd w:id="1361"/>
          </w:p>
        </w:tc>
      </w:tr>
      <w:tr w:rsidR="00285EF0" w:rsidRPr="00BE211F" w14:paraId="70E0A880"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291C4F9E" w14:textId="77777777" w:rsidR="00285EF0" w:rsidRPr="00F31075" w:rsidRDefault="00285EF0" w:rsidP="00285EF0">
            <w:pPr>
              <w:widowControl/>
              <w:rPr>
                <w:rFonts w:cs="Arial"/>
                <w:b w:val="0"/>
                <w:color w:val="000000" w:themeColor="text1"/>
                <w:sz w:val="18"/>
                <w:szCs w:val="18"/>
                <w:lang w:bidi="ar-SA"/>
              </w:rPr>
            </w:pPr>
            <w:r w:rsidRPr="00F31075">
              <w:rPr>
                <w:rFonts w:cs="Arial"/>
                <w:b w:val="0"/>
                <w:color w:val="000000"/>
                <w:sz w:val="18"/>
                <w:szCs w:val="18"/>
              </w:rPr>
              <w:t>Lettuce</w:t>
            </w:r>
          </w:p>
        </w:tc>
        <w:tc>
          <w:tcPr>
            <w:tcW w:w="1764" w:type="dxa"/>
            <w:vAlign w:val="center"/>
          </w:tcPr>
          <w:p w14:paraId="3E272B67"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i/>
                <w:iCs/>
                <w:color w:val="000000"/>
                <w:sz w:val="18"/>
                <w:szCs w:val="18"/>
              </w:rPr>
              <w:t>Salmonella</w:t>
            </w:r>
            <w:r>
              <w:rPr>
                <w:rFonts w:cs="Arial"/>
                <w:color w:val="000000"/>
                <w:sz w:val="18"/>
                <w:szCs w:val="18"/>
              </w:rPr>
              <w:t xml:space="preserve"> spp.</w:t>
            </w:r>
          </w:p>
        </w:tc>
        <w:tc>
          <w:tcPr>
            <w:tcW w:w="1309" w:type="dxa"/>
            <w:vAlign w:val="center"/>
          </w:tcPr>
          <w:p w14:paraId="7FB8E16F"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20min - 4h</w:t>
            </w:r>
          </w:p>
        </w:tc>
        <w:tc>
          <w:tcPr>
            <w:tcW w:w="1165" w:type="dxa"/>
            <w:vAlign w:val="center"/>
          </w:tcPr>
          <w:p w14:paraId="72AD696A"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6.1</w:t>
            </w:r>
          </w:p>
        </w:tc>
        <w:tc>
          <w:tcPr>
            <w:tcW w:w="2562" w:type="dxa"/>
            <w:vAlign w:val="center"/>
          </w:tcPr>
          <w:p w14:paraId="01B1FEB9"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200 ppm (pH NR, free/total NR)</w:t>
            </w:r>
          </w:p>
        </w:tc>
        <w:tc>
          <w:tcPr>
            <w:tcW w:w="1162" w:type="dxa"/>
            <w:vAlign w:val="center"/>
          </w:tcPr>
          <w:p w14:paraId="2485B263"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3</w:t>
            </w:r>
          </w:p>
        </w:tc>
        <w:tc>
          <w:tcPr>
            <w:tcW w:w="1229" w:type="dxa"/>
            <w:vAlign w:val="center"/>
          </w:tcPr>
          <w:p w14:paraId="381935C4"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1.9</w:t>
            </w:r>
          </w:p>
        </w:tc>
        <w:tc>
          <w:tcPr>
            <w:tcW w:w="2851" w:type="dxa"/>
            <w:vAlign w:val="center"/>
          </w:tcPr>
          <w:p w14:paraId="3A307AB8"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bookmarkStart w:id="1362" w:name="RANGE!H18"/>
            <w:r>
              <w:rPr>
                <w:rFonts w:cs="Arial"/>
                <w:color w:val="000000"/>
                <w:sz w:val="18"/>
                <w:szCs w:val="18"/>
              </w:rPr>
              <w:t>Hadjok et al. (2008)</w:t>
            </w:r>
            <w:bookmarkEnd w:id="1362"/>
          </w:p>
        </w:tc>
      </w:tr>
      <w:tr w:rsidR="00285EF0" w:rsidRPr="00BE211F" w14:paraId="0734559C"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75AD3786" w14:textId="77777777" w:rsidR="00285EF0" w:rsidRPr="00F31075" w:rsidRDefault="00285EF0" w:rsidP="00285EF0">
            <w:pPr>
              <w:rPr>
                <w:rFonts w:cs="Arial"/>
                <w:b w:val="0"/>
                <w:color w:val="000000" w:themeColor="text1"/>
                <w:sz w:val="18"/>
                <w:szCs w:val="18"/>
              </w:rPr>
            </w:pPr>
            <w:r w:rsidRPr="00F31075">
              <w:rPr>
                <w:rFonts w:cs="Arial"/>
                <w:b w:val="0"/>
                <w:color w:val="000000"/>
                <w:sz w:val="18"/>
                <w:szCs w:val="18"/>
              </w:rPr>
              <w:t>Parsley</w:t>
            </w:r>
          </w:p>
        </w:tc>
        <w:tc>
          <w:tcPr>
            <w:tcW w:w="1764" w:type="dxa"/>
            <w:vAlign w:val="center"/>
          </w:tcPr>
          <w:p w14:paraId="113807CB"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i/>
                <w:iCs/>
                <w:color w:val="000000"/>
                <w:sz w:val="18"/>
                <w:szCs w:val="18"/>
              </w:rPr>
              <w:t>E. coli</w:t>
            </w:r>
          </w:p>
        </w:tc>
        <w:tc>
          <w:tcPr>
            <w:tcW w:w="1309" w:type="dxa"/>
            <w:vAlign w:val="center"/>
          </w:tcPr>
          <w:p w14:paraId="2D8FB0D1"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6h</w:t>
            </w:r>
          </w:p>
        </w:tc>
        <w:tc>
          <w:tcPr>
            <w:tcW w:w="1165" w:type="dxa"/>
            <w:vAlign w:val="center"/>
          </w:tcPr>
          <w:p w14:paraId="7C7F12FF"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6.6</w:t>
            </w:r>
          </w:p>
        </w:tc>
        <w:tc>
          <w:tcPr>
            <w:tcW w:w="2562" w:type="dxa"/>
            <w:vAlign w:val="center"/>
          </w:tcPr>
          <w:p w14:paraId="3208AF02"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100ppm FC (pH NR)</w:t>
            </w:r>
          </w:p>
        </w:tc>
        <w:tc>
          <w:tcPr>
            <w:tcW w:w="1162" w:type="dxa"/>
            <w:vAlign w:val="center"/>
          </w:tcPr>
          <w:p w14:paraId="122EA8A3"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15</w:t>
            </w:r>
          </w:p>
        </w:tc>
        <w:tc>
          <w:tcPr>
            <w:tcW w:w="1229" w:type="dxa"/>
            <w:vAlign w:val="center"/>
          </w:tcPr>
          <w:p w14:paraId="23081E94"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3</w:t>
            </w:r>
          </w:p>
        </w:tc>
        <w:tc>
          <w:tcPr>
            <w:tcW w:w="2851" w:type="dxa"/>
            <w:vAlign w:val="center"/>
          </w:tcPr>
          <w:p w14:paraId="0989D16F"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bookmarkStart w:id="1363" w:name="RANGE!H19"/>
            <w:r>
              <w:rPr>
                <w:rFonts w:cs="Arial"/>
                <w:color w:val="000000"/>
                <w:sz w:val="18"/>
                <w:szCs w:val="18"/>
                <w:lang w:eastAsia="en-AU"/>
              </w:rPr>
              <w:t>Karaca and Velioglu (2014)</w:t>
            </w:r>
            <w:bookmarkEnd w:id="1363"/>
          </w:p>
        </w:tc>
      </w:tr>
      <w:tr w:rsidR="00285EF0" w:rsidRPr="00BE211F" w14:paraId="68726F5F"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7DC503AE" w14:textId="77777777" w:rsidR="00285EF0" w:rsidRPr="00F31075" w:rsidRDefault="00285EF0" w:rsidP="00285EF0">
            <w:pPr>
              <w:rPr>
                <w:rFonts w:cs="Arial"/>
                <w:b w:val="0"/>
                <w:color w:val="000000" w:themeColor="text1"/>
                <w:sz w:val="18"/>
                <w:szCs w:val="18"/>
                <w:lang w:eastAsia="en-AU"/>
              </w:rPr>
            </w:pPr>
            <w:r w:rsidRPr="00F31075">
              <w:rPr>
                <w:rFonts w:cs="Arial"/>
                <w:b w:val="0"/>
                <w:color w:val="000000"/>
                <w:sz w:val="18"/>
                <w:szCs w:val="18"/>
              </w:rPr>
              <w:t>Parsley</w:t>
            </w:r>
          </w:p>
        </w:tc>
        <w:tc>
          <w:tcPr>
            <w:tcW w:w="1764" w:type="dxa"/>
            <w:vAlign w:val="center"/>
          </w:tcPr>
          <w:p w14:paraId="0A2B2B64"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rPr>
              <w:t>E. coli</w:t>
            </w:r>
          </w:p>
        </w:tc>
        <w:tc>
          <w:tcPr>
            <w:tcW w:w="1309" w:type="dxa"/>
            <w:vAlign w:val="center"/>
          </w:tcPr>
          <w:p w14:paraId="352C5480"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6h</w:t>
            </w:r>
          </w:p>
        </w:tc>
        <w:tc>
          <w:tcPr>
            <w:tcW w:w="1165" w:type="dxa"/>
            <w:vAlign w:val="center"/>
          </w:tcPr>
          <w:p w14:paraId="00B27CAF"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6.5</w:t>
            </w:r>
          </w:p>
        </w:tc>
        <w:tc>
          <w:tcPr>
            <w:tcW w:w="2562" w:type="dxa"/>
            <w:vAlign w:val="center"/>
          </w:tcPr>
          <w:p w14:paraId="5A65F24E"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100ppm (pH NR, free/total NR)</w:t>
            </w:r>
          </w:p>
        </w:tc>
        <w:tc>
          <w:tcPr>
            <w:tcW w:w="1162" w:type="dxa"/>
            <w:vAlign w:val="center"/>
          </w:tcPr>
          <w:p w14:paraId="140D850A"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5</w:t>
            </w:r>
          </w:p>
        </w:tc>
        <w:tc>
          <w:tcPr>
            <w:tcW w:w="1229" w:type="dxa"/>
            <w:vAlign w:val="center"/>
          </w:tcPr>
          <w:p w14:paraId="65B58262"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3.2</w:t>
            </w:r>
          </w:p>
        </w:tc>
        <w:tc>
          <w:tcPr>
            <w:tcW w:w="2851" w:type="dxa"/>
            <w:vAlign w:val="center"/>
          </w:tcPr>
          <w:p w14:paraId="7F57DAD1"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bookmarkStart w:id="1364" w:name="RANGE!H20"/>
            <w:r>
              <w:rPr>
                <w:rFonts w:cs="Arial"/>
                <w:color w:val="000000"/>
                <w:sz w:val="18"/>
                <w:szCs w:val="18"/>
              </w:rPr>
              <w:t>Karaca and Velioglu (2020)</w:t>
            </w:r>
            <w:bookmarkEnd w:id="1364"/>
          </w:p>
        </w:tc>
      </w:tr>
      <w:tr w:rsidR="00285EF0" w:rsidRPr="00BE211F" w14:paraId="48CB8533"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09277BA3" w14:textId="77777777" w:rsidR="00285EF0" w:rsidRPr="00F31075" w:rsidRDefault="00285EF0" w:rsidP="00285EF0">
            <w:pPr>
              <w:rPr>
                <w:rFonts w:cs="Arial"/>
                <w:b w:val="0"/>
                <w:color w:val="000000" w:themeColor="text1"/>
                <w:sz w:val="18"/>
                <w:szCs w:val="18"/>
                <w:lang w:eastAsia="en-AU"/>
              </w:rPr>
            </w:pPr>
            <w:r w:rsidRPr="00F31075">
              <w:rPr>
                <w:rFonts w:cs="Arial"/>
                <w:b w:val="0"/>
                <w:color w:val="000000"/>
                <w:sz w:val="18"/>
                <w:szCs w:val="18"/>
              </w:rPr>
              <w:t>Parsley</w:t>
            </w:r>
          </w:p>
        </w:tc>
        <w:tc>
          <w:tcPr>
            <w:tcW w:w="1764" w:type="dxa"/>
            <w:vAlign w:val="center"/>
          </w:tcPr>
          <w:p w14:paraId="4ABED3D0"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lang w:val="en-AU"/>
              </w:rPr>
              <w:t xml:space="preserve">E. coli </w:t>
            </w:r>
            <w:r>
              <w:rPr>
                <w:rFonts w:cs="Arial"/>
                <w:color w:val="000000"/>
                <w:sz w:val="18"/>
                <w:szCs w:val="18"/>
                <w:lang w:val="en-AU"/>
              </w:rPr>
              <w:t>O157:H7</w:t>
            </w:r>
          </w:p>
        </w:tc>
        <w:tc>
          <w:tcPr>
            <w:tcW w:w="1309" w:type="dxa"/>
            <w:vAlign w:val="center"/>
          </w:tcPr>
          <w:p w14:paraId="15D0A3DD"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24h</w:t>
            </w:r>
          </w:p>
        </w:tc>
        <w:tc>
          <w:tcPr>
            <w:tcW w:w="1165" w:type="dxa"/>
            <w:vAlign w:val="center"/>
          </w:tcPr>
          <w:p w14:paraId="002B0BD6"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6.9 - 8.9</w:t>
            </w:r>
          </w:p>
        </w:tc>
        <w:tc>
          <w:tcPr>
            <w:tcW w:w="2562" w:type="dxa"/>
            <w:vAlign w:val="center"/>
          </w:tcPr>
          <w:p w14:paraId="0E71CD36"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200ppm FC (pH 6.8)</w:t>
            </w:r>
          </w:p>
        </w:tc>
        <w:tc>
          <w:tcPr>
            <w:tcW w:w="1162" w:type="dxa"/>
            <w:vAlign w:val="center"/>
          </w:tcPr>
          <w:p w14:paraId="3EDA5A80"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5</w:t>
            </w:r>
          </w:p>
        </w:tc>
        <w:tc>
          <w:tcPr>
            <w:tcW w:w="1229" w:type="dxa"/>
            <w:vAlign w:val="center"/>
          </w:tcPr>
          <w:p w14:paraId="59CEA617"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2.2 - 3.4</w:t>
            </w:r>
          </w:p>
        </w:tc>
        <w:tc>
          <w:tcPr>
            <w:tcW w:w="2851" w:type="dxa"/>
            <w:vAlign w:val="center"/>
          </w:tcPr>
          <w:p w14:paraId="67C6983F"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n-AU"/>
              </w:rPr>
            </w:pPr>
            <w:bookmarkStart w:id="1365" w:name="RANGE!H21"/>
            <w:r>
              <w:rPr>
                <w:rFonts w:cs="Arial"/>
                <w:color w:val="000000"/>
                <w:sz w:val="18"/>
                <w:szCs w:val="18"/>
              </w:rPr>
              <w:t xml:space="preserve"> Lang et al. (2004)</w:t>
            </w:r>
            <w:bookmarkEnd w:id="1365"/>
          </w:p>
        </w:tc>
      </w:tr>
      <w:tr w:rsidR="00285EF0" w:rsidRPr="00BE211F" w14:paraId="453B4576"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42C1C6F9" w14:textId="77777777" w:rsidR="00285EF0" w:rsidRPr="00F31075" w:rsidRDefault="00285EF0" w:rsidP="00285EF0">
            <w:pPr>
              <w:rPr>
                <w:rFonts w:cs="Arial"/>
                <w:b w:val="0"/>
                <w:color w:val="000000" w:themeColor="text1"/>
                <w:sz w:val="18"/>
                <w:szCs w:val="18"/>
                <w:lang w:eastAsia="en-AU"/>
              </w:rPr>
            </w:pPr>
            <w:r w:rsidRPr="00F31075">
              <w:rPr>
                <w:rFonts w:cs="Arial"/>
                <w:b w:val="0"/>
                <w:color w:val="000000"/>
                <w:sz w:val="18"/>
                <w:szCs w:val="18"/>
              </w:rPr>
              <w:t>Parsley</w:t>
            </w:r>
          </w:p>
        </w:tc>
        <w:tc>
          <w:tcPr>
            <w:tcW w:w="1764" w:type="dxa"/>
            <w:vAlign w:val="center"/>
          </w:tcPr>
          <w:p w14:paraId="1EFB294F"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AU"/>
              </w:rPr>
            </w:pPr>
            <w:r>
              <w:rPr>
                <w:rFonts w:cs="Arial"/>
                <w:i/>
                <w:iCs/>
                <w:color w:val="000000"/>
                <w:sz w:val="18"/>
                <w:szCs w:val="18"/>
                <w:lang w:val="en-AU"/>
              </w:rPr>
              <w:t>L. innocua</w:t>
            </w:r>
          </w:p>
        </w:tc>
        <w:tc>
          <w:tcPr>
            <w:tcW w:w="1309" w:type="dxa"/>
            <w:vAlign w:val="center"/>
          </w:tcPr>
          <w:p w14:paraId="246C6FED"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6h</w:t>
            </w:r>
          </w:p>
        </w:tc>
        <w:tc>
          <w:tcPr>
            <w:tcW w:w="1165" w:type="dxa"/>
            <w:vAlign w:val="center"/>
          </w:tcPr>
          <w:p w14:paraId="6F0EA1B9"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6.6</w:t>
            </w:r>
          </w:p>
        </w:tc>
        <w:tc>
          <w:tcPr>
            <w:tcW w:w="2562" w:type="dxa"/>
            <w:vAlign w:val="center"/>
          </w:tcPr>
          <w:p w14:paraId="1F5F331D"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100ppm FC (pH NR)</w:t>
            </w:r>
          </w:p>
        </w:tc>
        <w:tc>
          <w:tcPr>
            <w:tcW w:w="1162" w:type="dxa"/>
            <w:vAlign w:val="center"/>
          </w:tcPr>
          <w:p w14:paraId="2238B195"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15</w:t>
            </w:r>
          </w:p>
        </w:tc>
        <w:tc>
          <w:tcPr>
            <w:tcW w:w="1229" w:type="dxa"/>
            <w:vAlign w:val="center"/>
          </w:tcPr>
          <w:p w14:paraId="740176FE"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2.2</w:t>
            </w:r>
          </w:p>
        </w:tc>
        <w:tc>
          <w:tcPr>
            <w:tcW w:w="2851" w:type="dxa"/>
            <w:vAlign w:val="center"/>
          </w:tcPr>
          <w:p w14:paraId="773EF49E"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bookmarkStart w:id="1366" w:name="RANGE!H22"/>
            <w:r>
              <w:rPr>
                <w:rFonts w:cs="Arial"/>
                <w:color w:val="000000"/>
                <w:sz w:val="18"/>
                <w:szCs w:val="18"/>
                <w:lang w:eastAsia="en-AU"/>
              </w:rPr>
              <w:t>Karaca and Velioglu (2014)</w:t>
            </w:r>
            <w:bookmarkEnd w:id="1366"/>
          </w:p>
        </w:tc>
      </w:tr>
      <w:tr w:rsidR="00285EF0" w:rsidRPr="00BE211F" w14:paraId="1AEC1DA8"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0DE4A7A5" w14:textId="77777777" w:rsidR="00285EF0" w:rsidRPr="00F31075" w:rsidRDefault="00285EF0" w:rsidP="00285EF0">
            <w:pPr>
              <w:rPr>
                <w:rFonts w:cs="Arial"/>
                <w:b w:val="0"/>
                <w:sz w:val="18"/>
                <w:szCs w:val="18"/>
                <w:lang w:eastAsia="en-AU"/>
              </w:rPr>
            </w:pPr>
            <w:r w:rsidRPr="00F31075">
              <w:rPr>
                <w:rFonts w:cs="Arial"/>
                <w:b w:val="0"/>
                <w:color w:val="000000"/>
                <w:sz w:val="18"/>
                <w:szCs w:val="18"/>
              </w:rPr>
              <w:t>Parsley</w:t>
            </w:r>
          </w:p>
        </w:tc>
        <w:tc>
          <w:tcPr>
            <w:tcW w:w="1764" w:type="dxa"/>
            <w:vAlign w:val="center"/>
          </w:tcPr>
          <w:p w14:paraId="18002E60"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sz w:val="18"/>
                <w:szCs w:val="18"/>
                <w:lang w:val="en-AU"/>
              </w:rPr>
            </w:pPr>
            <w:r>
              <w:rPr>
                <w:rFonts w:cs="Arial"/>
                <w:i/>
                <w:iCs/>
                <w:color w:val="000000"/>
                <w:sz w:val="18"/>
                <w:szCs w:val="18"/>
              </w:rPr>
              <w:t>L. innocua</w:t>
            </w:r>
          </w:p>
        </w:tc>
        <w:tc>
          <w:tcPr>
            <w:tcW w:w="1309" w:type="dxa"/>
            <w:vAlign w:val="center"/>
          </w:tcPr>
          <w:p w14:paraId="59FFCCA6"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6h</w:t>
            </w:r>
          </w:p>
        </w:tc>
        <w:tc>
          <w:tcPr>
            <w:tcW w:w="1165" w:type="dxa"/>
            <w:vAlign w:val="center"/>
          </w:tcPr>
          <w:p w14:paraId="455AE9DA"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6.5</w:t>
            </w:r>
          </w:p>
        </w:tc>
        <w:tc>
          <w:tcPr>
            <w:tcW w:w="2562" w:type="dxa"/>
            <w:vAlign w:val="center"/>
          </w:tcPr>
          <w:p w14:paraId="4BCA191A"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100ppm (pH NR, free/total NR)</w:t>
            </w:r>
          </w:p>
        </w:tc>
        <w:tc>
          <w:tcPr>
            <w:tcW w:w="1162" w:type="dxa"/>
            <w:vAlign w:val="center"/>
          </w:tcPr>
          <w:p w14:paraId="2331CA2C"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5</w:t>
            </w:r>
          </w:p>
        </w:tc>
        <w:tc>
          <w:tcPr>
            <w:tcW w:w="1229" w:type="dxa"/>
            <w:vAlign w:val="center"/>
          </w:tcPr>
          <w:p w14:paraId="4825B7A6"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1.6</w:t>
            </w:r>
          </w:p>
        </w:tc>
        <w:tc>
          <w:tcPr>
            <w:tcW w:w="2851" w:type="dxa"/>
            <w:vAlign w:val="center"/>
          </w:tcPr>
          <w:p w14:paraId="6A0347F3" w14:textId="77777777" w:rsidR="00285EF0" w:rsidRPr="00BE211F" w:rsidRDefault="00285EF0" w:rsidP="00285EF0">
            <w:pPr>
              <w:keepNext/>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bookmarkStart w:id="1367" w:name="RANGE!H23"/>
            <w:r>
              <w:rPr>
                <w:rFonts w:cs="Arial"/>
                <w:color w:val="000000"/>
                <w:sz w:val="18"/>
                <w:szCs w:val="18"/>
              </w:rPr>
              <w:t>Karaca and Velioglu (2020)</w:t>
            </w:r>
            <w:bookmarkEnd w:id="1367"/>
          </w:p>
        </w:tc>
      </w:tr>
      <w:tr w:rsidR="00285EF0" w:rsidRPr="00BE211F" w14:paraId="4ECB3AB5"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6F3A6A7A" w14:textId="77777777" w:rsidR="00285EF0" w:rsidRPr="00F31075" w:rsidRDefault="00285EF0" w:rsidP="00285EF0">
            <w:pPr>
              <w:rPr>
                <w:rFonts w:cs="Arial"/>
                <w:b w:val="0"/>
                <w:sz w:val="18"/>
                <w:szCs w:val="18"/>
              </w:rPr>
            </w:pPr>
            <w:r w:rsidRPr="00F31075">
              <w:rPr>
                <w:rFonts w:cs="Arial"/>
                <w:b w:val="0"/>
                <w:color w:val="000000"/>
                <w:sz w:val="18"/>
                <w:szCs w:val="18"/>
              </w:rPr>
              <w:t>Parsley</w:t>
            </w:r>
          </w:p>
        </w:tc>
        <w:tc>
          <w:tcPr>
            <w:tcW w:w="1764" w:type="dxa"/>
            <w:vAlign w:val="center"/>
          </w:tcPr>
          <w:p w14:paraId="2F13D038"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sz w:val="18"/>
                <w:szCs w:val="18"/>
                <w:lang w:val="en-AU"/>
              </w:rPr>
            </w:pPr>
            <w:r>
              <w:rPr>
                <w:rFonts w:cs="Arial"/>
                <w:i/>
                <w:iCs/>
                <w:color w:val="000000"/>
                <w:sz w:val="18"/>
                <w:szCs w:val="18"/>
                <w:lang w:val="en-AU"/>
              </w:rPr>
              <w:t>L. monocytogenes</w:t>
            </w:r>
          </w:p>
        </w:tc>
        <w:tc>
          <w:tcPr>
            <w:tcW w:w="1309" w:type="dxa"/>
            <w:vAlign w:val="center"/>
          </w:tcPr>
          <w:p w14:paraId="2627BE99"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24h</w:t>
            </w:r>
          </w:p>
        </w:tc>
        <w:tc>
          <w:tcPr>
            <w:tcW w:w="1165" w:type="dxa"/>
            <w:vAlign w:val="center"/>
          </w:tcPr>
          <w:p w14:paraId="5DC7CDA5"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6.7 - 9.0</w:t>
            </w:r>
          </w:p>
        </w:tc>
        <w:tc>
          <w:tcPr>
            <w:tcW w:w="2562" w:type="dxa"/>
            <w:vAlign w:val="center"/>
          </w:tcPr>
          <w:p w14:paraId="55291984"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200ppm FC (pH 6.8)</w:t>
            </w:r>
          </w:p>
        </w:tc>
        <w:tc>
          <w:tcPr>
            <w:tcW w:w="1162" w:type="dxa"/>
            <w:vAlign w:val="center"/>
          </w:tcPr>
          <w:p w14:paraId="24C4D058"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5</w:t>
            </w:r>
          </w:p>
        </w:tc>
        <w:tc>
          <w:tcPr>
            <w:tcW w:w="1229" w:type="dxa"/>
            <w:vAlign w:val="center"/>
          </w:tcPr>
          <w:p w14:paraId="2D798F52"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2.2 - 3.4</w:t>
            </w:r>
          </w:p>
        </w:tc>
        <w:tc>
          <w:tcPr>
            <w:tcW w:w="2851" w:type="dxa"/>
            <w:vAlign w:val="center"/>
          </w:tcPr>
          <w:p w14:paraId="2B7BFDFA" w14:textId="77777777" w:rsidR="00285EF0" w:rsidRPr="00BE211F" w:rsidRDefault="00285EF0" w:rsidP="00285EF0">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bookmarkStart w:id="1368" w:name="RANGE!H24"/>
            <w:r>
              <w:rPr>
                <w:rFonts w:cs="Arial"/>
                <w:color w:val="000000"/>
                <w:sz w:val="18"/>
                <w:szCs w:val="18"/>
              </w:rPr>
              <w:t xml:space="preserve"> Lang et al. (2004)</w:t>
            </w:r>
            <w:bookmarkEnd w:id="1368"/>
          </w:p>
        </w:tc>
      </w:tr>
      <w:tr w:rsidR="00285EF0" w:rsidRPr="00BE211F" w14:paraId="219E02DA"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65981841" w14:textId="77777777" w:rsidR="00285EF0" w:rsidRPr="00F31075" w:rsidRDefault="00285EF0" w:rsidP="00285EF0">
            <w:pPr>
              <w:rPr>
                <w:rFonts w:cs="Arial"/>
                <w:b w:val="0"/>
                <w:sz w:val="18"/>
                <w:szCs w:val="18"/>
              </w:rPr>
            </w:pPr>
            <w:r w:rsidRPr="00F31075">
              <w:rPr>
                <w:rFonts w:cs="Arial"/>
                <w:b w:val="0"/>
                <w:color w:val="000000"/>
                <w:sz w:val="18"/>
                <w:szCs w:val="18"/>
              </w:rPr>
              <w:t>Parsley</w:t>
            </w:r>
          </w:p>
        </w:tc>
        <w:tc>
          <w:tcPr>
            <w:tcW w:w="1764" w:type="dxa"/>
            <w:vAlign w:val="center"/>
          </w:tcPr>
          <w:p w14:paraId="16E7620A"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sz w:val="18"/>
                <w:szCs w:val="18"/>
                <w:lang w:val="en-AU"/>
              </w:rPr>
            </w:pPr>
            <w:r>
              <w:rPr>
                <w:rFonts w:cs="Arial"/>
                <w:i/>
                <w:iCs/>
                <w:color w:val="000000"/>
                <w:sz w:val="18"/>
                <w:szCs w:val="18"/>
                <w:lang w:val="en-AU"/>
              </w:rPr>
              <w:t xml:space="preserve">S. </w:t>
            </w:r>
            <w:r>
              <w:rPr>
                <w:rFonts w:cs="Arial"/>
                <w:color w:val="000000"/>
                <w:sz w:val="18"/>
                <w:szCs w:val="18"/>
                <w:lang w:val="en-AU"/>
              </w:rPr>
              <w:t>Typhimurium</w:t>
            </w:r>
          </w:p>
        </w:tc>
        <w:tc>
          <w:tcPr>
            <w:tcW w:w="1309" w:type="dxa"/>
            <w:vAlign w:val="center"/>
          </w:tcPr>
          <w:p w14:paraId="45A8C6BD"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1h</w:t>
            </w:r>
          </w:p>
        </w:tc>
        <w:tc>
          <w:tcPr>
            <w:tcW w:w="1165" w:type="dxa"/>
            <w:vAlign w:val="center"/>
          </w:tcPr>
          <w:p w14:paraId="76DD27D5"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7</w:t>
            </w:r>
          </w:p>
        </w:tc>
        <w:tc>
          <w:tcPr>
            <w:tcW w:w="2562" w:type="dxa"/>
            <w:vAlign w:val="center"/>
          </w:tcPr>
          <w:p w14:paraId="1D4E1B27"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100ppm (pH NR, free/total NR)</w:t>
            </w:r>
          </w:p>
        </w:tc>
        <w:tc>
          <w:tcPr>
            <w:tcW w:w="1162" w:type="dxa"/>
            <w:vAlign w:val="center"/>
          </w:tcPr>
          <w:p w14:paraId="58747BE9"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5</w:t>
            </w:r>
          </w:p>
        </w:tc>
        <w:tc>
          <w:tcPr>
            <w:tcW w:w="1229" w:type="dxa"/>
            <w:vAlign w:val="center"/>
          </w:tcPr>
          <w:p w14:paraId="07C28432"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1.7</w:t>
            </w:r>
          </w:p>
        </w:tc>
        <w:tc>
          <w:tcPr>
            <w:tcW w:w="2851" w:type="dxa"/>
            <w:vAlign w:val="center"/>
          </w:tcPr>
          <w:p w14:paraId="4C5630E1" w14:textId="77777777" w:rsidR="00285EF0" w:rsidRPr="00BE211F" w:rsidRDefault="00285EF0" w:rsidP="00285EF0">
            <w:pPr>
              <w:keepNext/>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bookmarkStart w:id="1369" w:name="RANGE!H25"/>
            <w:r>
              <w:rPr>
                <w:rFonts w:cs="Arial"/>
                <w:color w:val="000000"/>
                <w:sz w:val="18"/>
                <w:szCs w:val="18"/>
              </w:rPr>
              <w:t>Lapidot et al. (2006)</w:t>
            </w:r>
            <w:bookmarkEnd w:id="1369"/>
          </w:p>
        </w:tc>
      </w:tr>
      <w:tr w:rsidR="00285EF0" w:rsidRPr="00BE211F" w14:paraId="70BC481D"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45E03A3D" w14:textId="77777777" w:rsidR="00285EF0" w:rsidRPr="00F31075" w:rsidRDefault="00285EF0" w:rsidP="00285EF0">
            <w:pPr>
              <w:rPr>
                <w:rFonts w:cs="Arial"/>
                <w:b w:val="0"/>
                <w:sz w:val="18"/>
                <w:szCs w:val="18"/>
              </w:rPr>
            </w:pPr>
            <w:r w:rsidRPr="00F31075">
              <w:rPr>
                <w:rFonts w:cs="Arial"/>
                <w:b w:val="0"/>
                <w:color w:val="000000"/>
                <w:sz w:val="18"/>
                <w:szCs w:val="18"/>
              </w:rPr>
              <w:t>Parsley</w:t>
            </w:r>
          </w:p>
        </w:tc>
        <w:tc>
          <w:tcPr>
            <w:tcW w:w="1764" w:type="dxa"/>
            <w:vAlign w:val="center"/>
          </w:tcPr>
          <w:p w14:paraId="46271638"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sz w:val="18"/>
                <w:szCs w:val="18"/>
                <w:lang w:val="en-AU"/>
              </w:rPr>
            </w:pPr>
            <w:r>
              <w:rPr>
                <w:rFonts w:cs="Arial"/>
                <w:color w:val="000000"/>
                <w:sz w:val="18"/>
                <w:szCs w:val="18"/>
              </w:rPr>
              <w:t>S. Typhimurium</w:t>
            </w:r>
          </w:p>
        </w:tc>
        <w:tc>
          <w:tcPr>
            <w:tcW w:w="1309" w:type="dxa"/>
            <w:vAlign w:val="center"/>
          </w:tcPr>
          <w:p w14:paraId="648C36F0"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1h</w:t>
            </w:r>
          </w:p>
        </w:tc>
        <w:tc>
          <w:tcPr>
            <w:tcW w:w="1165" w:type="dxa"/>
            <w:vAlign w:val="center"/>
          </w:tcPr>
          <w:p w14:paraId="722471CC"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7</w:t>
            </w:r>
          </w:p>
        </w:tc>
        <w:tc>
          <w:tcPr>
            <w:tcW w:w="2562" w:type="dxa"/>
            <w:vAlign w:val="center"/>
          </w:tcPr>
          <w:p w14:paraId="7B2E8C6D"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200ppm (pH NR, free/total NR)</w:t>
            </w:r>
          </w:p>
        </w:tc>
        <w:tc>
          <w:tcPr>
            <w:tcW w:w="1162" w:type="dxa"/>
            <w:vAlign w:val="center"/>
          </w:tcPr>
          <w:p w14:paraId="43CE3266"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5</w:t>
            </w:r>
          </w:p>
        </w:tc>
        <w:tc>
          <w:tcPr>
            <w:tcW w:w="1229" w:type="dxa"/>
            <w:vAlign w:val="center"/>
          </w:tcPr>
          <w:p w14:paraId="5870562F"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w:t>
            </w:r>
          </w:p>
        </w:tc>
        <w:tc>
          <w:tcPr>
            <w:tcW w:w="2851" w:type="dxa"/>
            <w:vAlign w:val="center"/>
          </w:tcPr>
          <w:p w14:paraId="68A72ED3" w14:textId="77777777" w:rsidR="00285EF0" w:rsidRPr="00BE211F" w:rsidRDefault="00285EF0" w:rsidP="00285EF0">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bookmarkStart w:id="1370" w:name="RANGE!H26"/>
            <w:r>
              <w:rPr>
                <w:rFonts w:cs="Arial"/>
                <w:color w:val="000000"/>
                <w:sz w:val="18"/>
                <w:szCs w:val="18"/>
              </w:rPr>
              <w:t>Lapidot et al. (2006)</w:t>
            </w:r>
            <w:bookmarkEnd w:id="1370"/>
          </w:p>
        </w:tc>
      </w:tr>
      <w:tr w:rsidR="00285EF0" w:rsidRPr="00BE211F" w14:paraId="1BCB3F12"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02277D38" w14:textId="77777777" w:rsidR="00285EF0" w:rsidRPr="00F31075" w:rsidRDefault="00285EF0" w:rsidP="00285EF0">
            <w:pPr>
              <w:rPr>
                <w:rFonts w:cs="Arial"/>
                <w:b w:val="0"/>
                <w:sz w:val="18"/>
                <w:szCs w:val="18"/>
              </w:rPr>
            </w:pPr>
            <w:r w:rsidRPr="00F31075">
              <w:rPr>
                <w:rFonts w:cs="Arial"/>
                <w:b w:val="0"/>
                <w:color w:val="000000"/>
                <w:sz w:val="18"/>
                <w:szCs w:val="18"/>
              </w:rPr>
              <w:t>Parsley</w:t>
            </w:r>
          </w:p>
        </w:tc>
        <w:tc>
          <w:tcPr>
            <w:tcW w:w="1764" w:type="dxa"/>
            <w:vAlign w:val="center"/>
          </w:tcPr>
          <w:p w14:paraId="3FFB8A69"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sz w:val="18"/>
                <w:szCs w:val="18"/>
                <w:lang w:val="en-AU"/>
              </w:rPr>
            </w:pPr>
            <w:r>
              <w:rPr>
                <w:rFonts w:cs="Arial"/>
                <w:color w:val="000000"/>
                <w:sz w:val="18"/>
                <w:szCs w:val="18"/>
              </w:rPr>
              <w:t>S. Typhimurium</w:t>
            </w:r>
          </w:p>
        </w:tc>
        <w:tc>
          <w:tcPr>
            <w:tcW w:w="1309" w:type="dxa"/>
            <w:vAlign w:val="center"/>
          </w:tcPr>
          <w:p w14:paraId="2FF9B969"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1h</w:t>
            </w:r>
          </w:p>
        </w:tc>
        <w:tc>
          <w:tcPr>
            <w:tcW w:w="1165" w:type="dxa"/>
            <w:vAlign w:val="center"/>
          </w:tcPr>
          <w:p w14:paraId="1A4AC4C4"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7</w:t>
            </w:r>
          </w:p>
        </w:tc>
        <w:tc>
          <w:tcPr>
            <w:tcW w:w="2562" w:type="dxa"/>
            <w:vAlign w:val="center"/>
          </w:tcPr>
          <w:p w14:paraId="416B61F4"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800ppm (pH NR, free/total NR)</w:t>
            </w:r>
          </w:p>
        </w:tc>
        <w:tc>
          <w:tcPr>
            <w:tcW w:w="1162" w:type="dxa"/>
            <w:vAlign w:val="center"/>
          </w:tcPr>
          <w:p w14:paraId="4F99A3CF"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5</w:t>
            </w:r>
          </w:p>
        </w:tc>
        <w:tc>
          <w:tcPr>
            <w:tcW w:w="1229" w:type="dxa"/>
            <w:vAlign w:val="center"/>
          </w:tcPr>
          <w:p w14:paraId="542E11B1"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2.5</w:t>
            </w:r>
          </w:p>
        </w:tc>
        <w:tc>
          <w:tcPr>
            <w:tcW w:w="2851" w:type="dxa"/>
            <w:vAlign w:val="center"/>
          </w:tcPr>
          <w:p w14:paraId="066996CF" w14:textId="77777777" w:rsidR="00285EF0" w:rsidRPr="00BE211F" w:rsidRDefault="00285EF0" w:rsidP="00285EF0">
            <w:pPr>
              <w:keepNext/>
              <w:jc w:val="right"/>
              <w:cnfStyle w:val="000000100000" w:firstRow="0" w:lastRow="0" w:firstColumn="0" w:lastColumn="0" w:oddVBand="0" w:evenVBand="0" w:oddHBand="1" w:evenHBand="0" w:firstRowFirstColumn="0" w:firstRowLastColumn="0" w:lastRowFirstColumn="0" w:lastRowLastColumn="0"/>
              <w:rPr>
                <w:rFonts w:cs="Arial"/>
                <w:sz w:val="18"/>
                <w:szCs w:val="18"/>
                <w:lang w:eastAsia="en-AU"/>
              </w:rPr>
            </w:pPr>
            <w:bookmarkStart w:id="1371" w:name="RANGE!H27"/>
            <w:r>
              <w:rPr>
                <w:rFonts w:cs="Arial"/>
                <w:color w:val="000000"/>
                <w:sz w:val="18"/>
                <w:szCs w:val="18"/>
              </w:rPr>
              <w:t>Lapidot et al. (2006)</w:t>
            </w:r>
            <w:bookmarkEnd w:id="1371"/>
          </w:p>
        </w:tc>
      </w:tr>
      <w:tr w:rsidR="00285EF0" w:rsidRPr="00BE211F" w14:paraId="79273464"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5F3F4E09" w14:textId="77777777" w:rsidR="00285EF0" w:rsidRPr="00F31075" w:rsidRDefault="00285EF0" w:rsidP="00285EF0">
            <w:pPr>
              <w:rPr>
                <w:rFonts w:cs="Arial"/>
                <w:b w:val="0"/>
                <w:sz w:val="18"/>
                <w:szCs w:val="18"/>
              </w:rPr>
            </w:pPr>
            <w:r w:rsidRPr="00F31075">
              <w:rPr>
                <w:rFonts w:cs="Arial"/>
                <w:b w:val="0"/>
                <w:color w:val="000000"/>
                <w:sz w:val="18"/>
                <w:szCs w:val="18"/>
              </w:rPr>
              <w:t>Parsley</w:t>
            </w:r>
          </w:p>
        </w:tc>
        <w:tc>
          <w:tcPr>
            <w:tcW w:w="1764" w:type="dxa"/>
            <w:vAlign w:val="center"/>
          </w:tcPr>
          <w:p w14:paraId="1AA18776"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sz w:val="18"/>
                <w:szCs w:val="18"/>
                <w:lang w:val="en-AU"/>
              </w:rPr>
            </w:pPr>
            <w:r>
              <w:rPr>
                <w:rFonts w:cs="Arial"/>
                <w:color w:val="000000"/>
                <w:sz w:val="18"/>
                <w:szCs w:val="18"/>
              </w:rPr>
              <w:t>S. Typhimurium</w:t>
            </w:r>
          </w:p>
        </w:tc>
        <w:tc>
          <w:tcPr>
            <w:tcW w:w="1309" w:type="dxa"/>
            <w:vAlign w:val="center"/>
          </w:tcPr>
          <w:p w14:paraId="41D68BB0"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1h</w:t>
            </w:r>
          </w:p>
        </w:tc>
        <w:tc>
          <w:tcPr>
            <w:tcW w:w="1165" w:type="dxa"/>
            <w:vAlign w:val="center"/>
          </w:tcPr>
          <w:p w14:paraId="5EB9C643"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7</w:t>
            </w:r>
          </w:p>
        </w:tc>
        <w:tc>
          <w:tcPr>
            <w:tcW w:w="2562" w:type="dxa"/>
            <w:vAlign w:val="center"/>
          </w:tcPr>
          <w:p w14:paraId="17F7E4B0"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1600ppm (pH NR, free/total NR)</w:t>
            </w:r>
          </w:p>
        </w:tc>
        <w:tc>
          <w:tcPr>
            <w:tcW w:w="1162" w:type="dxa"/>
            <w:vAlign w:val="center"/>
          </w:tcPr>
          <w:p w14:paraId="1C0D0071"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5</w:t>
            </w:r>
          </w:p>
        </w:tc>
        <w:tc>
          <w:tcPr>
            <w:tcW w:w="1229" w:type="dxa"/>
            <w:vAlign w:val="center"/>
          </w:tcPr>
          <w:p w14:paraId="39D6B3FC"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3</w:t>
            </w:r>
          </w:p>
        </w:tc>
        <w:tc>
          <w:tcPr>
            <w:tcW w:w="2851" w:type="dxa"/>
            <w:vAlign w:val="center"/>
          </w:tcPr>
          <w:p w14:paraId="7CC3A894" w14:textId="77777777" w:rsidR="00285EF0" w:rsidRPr="00BE211F" w:rsidRDefault="00285EF0" w:rsidP="00285EF0">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bookmarkStart w:id="1372" w:name="RANGE!H28"/>
            <w:r>
              <w:rPr>
                <w:rFonts w:cs="Arial"/>
                <w:color w:val="000000"/>
                <w:sz w:val="18"/>
                <w:szCs w:val="18"/>
              </w:rPr>
              <w:t>Lapidot et al. (2006)</w:t>
            </w:r>
            <w:bookmarkEnd w:id="1372"/>
          </w:p>
        </w:tc>
      </w:tr>
      <w:tr w:rsidR="00285EF0" w:rsidRPr="00BE211F" w14:paraId="7033A45D"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7011DFA1" w14:textId="77777777" w:rsidR="00285EF0" w:rsidRPr="00F31075" w:rsidRDefault="00285EF0" w:rsidP="00285EF0">
            <w:pPr>
              <w:rPr>
                <w:rFonts w:cs="Arial"/>
                <w:b w:val="0"/>
                <w:sz w:val="18"/>
                <w:szCs w:val="18"/>
              </w:rPr>
            </w:pPr>
            <w:r w:rsidRPr="00F31075">
              <w:rPr>
                <w:rFonts w:cs="Arial"/>
                <w:b w:val="0"/>
                <w:color w:val="000000"/>
                <w:sz w:val="18"/>
                <w:szCs w:val="18"/>
              </w:rPr>
              <w:t>Parsley</w:t>
            </w:r>
          </w:p>
        </w:tc>
        <w:tc>
          <w:tcPr>
            <w:tcW w:w="1764" w:type="dxa"/>
            <w:vAlign w:val="center"/>
          </w:tcPr>
          <w:p w14:paraId="78BD14B4"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lang w:val="en-AU"/>
              </w:rPr>
              <w:t xml:space="preserve">Salmonella </w:t>
            </w:r>
            <w:r>
              <w:rPr>
                <w:rFonts w:cs="Arial"/>
                <w:color w:val="000000"/>
                <w:sz w:val="18"/>
                <w:szCs w:val="18"/>
                <w:lang w:val="en-AU"/>
              </w:rPr>
              <w:t>spp.</w:t>
            </w:r>
          </w:p>
        </w:tc>
        <w:tc>
          <w:tcPr>
            <w:tcW w:w="1309" w:type="dxa"/>
            <w:vAlign w:val="center"/>
          </w:tcPr>
          <w:p w14:paraId="08D028EB"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24h</w:t>
            </w:r>
          </w:p>
        </w:tc>
        <w:tc>
          <w:tcPr>
            <w:tcW w:w="1165" w:type="dxa"/>
            <w:vAlign w:val="center"/>
          </w:tcPr>
          <w:p w14:paraId="34BE65A9"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6.2 - 8.9</w:t>
            </w:r>
          </w:p>
        </w:tc>
        <w:tc>
          <w:tcPr>
            <w:tcW w:w="2562" w:type="dxa"/>
            <w:vAlign w:val="center"/>
          </w:tcPr>
          <w:p w14:paraId="074ED745"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200ppm FC (pH 6.8)</w:t>
            </w:r>
          </w:p>
        </w:tc>
        <w:tc>
          <w:tcPr>
            <w:tcW w:w="1162" w:type="dxa"/>
            <w:vAlign w:val="center"/>
          </w:tcPr>
          <w:p w14:paraId="76A5217E"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5</w:t>
            </w:r>
          </w:p>
        </w:tc>
        <w:tc>
          <w:tcPr>
            <w:tcW w:w="1229" w:type="dxa"/>
            <w:vAlign w:val="center"/>
          </w:tcPr>
          <w:p w14:paraId="3802DE27"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1.6 - 4.0</w:t>
            </w:r>
          </w:p>
        </w:tc>
        <w:tc>
          <w:tcPr>
            <w:tcW w:w="2851" w:type="dxa"/>
            <w:vAlign w:val="center"/>
          </w:tcPr>
          <w:p w14:paraId="61114FEA" w14:textId="77777777" w:rsidR="00285EF0" w:rsidRPr="00BE211F" w:rsidRDefault="00285EF0" w:rsidP="00285EF0">
            <w:pPr>
              <w:keepNext/>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n-AU"/>
              </w:rPr>
            </w:pPr>
            <w:bookmarkStart w:id="1373" w:name="RANGE!H29"/>
            <w:r>
              <w:rPr>
                <w:rFonts w:cs="Arial"/>
                <w:color w:val="000000"/>
                <w:sz w:val="18"/>
                <w:szCs w:val="18"/>
              </w:rPr>
              <w:t xml:space="preserve"> Lang et al. (2004)</w:t>
            </w:r>
            <w:bookmarkEnd w:id="1373"/>
          </w:p>
        </w:tc>
      </w:tr>
      <w:tr w:rsidR="00285EF0" w:rsidRPr="00BE211F" w14:paraId="13E069FF"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08357442" w14:textId="77777777" w:rsidR="00285EF0" w:rsidRPr="00F31075" w:rsidRDefault="00285EF0" w:rsidP="00285EF0">
            <w:pPr>
              <w:rPr>
                <w:rFonts w:cs="Arial"/>
                <w:b w:val="0"/>
                <w:sz w:val="18"/>
                <w:szCs w:val="18"/>
              </w:rPr>
            </w:pPr>
            <w:r w:rsidRPr="00F31075">
              <w:rPr>
                <w:rFonts w:cs="Arial"/>
                <w:b w:val="0"/>
                <w:color w:val="000000"/>
                <w:sz w:val="18"/>
                <w:szCs w:val="18"/>
              </w:rPr>
              <w:t>Spinach</w:t>
            </w:r>
          </w:p>
        </w:tc>
        <w:tc>
          <w:tcPr>
            <w:tcW w:w="1764" w:type="dxa"/>
            <w:vAlign w:val="center"/>
          </w:tcPr>
          <w:p w14:paraId="05B9ADD2"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rPr>
              <w:t>E. coli</w:t>
            </w:r>
          </w:p>
        </w:tc>
        <w:tc>
          <w:tcPr>
            <w:tcW w:w="1309" w:type="dxa"/>
            <w:vAlign w:val="center"/>
          </w:tcPr>
          <w:p w14:paraId="3F4DFA5A"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6h</w:t>
            </w:r>
          </w:p>
        </w:tc>
        <w:tc>
          <w:tcPr>
            <w:tcW w:w="1165" w:type="dxa"/>
            <w:vAlign w:val="center"/>
          </w:tcPr>
          <w:p w14:paraId="2D8A16DA"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6.4</w:t>
            </w:r>
          </w:p>
        </w:tc>
        <w:tc>
          <w:tcPr>
            <w:tcW w:w="2562" w:type="dxa"/>
            <w:vAlign w:val="center"/>
          </w:tcPr>
          <w:p w14:paraId="259B7FF7"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100ppm FC (pH NR)</w:t>
            </w:r>
          </w:p>
        </w:tc>
        <w:tc>
          <w:tcPr>
            <w:tcW w:w="1162" w:type="dxa"/>
            <w:vAlign w:val="center"/>
          </w:tcPr>
          <w:p w14:paraId="5988E73E"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15</w:t>
            </w:r>
          </w:p>
        </w:tc>
        <w:tc>
          <w:tcPr>
            <w:tcW w:w="1229" w:type="dxa"/>
            <w:vAlign w:val="center"/>
          </w:tcPr>
          <w:p w14:paraId="741C1E6C"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2.7</w:t>
            </w:r>
          </w:p>
        </w:tc>
        <w:tc>
          <w:tcPr>
            <w:tcW w:w="2851" w:type="dxa"/>
            <w:vAlign w:val="center"/>
          </w:tcPr>
          <w:p w14:paraId="75C7FA76" w14:textId="77777777" w:rsidR="00285EF0" w:rsidRPr="00BE211F" w:rsidRDefault="00285EF0" w:rsidP="00285EF0">
            <w:pPr>
              <w:keepNext/>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bookmarkStart w:id="1374" w:name="RANGE!H30"/>
            <w:r>
              <w:rPr>
                <w:rFonts w:cs="Arial"/>
                <w:color w:val="000000"/>
                <w:sz w:val="18"/>
                <w:szCs w:val="18"/>
                <w:lang w:eastAsia="en-AU"/>
              </w:rPr>
              <w:t>Karaca and Velioglu (2014)</w:t>
            </w:r>
            <w:bookmarkEnd w:id="1374"/>
          </w:p>
        </w:tc>
      </w:tr>
      <w:tr w:rsidR="00285EF0" w:rsidRPr="00BE211F" w14:paraId="7E90EDD5"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234F091F" w14:textId="77777777" w:rsidR="00285EF0" w:rsidRPr="00F31075" w:rsidRDefault="00285EF0" w:rsidP="00285EF0">
            <w:pPr>
              <w:rPr>
                <w:rFonts w:cs="Arial"/>
                <w:b w:val="0"/>
                <w:sz w:val="18"/>
                <w:szCs w:val="18"/>
              </w:rPr>
            </w:pPr>
            <w:r w:rsidRPr="00F31075">
              <w:rPr>
                <w:rFonts w:cs="Arial"/>
                <w:b w:val="0"/>
                <w:color w:val="000000"/>
                <w:sz w:val="18"/>
                <w:szCs w:val="18"/>
              </w:rPr>
              <w:t>Spinach</w:t>
            </w:r>
          </w:p>
        </w:tc>
        <w:tc>
          <w:tcPr>
            <w:tcW w:w="1764" w:type="dxa"/>
            <w:vAlign w:val="center"/>
          </w:tcPr>
          <w:p w14:paraId="2A1DA78E"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rPr>
              <w:t>E. coli</w:t>
            </w:r>
          </w:p>
        </w:tc>
        <w:tc>
          <w:tcPr>
            <w:tcW w:w="1309" w:type="dxa"/>
            <w:vAlign w:val="center"/>
          </w:tcPr>
          <w:p w14:paraId="4EB1BC64"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30min</w:t>
            </w:r>
          </w:p>
        </w:tc>
        <w:tc>
          <w:tcPr>
            <w:tcW w:w="1165" w:type="dxa"/>
            <w:vAlign w:val="center"/>
          </w:tcPr>
          <w:p w14:paraId="13951EF3"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6.8</w:t>
            </w:r>
          </w:p>
        </w:tc>
        <w:tc>
          <w:tcPr>
            <w:tcW w:w="2562" w:type="dxa"/>
            <w:vAlign w:val="center"/>
          </w:tcPr>
          <w:p w14:paraId="5AD102DA"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100 ppm FC (pH 9.8)</w:t>
            </w:r>
          </w:p>
        </w:tc>
        <w:tc>
          <w:tcPr>
            <w:tcW w:w="1162" w:type="dxa"/>
            <w:vAlign w:val="center"/>
          </w:tcPr>
          <w:p w14:paraId="1F675657"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3</w:t>
            </w:r>
          </w:p>
        </w:tc>
        <w:tc>
          <w:tcPr>
            <w:tcW w:w="1229" w:type="dxa"/>
            <w:vAlign w:val="center"/>
          </w:tcPr>
          <w:p w14:paraId="5A6805B8"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w:t>
            </w:r>
          </w:p>
        </w:tc>
        <w:tc>
          <w:tcPr>
            <w:tcW w:w="2851" w:type="dxa"/>
            <w:vAlign w:val="center"/>
          </w:tcPr>
          <w:p w14:paraId="63B053EF" w14:textId="77777777" w:rsidR="00285EF0" w:rsidRPr="00BE211F" w:rsidRDefault="00285EF0" w:rsidP="00285EF0">
            <w:pPr>
              <w:keepNext/>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n-AU"/>
              </w:rPr>
            </w:pPr>
            <w:bookmarkStart w:id="1375" w:name="RANGE!H31"/>
            <w:r>
              <w:rPr>
                <w:rFonts w:cs="Arial"/>
                <w:color w:val="000000"/>
                <w:sz w:val="18"/>
                <w:szCs w:val="18"/>
              </w:rPr>
              <w:t>Rahman et al. (2010)</w:t>
            </w:r>
            <w:bookmarkEnd w:id="1375"/>
          </w:p>
        </w:tc>
      </w:tr>
      <w:tr w:rsidR="00285EF0" w:rsidRPr="00BE211F" w14:paraId="425C9B0C"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190107CE" w14:textId="77777777" w:rsidR="00285EF0" w:rsidRPr="00F31075" w:rsidRDefault="00285EF0" w:rsidP="00285EF0">
            <w:pPr>
              <w:rPr>
                <w:rFonts w:cs="Arial"/>
                <w:b w:val="0"/>
                <w:sz w:val="18"/>
                <w:szCs w:val="18"/>
              </w:rPr>
            </w:pPr>
            <w:r w:rsidRPr="00F31075">
              <w:rPr>
                <w:rFonts w:cs="Arial"/>
                <w:b w:val="0"/>
                <w:color w:val="000000"/>
                <w:sz w:val="18"/>
                <w:szCs w:val="18"/>
              </w:rPr>
              <w:t>Spinach</w:t>
            </w:r>
          </w:p>
        </w:tc>
        <w:tc>
          <w:tcPr>
            <w:tcW w:w="1764" w:type="dxa"/>
            <w:vAlign w:val="center"/>
          </w:tcPr>
          <w:p w14:paraId="57953463"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lang w:val="en-AU"/>
              </w:rPr>
              <w:t xml:space="preserve">E. coli </w:t>
            </w:r>
            <w:r>
              <w:rPr>
                <w:rFonts w:cs="Arial"/>
                <w:color w:val="000000"/>
                <w:sz w:val="18"/>
                <w:szCs w:val="18"/>
                <w:lang w:val="en-AU"/>
              </w:rPr>
              <w:t>O157: H7</w:t>
            </w:r>
          </w:p>
        </w:tc>
        <w:tc>
          <w:tcPr>
            <w:tcW w:w="1309" w:type="dxa"/>
            <w:vAlign w:val="center"/>
          </w:tcPr>
          <w:p w14:paraId="1207AFE8"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1165" w:type="dxa"/>
            <w:vAlign w:val="center"/>
          </w:tcPr>
          <w:p w14:paraId="4BF40703"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 </w:t>
            </w:r>
          </w:p>
        </w:tc>
        <w:tc>
          <w:tcPr>
            <w:tcW w:w="2562" w:type="dxa"/>
            <w:vAlign w:val="center"/>
          </w:tcPr>
          <w:p w14:paraId="6BBDCC9D"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100 ppm</w:t>
            </w:r>
          </w:p>
        </w:tc>
        <w:tc>
          <w:tcPr>
            <w:tcW w:w="1162" w:type="dxa"/>
            <w:vAlign w:val="center"/>
          </w:tcPr>
          <w:p w14:paraId="6B5F8AA9"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5</w:t>
            </w:r>
          </w:p>
        </w:tc>
        <w:tc>
          <w:tcPr>
            <w:tcW w:w="1229" w:type="dxa"/>
            <w:vAlign w:val="center"/>
          </w:tcPr>
          <w:p w14:paraId="4B575753"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1.3</w:t>
            </w:r>
          </w:p>
        </w:tc>
        <w:tc>
          <w:tcPr>
            <w:tcW w:w="2851" w:type="dxa"/>
            <w:vAlign w:val="center"/>
          </w:tcPr>
          <w:p w14:paraId="70BDF493" w14:textId="77777777" w:rsidR="00285EF0" w:rsidRPr="00BE211F" w:rsidRDefault="00285EF0" w:rsidP="00285EF0">
            <w:pPr>
              <w:keepNext/>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bookmarkStart w:id="1376" w:name="RANGE!H32"/>
            <w:r>
              <w:rPr>
                <w:rFonts w:cs="Arial"/>
                <w:color w:val="000000"/>
                <w:sz w:val="18"/>
                <w:szCs w:val="18"/>
              </w:rPr>
              <w:t>Nei et al. (2009)</w:t>
            </w:r>
            <w:bookmarkEnd w:id="1376"/>
          </w:p>
        </w:tc>
      </w:tr>
      <w:tr w:rsidR="00285EF0" w:rsidRPr="00BE211F" w14:paraId="6451CE11"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75B4E7B5" w14:textId="77777777" w:rsidR="00285EF0" w:rsidRPr="00F31075" w:rsidRDefault="00285EF0" w:rsidP="00285EF0">
            <w:pPr>
              <w:rPr>
                <w:rFonts w:cs="Arial"/>
                <w:b w:val="0"/>
                <w:sz w:val="18"/>
                <w:szCs w:val="18"/>
              </w:rPr>
            </w:pPr>
            <w:r w:rsidRPr="00F31075">
              <w:rPr>
                <w:rFonts w:cs="Arial"/>
                <w:b w:val="0"/>
                <w:color w:val="000000"/>
                <w:sz w:val="18"/>
                <w:szCs w:val="18"/>
              </w:rPr>
              <w:t>Spinach</w:t>
            </w:r>
          </w:p>
        </w:tc>
        <w:tc>
          <w:tcPr>
            <w:tcW w:w="1764" w:type="dxa"/>
            <w:vAlign w:val="center"/>
          </w:tcPr>
          <w:p w14:paraId="382A0E7B"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lang w:val="en-AU"/>
              </w:rPr>
              <w:t xml:space="preserve">E. coli </w:t>
            </w:r>
            <w:r>
              <w:rPr>
                <w:rFonts w:cs="Arial"/>
                <w:color w:val="000000"/>
                <w:sz w:val="18"/>
                <w:szCs w:val="18"/>
                <w:lang w:val="en-AU"/>
              </w:rPr>
              <w:t>O157: H7</w:t>
            </w:r>
          </w:p>
        </w:tc>
        <w:tc>
          <w:tcPr>
            <w:tcW w:w="1309" w:type="dxa"/>
            <w:vAlign w:val="center"/>
          </w:tcPr>
          <w:p w14:paraId="407A44BF"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20min - 4h</w:t>
            </w:r>
          </w:p>
        </w:tc>
        <w:tc>
          <w:tcPr>
            <w:tcW w:w="1165" w:type="dxa"/>
            <w:vAlign w:val="center"/>
          </w:tcPr>
          <w:p w14:paraId="2DAC38D7"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6.1</w:t>
            </w:r>
          </w:p>
        </w:tc>
        <w:tc>
          <w:tcPr>
            <w:tcW w:w="2562" w:type="dxa"/>
            <w:vAlign w:val="center"/>
          </w:tcPr>
          <w:p w14:paraId="430D67B2"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200 ppm (pH NR, free/total NR)</w:t>
            </w:r>
          </w:p>
        </w:tc>
        <w:tc>
          <w:tcPr>
            <w:tcW w:w="1162" w:type="dxa"/>
            <w:vAlign w:val="center"/>
          </w:tcPr>
          <w:p w14:paraId="744FFE76"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3</w:t>
            </w:r>
          </w:p>
        </w:tc>
        <w:tc>
          <w:tcPr>
            <w:tcW w:w="1229" w:type="dxa"/>
            <w:vAlign w:val="center"/>
          </w:tcPr>
          <w:p w14:paraId="3BE1FD2A"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0.5</w:t>
            </w:r>
          </w:p>
        </w:tc>
        <w:tc>
          <w:tcPr>
            <w:tcW w:w="2851" w:type="dxa"/>
            <w:vAlign w:val="center"/>
          </w:tcPr>
          <w:p w14:paraId="67B9F751" w14:textId="77777777" w:rsidR="00285EF0" w:rsidRPr="00BE211F" w:rsidRDefault="00285EF0" w:rsidP="00285EF0">
            <w:pPr>
              <w:keepNext/>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n-AU"/>
              </w:rPr>
            </w:pPr>
            <w:bookmarkStart w:id="1377" w:name="RANGE!H33"/>
            <w:r>
              <w:rPr>
                <w:rFonts w:cs="Arial"/>
                <w:color w:val="000000"/>
                <w:sz w:val="18"/>
                <w:szCs w:val="18"/>
              </w:rPr>
              <w:t>Hadjok et al. (2008)</w:t>
            </w:r>
            <w:bookmarkEnd w:id="1377"/>
          </w:p>
        </w:tc>
      </w:tr>
      <w:tr w:rsidR="00285EF0" w:rsidRPr="00BE211F" w14:paraId="44C11B2B"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315B54BE" w14:textId="77777777" w:rsidR="00285EF0" w:rsidRPr="00F31075" w:rsidRDefault="00285EF0" w:rsidP="00285EF0">
            <w:pPr>
              <w:rPr>
                <w:rFonts w:cs="Arial"/>
                <w:b w:val="0"/>
                <w:sz w:val="18"/>
                <w:szCs w:val="18"/>
              </w:rPr>
            </w:pPr>
            <w:r w:rsidRPr="00F31075">
              <w:rPr>
                <w:rFonts w:cs="Arial"/>
                <w:b w:val="0"/>
                <w:color w:val="000000"/>
                <w:sz w:val="18"/>
                <w:szCs w:val="18"/>
              </w:rPr>
              <w:t>Spinach</w:t>
            </w:r>
          </w:p>
        </w:tc>
        <w:tc>
          <w:tcPr>
            <w:tcW w:w="1764" w:type="dxa"/>
            <w:vAlign w:val="center"/>
          </w:tcPr>
          <w:p w14:paraId="17CECC73"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lang w:val="en-AU"/>
              </w:rPr>
              <w:t xml:space="preserve">E. coli </w:t>
            </w:r>
            <w:r>
              <w:rPr>
                <w:rFonts w:cs="Arial"/>
                <w:color w:val="000000"/>
                <w:sz w:val="18"/>
                <w:szCs w:val="18"/>
                <w:lang w:val="en-AU"/>
              </w:rPr>
              <w:t>O157: H7</w:t>
            </w:r>
          </w:p>
        </w:tc>
        <w:tc>
          <w:tcPr>
            <w:tcW w:w="1309" w:type="dxa"/>
            <w:vAlign w:val="center"/>
          </w:tcPr>
          <w:p w14:paraId="73861FEE"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1h</w:t>
            </w:r>
          </w:p>
        </w:tc>
        <w:tc>
          <w:tcPr>
            <w:tcW w:w="1165" w:type="dxa"/>
            <w:vAlign w:val="center"/>
          </w:tcPr>
          <w:p w14:paraId="7B83EA96"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5.4</w:t>
            </w:r>
          </w:p>
        </w:tc>
        <w:tc>
          <w:tcPr>
            <w:tcW w:w="2562" w:type="dxa"/>
            <w:vAlign w:val="center"/>
          </w:tcPr>
          <w:p w14:paraId="0ECB89E3"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100 ppm (pH NR, free/total NR)</w:t>
            </w:r>
          </w:p>
        </w:tc>
        <w:tc>
          <w:tcPr>
            <w:tcW w:w="1162" w:type="dxa"/>
            <w:vAlign w:val="center"/>
          </w:tcPr>
          <w:p w14:paraId="317573A7"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5</w:t>
            </w:r>
          </w:p>
        </w:tc>
        <w:tc>
          <w:tcPr>
            <w:tcW w:w="1229" w:type="dxa"/>
            <w:vAlign w:val="center"/>
          </w:tcPr>
          <w:p w14:paraId="01E28B43"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1.1</w:t>
            </w:r>
          </w:p>
        </w:tc>
        <w:tc>
          <w:tcPr>
            <w:tcW w:w="2851" w:type="dxa"/>
            <w:vAlign w:val="center"/>
          </w:tcPr>
          <w:p w14:paraId="6B0548A7" w14:textId="77777777" w:rsidR="00285EF0" w:rsidRPr="00BE211F" w:rsidRDefault="00285EF0" w:rsidP="00285EF0">
            <w:pPr>
              <w:keepNext/>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bookmarkStart w:id="1378" w:name="RANGE!H34"/>
            <w:r>
              <w:rPr>
                <w:rFonts w:cs="Arial"/>
                <w:color w:val="000000"/>
                <w:sz w:val="18"/>
                <w:szCs w:val="18"/>
              </w:rPr>
              <w:t>Lee and Baek (2008)</w:t>
            </w:r>
            <w:bookmarkEnd w:id="1378"/>
          </w:p>
        </w:tc>
      </w:tr>
      <w:tr w:rsidR="00285EF0" w:rsidRPr="00BE211F" w14:paraId="0E1B0269"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shd w:val="clear" w:color="auto" w:fill="auto"/>
            <w:vAlign w:val="center"/>
          </w:tcPr>
          <w:p w14:paraId="3F3C0BC6" w14:textId="77777777" w:rsidR="00285EF0" w:rsidRPr="00F31075" w:rsidRDefault="00285EF0" w:rsidP="00285EF0">
            <w:pPr>
              <w:rPr>
                <w:rFonts w:cs="Arial"/>
                <w:b w:val="0"/>
                <w:sz w:val="18"/>
                <w:szCs w:val="18"/>
              </w:rPr>
            </w:pPr>
            <w:r w:rsidRPr="00F31075">
              <w:rPr>
                <w:rFonts w:cs="Arial"/>
                <w:b w:val="0"/>
                <w:color w:val="000000"/>
                <w:sz w:val="18"/>
                <w:szCs w:val="18"/>
              </w:rPr>
              <w:t>Spinach</w:t>
            </w:r>
          </w:p>
        </w:tc>
        <w:tc>
          <w:tcPr>
            <w:tcW w:w="1764" w:type="dxa"/>
            <w:shd w:val="clear" w:color="auto" w:fill="auto"/>
            <w:vAlign w:val="center"/>
          </w:tcPr>
          <w:p w14:paraId="7D9C8BE2"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lang w:val="en-AU"/>
              </w:rPr>
              <w:t xml:space="preserve">E. coli </w:t>
            </w:r>
            <w:r>
              <w:rPr>
                <w:rFonts w:cs="Arial"/>
                <w:color w:val="000000"/>
                <w:sz w:val="18"/>
                <w:szCs w:val="18"/>
                <w:lang w:val="en-AU"/>
              </w:rPr>
              <w:t>O157: H7</w:t>
            </w:r>
          </w:p>
        </w:tc>
        <w:tc>
          <w:tcPr>
            <w:tcW w:w="1309" w:type="dxa"/>
            <w:shd w:val="clear" w:color="auto" w:fill="auto"/>
            <w:vAlign w:val="center"/>
          </w:tcPr>
          <w:p w14:paraId="79AF5EF3"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2min</w:t>
            </w:r>
          </w:p>
        </w:tc>
        <w:tc>
          <w:tcPr>
            <w:tcW w:w="1165" w:type="dxa"/>
            <w:shd w:val="clear" w:color="auto" w:fill="auto"/>
            <w:vAlign w:val="center"/>
          </w:tcPr>
          <w:p w14:paraId="57DA883D"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~8.0</w:t>
            </w:r>
          </w:p>
        </w:tc>
        <w:tc>
          <w:tcPr>
            <w:tcW w:w="2562" w:type="dxa"/>
            <w:shd w:val="clear" w:color="auto" w:fill="auto"/>
            <w:vAlign w:val="center"/>
          </w:tcPr>
          <w:p w14:paraId="75A95EA7"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300ppm and 600 ppm (pH 10, free/total chlorine NR)</w:t>
            </w:r>
          </w:p>
        </w:tc>
        <w:tc>
          <w:tcPr>
            <w:tcW w:w="1162" w:type="dxa"/>
            <w:shd w:val="clear" w:color="auto" w:fill="auto"/>
            <w:vAlign w:val="center"/>
          </w:tcPr>
          <w:p w14:paraId="7DA12C58"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3</w:t>
            </w:r>
          </w:p>
        </w:tc>
        <w:tc>
          <w:tcPr>
            <w:tcW w:w="1229" w:type="dxa"/>
            <w:shd w:val="clear" w:color="auto" w:fill="auto"/>
            <w:vAlign w:val="center"/>
          </w:tcPr>
          <w:p w14:paraId="2B2F1997"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1.3 - 1.3</w:t>
            </w:r>
          </w:p>
        </w:tc>
        <w:tc>
          <w:tcPr>
            <w:tcW w:w="2851" w:type="dxa"/>
            <w:shd w:val="clear" w:color="auto" w:fill="auto"/>
            <w:vAlign w:val="center"/>
          </w:tcPr>
          <w:p w14:paraId="48F585CE" w14:textId="77777777" w:rsidR="00285EF0" w:rsidRPr="00BE211F" w:rsidRDefault="00285EF0" w:rsidP="00285EF0">
            <w:pPr>
              <w:keepNext/>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n-AU"/>
              </w:rPr>
            </w:pPr>
            <w:bookmarkStart w:id="1379" w:name="RANGE!H35"/>
            <w:r>
              <w:rPr>
                <w:rFonts w:cs="Arial"/>
                <w:color w:val="000000"/>
                <w:sz w:val="18"/>
                <w:szCs w:val="18"/>
              </w:rPr>
              <w:t>Niemira and Cooke (2010)</w:t>
            </w:r>
            <w:bookmarkEnd w:id="1379"/>
          </w:p>
        </w:tc>
      </w:tr>
      <w:tr w:rsidR="00285EF0" w:rsidRPr="00BE211F" w14:paraId="39F74C2F"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shd w:val="clear" w:color="auto" w:fill="auto"/>
            <w:vAlign w:val="center"/>
          </w:tcPr>
          <w:p w14:paraId="3D383011" w14:textId="77777777" w:rsidR="00285EF0" w:rsidRPr="00F31075" w:rsidRDefault="00285EF0" w:rsidP="00285EF0">
            <w:pPr>
              <w:rPr>
                <w:rFonts w:cs="Arial"/>
                <w:b w:val="0"/>
                <w:sz w:val="18"/>
                <w:szCs w:val="18"/>
              </w:rPr>
            </w:pPr>
            <w:r w:rsidRPr="00F31075">
              <w:rPr>
                <w:rFonts w:cs="Arial"/>
                <w:b w:val="0"/>
                <w:color w:val="000000"/>
                <w:sz w:val="18"/>
                <w:szCs w:val="18"/>
              </w:rPr>
              <w:t>Spinach</w:t>
            </w:r>
          </w:p>
        </w:tc>
        <w:tc>
          <w:tcPr>
            <w:tcW w:w="1764" w:type="dxa"/>
            <w:shd w:val="clear" w:color="auto" w:fill="auto"/>
            <w:vAlign w:val="center"/>
          </w:tcPr>
          <w:p w14:paraId="2F98BF50"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lang w:val="en-AU"/>
              </w:rPr>
              <w:t xml:space="preserve">E. coli </w:t>
            </w:r>
            <w:r>
              <w:rPr>
                <w:rFonts w:cs="Arial"/>
                <w:color w:val="000000"/>
                <w:sz w:val="18"/>
                <w:szCs w:val="18"/>
                <w:lang w:val="en-AU"/>
              </w:rPr>
              <w:t>O157: H7</w:t>
            </w:r>
          </w:p>
        </w:tc>
        <w:tc>
          <w:tcPr>
            <w:tcW w:w="1309" w:type="dxa"/>
            <w:shd w:val="clear" w:color="auto" w:fill="auto"/>
            <w:vAlign w:val="center"/>
          </w:tcPr>
          <w:p w14:paraId="11F03050"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30min</w:t>
            </w:r>
          </w:p>
        </w:tc>
        <w:tc>
          <w:tcPr>
            <w:tcW w:w="1165" w:type="dxa"/>
            <w:shd w:val="clear" w:color="auto" w:fill="auto"/>
            <w:vAlign w:val="center"/>
          </w:tcPr>
          <w:p w14:paraId="467A3525"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~8.0</w:t>
            </w:r>
          </w:p>
        </w:tc>
        <w:tc>
          <w:tcPr>
            <w:tcW w:w="2562" w:type="dxa"/>
            <w:shd w:val="clear" w:color="auto" w:fill="auto"/>
            <w:vAlign w:val="center"/>
          </w:tcPr>
          <w:p w14:paraId="59559C3D"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300ppm and 600ppm (pH 9.77, 9.99) free/total chlorine NR)</w:t>
            </w:r>
          </w:p>
        </w:tc>
        <w:tc>
          <w:tcPr>
            <w:tcW w:w="1162" w:type="dxa"/>
            <w:shd w:val="clear" w:color="auto" w:fill="auto"/>
            <w:vAlign w:val="center"/>
          </w:tcPr>
          <w:p w14:paraId="4457BB28"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3</w:t>
            </w:r>
          </w:p>
        </w:tc>
        <w:tc>
          <w:tcPr>
            <w:tcW w:w="1229" w:type="dxa"/>
            <w:shd w:val="clear" w:color="auto" w:fill="auto"/>
            <w:vAlign w:val="center"/>
          </w:tcPr>
          <w:p w14:paraId="74B3D60E"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&lt;1.0</w:t>
            </w:r>
          </w:p>
        </w:tc>
        <w:tc>
          <w:tcPr>
            <w:tcW w:w="2851" w:type="dxa"/>
            <w:shd w:val="clear" w:color="auto" w:fill="auto"/>
            <w:vAlign w:val="center"/>
          </w:tcPr>
          <w:p w14:paraId="3227BFD6" w14:textId="77777777" w:rsidR="00285EF0" w:rsidRPr="00BE211F" w:rsidRDefault="00285EF0" w:rsidP="00285EF0">
            <w:pPr>
              <w:keepNext/>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bookmarkStart w:id="1380" w:name="RANGE!H36"/>
            <w:r>
              <w:rPr>
                <w:rFonts w:cs="Arial"/>
                <w:color w:val="000000"/>
                <w:sz w:val="18"/>
                <w:szCs w:val="18"/>
              </w:rPr>
              <w:t>Niemira (2007)</w:t>
            </w:r>
            <w:bookmarkEnd w:id="1380"/>
          </w:p>
        </w:tc>
      </w:tr>
      <w:tr w:rsidR="00285EF0" w:rsidRPr="00BE211F" w14:paraId="54359C37"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5F327FF0" w14:textId="77777777" w:rsidR="00285EF0" w:rsidRPr="00F31075" w:rsidRDefault="00285EF0" w:rsidP="00285EF0">
            <w:pPr>
              <w:rPr>
                <w:rFonts w:cs="Arial"/>
                <w:b w:val="0"/>
                <w:sz w:val="18"/>
                <w:szCs w:val="18"/>
              </w:rPr>
            </w:pPr>
            <w:r w:rsidRPr="00F31075">
              <w:rPr>
                <w:rFonts w:cs="Arial"/>
                <w:b w:val="0"/>
                <w:color w:val="000000"/>
                <w:sz w:val="18"/>
                <w:szCs w:val="18"/>
              </w:rPr>
              <w:t>Spinach</w:t>
            </w:r>
          </w:p>
        </w:tc>
        <w:tc>
          <w:tcPr>
            <w:tcW w:w="1764" w:type="dxa"/>
            <w:vAlign w:val="center"/>
          </w:tcPr>
          <w:p w14:paraId="2F63045D"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lang w:val="en-AU"/>
              </w:rPr>
              <w:t xml:space="preserve">E. coli </w:t>
            </w:r>
            <w:r>
              <w:rPr>
                <w:rFonts w:cs="Arial"/>
                <w:color w:val="000000"/>
                <w:sz w:val="18"/>
                <w:szCs w:val="18"/>
                <w:lang w:val="en-AU"/>
              </w:rPr>
              <w:t>O157: H7</w:t>
            </w:r>
          </w:p>
        </w:tc>
        <w:tc>
          <w:tcPr>
            <w:tcW w:w="1309" w:type="dxa"/>
            <w:vAlign w:val="center"/>
          </w:tcPr>
          <w:p w14:paraId="04AB2607"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2h</w:t>
            </w:r>
          </w:p>
        </w:tc>
        <w:tc>
          <w:tcPr>
            <w:tcW w:w="1165" w:type="dxa"/>
            <w:vAlign w:val="center"/>
          </w:tcPr>
          <w:p w14:paraId="34DE7D89"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6.9</w:t>
            </w:r>
          </w:p>
        </w:tc>
        <w:tc>
          <w:tcPr>
            <w:tcW w:w="2562" w:type="dxa"/>
            <w:vAlign w:val="center"/>
          </w:tcPr>
          <w:p w14:paraId="5682C3F0"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200 ppm FC (pH 6.5)</w:t>
            </w:r>
          </w:p>
        </w:tc>
        <w:tc>
          <w:tcPr>
            <w:tcW w:w="1162" w:type="dxa"/>
            <w:vAlign w:val="center"/>
          </w:tcPr>
          <w:p w14:paraId="71A3BFDA"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0.5</w:t>
            </w:r>
          </w:p>
        </w:tc>
        <w:tc>
          <w:tcPr>
            <w:tcW w:w="1229" w:type="dxa"/>
            <w:vAlign w:val="center"/>
          </w:tcPr>
          <w:p w14:paraId="3203FD17"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1</w:t>
            </w:r>
          </w:p>
        </w:tc>
        <w:tc>
          <w:tcPr>
            <w:tcW w:w="2851" w:type="dxa"/>
            <w:vAlign w:val="center"/>
          </w:tcPr>
          <w:p w14:paraId="5E112E99" w14:textId="77777777" w:rsidR="00285EF0" w:rsidRPr="00BE211F" w:rsidRDefault="00285EF0" w:rsidP="00285EF0">
            <w:pPr>
              <w:keepNext/>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n-AU"/>
              </w:rPr>
            </w:pPr>
            <w:bookmarkStart w:id="1381" w:name="RANGE!H37"/>
            <w:r>
              <w:rPr>
                <w:rFonts w:cs="Arial"/>
                <w:color w:val="000000"/>
                <w:sz w:val="18"/>
                <w:szCs w:val="18"/>
              </w:rPr>
              <w:t>Neal et al. (2012)</w:t>
            </w:r>
            <w:bookmarkEnd w:id="1381"/>
          </w:p>
        </w:tc>
      </w:tr>
      <w:tr w:rsidR="00285EF0" w:rsidRPr="00BE211F" w14:paraId="5EEE8943"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27B6D4C1" w14:textId="77777777" w:rsidR="00285EF0" w:rsidRPr="00F31075" w:rsidRDefault="00285EF0" w:rsidP="00285EF0">
            <w:pPr>
              <w:rPr>
                <w:rFonts w:cs="Arial"/>
                <w:b w:val="0"/>
                <w:sz w:val="18"/>
                <w:szCs w:val="18"/>
              </w:rPr>
            </w:pPr>
            <w:r w:rsidRPr="00F31075">
              <w:rPr>
                <w:rFonts w:cs="Arial"/>
                <w:b w:val="0"/>
                <w:color w:val="000000"/>
                <w:sz w:val="18"/>
                <w:szCs w:val="18"/>
              </w:rPr>
              <w:t>Spinach</w:t>
            </w:r>
          </w:p>
        </w:tc>
        <w:tc>
          <w:tcPr>
            <w:tcW w:w="1764" w:type="dxa"/>
            <w:vAlign w:val="center"/>
          </w:tcPr>
          <w:p w14:paraId="2C0CC3BC"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i/>
                <w:iCs/>
                <w:color w:val="000000"/>
                <w:sz w:val="18"/>
                <w:szCs w:val="18"/>
                <w:lang w:val="en-AU"/>
              </w:rPr>
              <w:t>L. innocua</w:t>
            </w:r>
          </w:p>
        </w:tc>
        <w:tc>
          <w:tcPr>
            <w:tcW w:w="1309" w:type="dxa"/>
            <w:vAlign w:val="center"/>
          </w:tcPr>
          <w:p w14:paraId="00BDD20D"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6h</w:t>
            </w:r>
          </w:p>
        </w:tc>
        <w:tc>
          <w:tcPr>
            <w:tcW w:w="1165" w:type="dxa"/>
            <w:vAlign w:val="center"/>
          </w:tcPr>
          <w:p w14:paraId="0D2FEC88"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6.4</w:t>
            </w:r>
          </w:p>
        </w:tc>
        <w:tc>
          <w:tcPr>
            <w:tcW w:w="2562" w:type="dxa"/>
            <w:vAlign w:val="center"/>
          </w:tcPr>
          <w:p w14:paraId="0291CC8B"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100ppm FC (pH NR)</w:t>
            </w:r>
          </w:p>
        </w:tc>
        <w:tc>
          <w:tcPr>
            <w:tcW w:w="1162" w:type="dxa"/>
            <w:vAlign w:val="center"/>
          </w:tcPr>
          <w:p w14:paraId="2E6092C7"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15</w:t>
            </w:r>
          </w:p>
        </w:tc>
        <w:tc>
          <w:tcPr>
            <w:tcW w:w="1229" w:type="dxa"/>
            <w:vAlign w:val="center"/>
          </w:tcPr>
          <w:p w14:paraId="49EBA6D0"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2.2</w:t>
            </w:r>
          </w:p>
        </w:tc>
        <w:tc>
          <w:tcPr>
            <w:tcW w:w="2851" w:type="dxa"/>
            <w:vAlign w:val="center"/>
          </w:tcPr>
          <w:p w14:paraId="706B4979"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bookmarkStart w:id="1382" w:name="RANGE!H38"/>
            <w:r>
              <w:rPr>
                <w:rFonts w:cs="Arial"/>
                <w:color w:val="000000"/>
                <w:sz w:val="18"/>
                <w:szCs w:val="18"/>
                <w:lang w:eastAsia="en-AU"/>
              </w:rPr>
              <w:t>Karaca and Velioglu (2014)</w:t>
            </w:r>
            <w:bookmarkEnd w:id="1382"/>
          </w:p>
        </w:tc>
      </w:tr>
      <w:tr w:rsidR="00285EF0" w:rsidRPr="00BE211F" w14:paraId="7F8C0AD9"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0014B52C" w14:textId="77777777" w:rsidR="00285EF0" w:rsidRPr="00F31075" w:rsidRDefault="00285EF0" w:rsidP="00285EF0">
            <w:pPr>
              <w:rPr>
                <w:rFonts w:cs="Arial"/>
                <w:b w:val="0"/>
                <w:sz w:val="18"/>
                <w:szCs w:val="18"/>
              </w:rPr>
            </w:pPr>
            <w:r w:rsidRPr="00F31075">
              <w:rPr>
                <w:rFonts w:cs="Arial"/>
                <w:b w:val="0"/>
                <w:color w:val="000000"/>
                <w:sz w:val="18"/>
                <w:szCs w:val="18"/>
              </w:rPr>
              <w:t>Spinach</w:t>
            </w:r>
          </w:p>
        </w:tc>
        <w:tc>
          <w:tcPr>
            <w:tcW w:w="1764" w:type="dxa"/>
            <w:vAlign w:val="center"/>
          </w:tcPr>
          <w:p w14:paraId="357706B1"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i/>
                <w:iCs/>
                <w:color w:val="000000"/>
                <w:sz w:val="18"/>
                <w:szCs w:val="18"/>
              </w:rPr>
              <w:t>L. monocytogenes</w:t>
            </w:r>
          </w:p>
        </w:tc>
        <w:tc>
          <w:tcPr>
            <w:tcW w:w="1309" w:type="dxa"/>
            <w:vAlign w:val="center"/>
          </w:tcPr>
          <w:p w14:paraId="32488680"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30min</w:t>
            </w:r>
          </w:p>
        </w:tc>
        <w:tc>
          <w:tcPr>
            <w:tcW w:w="1165" w:type="dxa"/>
            <w:vAlign w:val="center"/>
          </w:tcPr>
          <w:p w14:paraId="235CA795"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7</w:t>
            </w:r>
          </w:p>
        </w:tc>
        <w:tc>
          <w:tcPr>
            <w:tcW w:w="2562" w:type="dxa"/>
            <w:vAlign w:val="center"/>
          </w:tcPr>
          <w:p w14:paraId="3495B2C1"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100 ppm FC (pH 9.8)</w:t>
            </w:r>
          </w:p>
        </w:tc>
        <w:tc>
          <w:tcPr>
            <w:tcW w:w="1162" w:type="dxa"/>
            <w:vAlign w:val="center"/>
          </w:tcPr>
          <w:p w14:paraId="6DF775B8"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3</w:t>
            </w:r>
          </w:p>
        </w:tc>
        <w:tc>
          <w:tcPr>
            <w:tcW w:w="1229" w:type="dxa"/>
            <w:vAlign w:val="center"/>
          </w:tcPr>
          <w:p w14:paraId="496C0B5B"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2.2</w:t>
            </w:r>
          </w:p>
        </w:tc>
        <w:tc>
          <w:tcPr>
            <w:tcW w:w="2851" w:type="dxa"/>
            <w:vAlign w:val="center"/>
          </w:tcPr>
          <w:p w14:paraId="50FC711B"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1383" w:name="RANGE!H39"/>
            <w:r>
              <w:rPr>
                <w:rFonts w:cs="Arial"/>
                <w:color w:val="000000"/>
                <w:sz w:val="18"/>
                <w:szCs w:val="18"/>
              </w:rPr>
              <w:t>Rahman et al. (2010)</w:t>
            </w:r>
            <w:bookmarkEnd w:id="1383"/>
          </w:p>
        </w:tc>
      </w:tr>
      <w:tr w:rsidR="00285EF0" w:rsidRPr="00BE211F" w14:paraId="768B0A35"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3A891234" w14:textId="77777777" w:rsidR="00285EF0" w:rsidRPr="00F31075" w:rsidRDefault="00285EF0" w:rsidP="00285EF0">
            <w:pPr>
              <w:rPr>
                <w:rFonts w:cs="Arial"/>
                <w:b w:val="0"/>
                <w:sz w:val="18"/>
                <w:szCs w:val="18"/>
              </w:rPr>
            </w:pPr>
            <w:r w:rsidRPr="00F31075">
              <w:rPr>
                <w:rFonts w:cs="Arial"/>
                <w:b w:val="0"/>
                <w:color w:val="000000"/>
                <w:sz w:val="18"/>
                <w:szCs w:val="18"/>
              </w:rPr>
              <w:t>Spinach</w:t>
            </w:r>
          </w:p>
        </w:tc>
        <w:tc>
          <w:tcPr>
            <w:tcW w:w="1764" w:type="dxa"/>
            <w:vAlign w:val="center"/>
          </w:tcPr>
          <w:p w14:paraId="378C39F8"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i/>
                <w:iCs/>
                <w:color w:val="000000"/>
                <w:sz w:val="18"/>
                <w:szCs w:val="18"/>
                <w:lang w:val="en-AU"/>
              </w:rPr>
              <w:t xml:space="preserve">S. </w:t>
            </w:r>
            <w:r>
              <w:rPr>
                <w:rFonts w:cs="Arial"/>
                <w:color w:val="000000"/>
                <w:sz w:val="18"/>
                <w:szCs w:val="18"/>
                <w:lang w:val="en-AU"/>
              </w:rPr>
              <w:t>Typhimurium</w:t>
            </w:r>
          </w:p>
        </w:tc>
        <w:tc>
          <w:tcPr>
            <w:tcW w:w="1309" w:type="dxa"/>
            <w:vAlign w:val="center"/>
          </w:tcPr>
          <w:p w14:paraId="1998BA36"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5h</w:t>
            </w:r>
          </w:p>
        </w:tc>
        <w:tc>
          <w:tcPr>
            <w:tcW w:w="1165" w:type="dxa"/>
            <w:vAlign w:val="center"/>
          </w:tcPr>
          <w:p w14:paraId="132C584D"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5</w:t>
            </w:r>
          </w:p>
        </w:tc>
        <w:tc>
          <w:tcPr>
            <w:tcW w:w="2562" w:type="dxa"/>
            <w:vAlign w:val="center"/>
          </w:tcPr>
          <w:p w14:paraId="27443BAB"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200 ppm (pH 7.0, free/total chlorine NR)</w:t>
            </w:r>
          </w:p>
        </w:tc>
        <w:tc>
          <w:tcPr>
            <w:tcW w:w="1162" w:type="dxa"/>
            <w:vAlign w:val="center"/>
          </w:tcPr>
          <w:p w14:paraId="7FB1E3B6"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5</w:t>
            </w:r>
          </w:p>
        </w:tc>
        <w:tc>
          <w:tcPr>
            <w:tcW w:w="1229" w:type="dxa"/>
            <w:vAlign w:val="center"/>
          </w:tcPr>
          <w:p w14:paraId="6679C017"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1.2</w:t>
            </w:r>
          </w:p>
        </w:tc>
        <w:tc>
          <w:tcPr>
            <w:tcW w:w="2851" w:type="dxa"/>
            <w:vAlign w:val="center"/>
          </w:tcPr>
          <w:p w14:paraId="67CB1FAC"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bookmarkStart w:id="1384" w:name="RANGE!H40"/>
            <w:r>
              <w:rPr>
                <w:rFonts w:cs="Arial"/>
                <w:color w:val="000000"/>
                <w:sz w:val="18"/>
                <w:szCs w:val="18"/>
              </w:rPr>
              <w:t>Puerta-Gomez et al. (2013b)</w:t>
            </w:r>
            <w:bookmarkEnd w:id="1384"/>
          </w:p>
        </w:tc>
      </w:tr>
      <w:tr w:rsidR="00285EF0" w:rsidRPr="00BE211F" w14:paraId="30AB3DC2"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shd w:val="clear" w:color="auto" w:fill="auto"/>
            <w:vAlign w:val="center"/>
          </w:tcPr>
          <w:p w14:paraId="4F1395B4" w14:textId="77777777" w:rsidR="00285EF0" w:rsidRPr="00F31075" w:rsidRDefault="00285EF0" w:rsidP="00285EF0">
            <w:pPr>
              <w:rPr>
                <w:rFonts w:cs="Arial"/>
                <w:b w:val="0"/>
                <w:sz w:val="18"/>
                <w:szCs w:val="18"/>
              </w:rPr>
            </w:pPr>
            <w:r w:rsidRPr="00F31075">
              <w:rPr>
                <w:rFonts w:cs="Arial"/>
                <w:b w:val="0"/>
                <w:color w:val="000000"/>
                <w:sz w:val="18"/>
                <w:szCs w:val="18"/>
              </w:rPr>
              <w:t>Spinach</w:t>
            </w:r>
          </w:p>
        </w:tc>
        <w:tc>
          <w:tcPr>
            <w:tcW w:w="1764" w:type="dxa"/>
            <w:shd w:val="clear" w:color="auto" w:fill="auto"/>
            <w:vAlign w:val="center"/>
          </w:tcPr>
          <w:p w14:paraId="3D62FD5F"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i/>
                <w:sz w:val="18"/>
                <w:szCs w:val="18"/>
              </w:rPr>
            </w:pPr>
            <w:r>
              <w:rPr>
                <w:rFonts w:cs="Arial"/>
                <w:i/>
                <w:iCs/>
                <w:color w:val="000000"/>
                <w:sz w:val="18"/>
                <w:szCs w:val="18"/>
                <w:lang w:val="en-AU"/>
              </w:rPr>
              <w:t>Salmonella spp.</w:t>
            </w:r>
          </w:p>
        </w:tc>
        <w:tc>
          <w:tcPr>
            <w:tcW w:w="1309" w:type="dxa"/>
            <w:shd w:val="clear" w:color="auto" w:fill="auto"/>
            <w:vAlign w:val="center"/>
          </w:tcPr>
          <w:p w14:paraId="199EFD55"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2h</w:t>
            </w:r>
          </w:p>
        </w:tc>
        <w:tc>
          <w:tcPr>
            <w:tcW w:w="1165" w:type="dxa"/>
            <w:shd w:val="clear" w:color="auto" w:fill="auto"/>
            <w:vAlign w:val="center"/>
          </w:tcPr>
          <w:p w14:paraId="036954DD"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7</w:t>
            </w:r>
          </w:p>
        </w:tc>
        <w:tc>
          <w:tcPr>
            <w:tcW w:w="2562" w:type="dxa"/>
            <w:shd w:val="clear" w:color="auto" w:fill="auto"/>
            <w:vAlign w:val="center"/>
          </w:tcPr>
          <w:p w14:paraId="7AE9517D"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200 ppm FC (pH 6.5)</w:t>
            </w:r>
          </w:p>
        </w:tc>
        <w:tc>
          <w:tcPr>
            <w:tcW w:w="1162" w:type="dxa"/>
            <w:shd w:val="clear" w:color="auto" w:fill="auto"/>
            <w:vAlign w:val="center"/>
          </w:tcPr>
          <w:p w14:paraId="63E812E2"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30s</w:t>
            </w:r>
          </w:p>
        </w:tc>
        <w:tc>
          <w:tcPr>
            <w:tcW w:w="1229" w:type="dxa"/>
            <w:shd w:val="clear" w:color="auto" w:fill="auto"/>
            <w:vAlign w:val="center"/>
          </w:tcPr>
          <w:p w14:paraId="59294649"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0.7</w:t>
            </w:r>
          </w:p>
        </w:tc>
        <w:tc>
          <w:tcPr>
            <w:tcW w:w="2851" w:type="dxa"/>
            <w:shd w:val="clear" w:color="auto" w:fill="auto"/>
            <w:vAlign w:val="center"/>
          </w:tcPr>
          <w:p w14:paraId="1F7A44B9"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1385" w:name="RANGE!H41"/>
            <w:r>
              <w:rPr>
                <w:rFonts w:cs="Arial"/>
                <w:color w:val="000000"/>
                <w:sz w:val="18"/>
                <w:szCs w:val="18"/>
              </w:rPr>
              <w:t>Neal et al. (2012)</w:t>
            </w:r>
            <w:bookmarkEnd w:id="1385"/>
          </w:p>
        </w:tc>
      </w:tr>
      <w:tr w:rsidR="00285EF0" w:rsidRPr="00BE211F" w14:paraId="36456459"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shd w:val="clear" w:color="auto" w:fill="auto"/>
            <w:vAlign w:val="center"/>
          </w:tcPr>
          <w:p w14:paraId="346CF912" w14:textId="77777777" w:rsidR="00285EF0" w:rsidRPr="00F31075" w:rsidRDefault="00285EF0" w:rsidP="00285EF0">
            <w:pPr>
              <w:rPr>
                <w:rFonts w:cs="Arial"/>
                <w:b w:val="0"/>
                <w:sz w:val="18"/>
                <w:szCs w:val="18"/>
              </w:rPr>
            </w:pPr>
            <w:r w:rsidRPr="00F31075">
              <w:rPr>
                <w:rFonts w:cs="Arial"/>
                <w:b w:val="0"/>
                <w:color w:val="000000"/>
                <w:sz w:val="18"/>
                <w:szCs w:val="18"/>
              </w:rPr>
              <w:t>Spinach</w:t>
            </w:r>
          </w:p>
        </w:tc>
        <w:tc>
          <w:tcPr>
            <w:tcW w:w="1764" w:type="dxa"/>
            <w:shd w:val="clear" w:color="auto" w:fill="auto"/>
            <w:vAlign w:val="center"/>
          </w:tcPr>
          <w:p w14:paraId="539BE6DA"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lang w:val="en-AU"/>
              </w:rPr>
            </w:pPr>
            <w:r>
              <w:rPr>
                <w:rFonts w:cs="Arial"/>
                <w:i/>
                <w:iCs/>
                <w:color w:val="000000"/>
                <w:sz w:val="18"/>
                <w:szCs w:val="18"/>
                <w:lang w:val="en-AU"/>
              </w:rPr>
              <w:t>Salmonella spp.</w:t>
            </w:r>
          </w:p>
        </w:tc>
        <w:tc>
          <w:tcPr>
            <w:tcW w:w="1309" w:type="dxa"/>
            <w:shd w:val="clear" w:color="auto" w:fill="auto"/>
            <w:vAlign w:val="center"/>
          </w:tcPr>
          <w:p w14:paraId="1EF425B2"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20min - 4h</w:t>
            </w:r>
          </w:p>
        </w:tc>
        <w:tc>
          <w:tcPr>
            <w:tcW w:w="1165" w:type="dxa"/>
            <w:shd w:val="clear" w:color="auto" w:fill="auto"/>
            <w:vAlign w:val="center"/>
          </w:tcPr>
          <w:p w14:paraId="1756D1BE"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6.4</w:t>
            </w:r>
          </w:p>
        </w:tc>
        <w:tc>
          <w:tcPr>
            <w:tcW w:w="2562" w:type="dxa"/>
            <w:shd w:val="clear" w:color="auto" w:fill="auto"/>
            <w:vAlign w:val="center"/>
          </w:tcPr>
          <w:p w14:paraId="78B922B6"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200ppm (pH NR, free/total NR)</w:t>
            </w:r>
          </w:p>
        </w:tc>
        <w:tc>
          <w:tcPr>
            <w:tcW w:w="1162" w:type="dxa"/>
            <w:shd w:val="clear" w:color="auto" w:fill="auto"/>
            <w:vAlign w:val="center"/>
          </w:tcPr>
          <w:p w14:paraId="7175A543"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3</w:t>
            </w:r>
          </w:p>
        </w:tc>
        <w:tc>
          <w:tcPr>
            <w:tcW w:w="1229" w:type="dxa"/>
            <w:shd w:val="clear" w:color="auto" w:fill="auto"/>
            <w:vAlign w:val="center"/>
          </w:tcPr>
          <w:p w14:paraId="4951F300"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0.5</w:t>
            </w:r>
          </w:p>
        </w:tc>
        <w:tc>
          <w:tcPr>
            <w:tcW w:w="2851" w:type="dxa"/>
            <w:shd w:val="clear" w:color="auto" w:fill="auto"/>
            <w:vAlign w:val="center"/>
          </w:tcPr>
          <w:p w14:paraId="67E423FC" w14:textId="77777777" w:rsidR="00285EF0" w:rsidRPr="00BE211F" w:rsidRDefault="00285EF0" w:rsidP="00285EF0">
            <w:pPr>
              <w:keepNext/>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r>
              <w:rPr>
                <w:rFonts w:cs="Arial"/>
                <w:color w:val="000000"/>
                <w:sz w:val="18"/>
                <w:szCs w:val="18"/>
              </w:rPr>
              <w:t>Hadjok et al. (2008)</w:t>
            </w:r>
          </w:p>
        </w:tc>
      </w:tr>
      <w:tr w:rsidR="00285EF0" w:rsidRPr="00BE211F" w14:paraId="23785227"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shd w:val="clear" w:color="auto" w:fill="auto"/>
            <w:vAlign w:val="center"/>
          </w:tcPr>
          <w:p w14:paraId="1F277018" w14:textId="77777777" w:rsidR="00285EF0" w:rsidRPr="00332B61" w:rsidRDefault="00285EF0" w:rsidP="00285EF0">
            <w:pPr>
              <w:rPr>
                <w:rFonts w:cs="Arial"/>
                <w:b w:val="0"/>
                <w:sz w:val="18"/>
                <w:szCs w:val="18"/>
              </w:rPr>
            </w:pPr>
            <w:r w:rsidRPr="00332B61">
              <w:rPr>
                <w:rFonts w:cs="Arial"/>
                <w:b w:val="0"/>
                <w:color w:val="000000"/>
                <w:sz w:val="18"/>
                <w:szCs w:val="18"/>
              </w:rPr>
              <w:t>Blueberry</w:t>
            </w:r>
          </w:p>
        </w:tc>
        <w:tc>
          <w:tcPr>
            <w:tcW w:w="1764" w:type="dxa"/>
            <w:shd w:val="clear" w:color="auto" w:fill="auto"/>
            <w:vAlign w:val="center"/>
          </w:tcPr>
          <w:p w14:paraId="47040051"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HAV</w:t>
            </w:r>
          </w:p>
        </w:tc>
        <w:tc>
          <w:tcPr>
            <w:tcW w:w="1309" w:type="dxa"/>
            <w:shd w:val="clear" w:color="auto" w:fill="auto"/>
            <w:vAlign w:val="center"/>
          </w:tcPr>
          <w:p w14:paraId="7F8CF4B8"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1h</w:t>
            </w:r>
          </w:p>
        </w:tc>
        <w:tc>
          <w:tcPr>
            <w:tcW w:w="1165" w:type="dxa"/>
            <w:shd w:val="clear" w:color="auto" w:fill="auto"/>
            <w:vAlign w:val="center"/>
          </w:tcPr>
          <w:p w14:paraId="5D953A1E"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~6.0</w:t>
            </w:r>
          </w:p>
        </w:tc>
        <w:tc>
          <w:tcPr>
            <w:tcW w:w="2562" w:type="dxa"/>
            <w:shd w:val="clear" w:color="auto" w:fill="auto"/>
            <w:vAlign w:val="center"/>
          </w:tcPr>
          <w:p w14:paraId="40E373BB"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200ppm FC (pH NR)</w:t>
            </w:r>
          </w:p>
        </w:tc>
        <w:tc>
          <w:tcPr>
            <w:tcW w:w="1162" w:type="dxa"/>
            <w:shd w:val="clear" w:color="auto" w:fill="auto"/>
            <w:vAlign w:val="center"/>
          </w:tcPr>
          <w:p w14:paraId="70DB96CF"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30s</w:t>
            </w:r>
          </w:p>
        </w:tc>
        <w:tc>
          <w:tcPr>
            <w:tcW w:w="1229" w:type="dxa"/>
            <w:shd w:val="clear" w:color="auto" w:fill="auto"/>
            <w:vAlign w:val="center"/>
          </w:tcPr>
          <w:p w14:paraId="33358726"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2.4</w:t>
            </w:r>
          </w:p>
        </w:tc>
        <w:tc>
          <w:tcPr>
            <w:tcW w:w="2851" w:type="dxa"/>
            <w:shd w:val="clear" w:color="auto" w:fill="auto"/>
            <w:vAlign w:val="center"/>
          </w:tcPr>
          <w:p w14:paraId="278E91B3" w14:textId="77777777" w:rsidR="00285EF0" w:rsidRPr="00BE211F" w:rsidRDefault="00285EF0" w:rsidP="00285EF0">
            <w:pPr>
              <w:keepNext/>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Butot et al. (2008)</w:t>
            </w:r>
          </w:p>
        </w:tc>
      </w:tr>
      <w:tr w:rsidR="00285EF0" w:rsidRPr="00BE211F" w14:paraId="38DBA0FA"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shd w:val="clear" w:color="auto" w:fill="auto"/>
            <w:vAlign w:val="center"/>
          </w:tcPr>
          <w:p w14:paraId="59F458A4" w14:textId="77777777" w:rsidR="00285EF0" w:rsidRPr="00332B61" w:rsidRDefault="00285EF0" w:rsidP="00285EF0">
            <w:pPr>
              <w:rPr>
                <w:rFonts w:cs="Arial"/>
                <w:b w:val="0"/>
                <w:sz w:val="18"/>
                <w:szCs w:val="18"/>
              </w:rPr>
            </w:pPr>
            <w:r w:rsidRPr="00332B61">
              <w:rPr>
                <w:rFonts w:cs="Arial"/>
                <w:b w:val="0"/>
                <w:sz w:val="18"/>
                <w:szCs w:val="18"/>
              </w:rPr>
              <w:t>Blueberry</w:t>
            </w:r>
          </w:p>
        </w:tc>
        <w:tc>
          <w:tcPr>
            <w:tcW w:w="1764" w:type="dxa"/>
            <w:shd w:val="clear" w:color="auto" w:fill="auto"/>
            <w:vAlign w:val="center"/>
          </w:tcPr>
          <w:p w14:paraId="0DF96772"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sz w:val="18"/>
                <w:szCs w:val="18"/>
              </w:rPr>
              <w:t>Norovirus</w:t>
            </w:r>
          </w:p>
        </w:tc>
        <w:tc>
          <w:tcPr>
            <w:tcW w:w="1309" w:type="dxa"/>
            <w:shd w:val="clear" w:color="auto" w:fill="auto"/>
            <w:vAlign w:val="center"/>
          </w:tcPr>
          <w:p w14:paraId="3402280D"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1h</w:t>
            </w:r>
          </w:p>
        </w:tc>
        <w:tc>
          <w:tcPr>
            <w:tcW w:w="1165" w:type="dxa"/>
            <w:shd w:val="clear" w:color="auto" w:fill="auto"/>
            <w:vAlign w:val="center"/>
          </w:tcPr>
          <w:p w14:paraId="51C757EF"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sz w:val="18"/>
                <w:szCs w:val="18"/>
              </w:rPr>
              <w:t>~6.0</w:t>
            </w:r>
          </w:p>
        </w:tc>
        <w:tc>
          <w:tcPr>
            <w:tcW w:w="2562" w:type="dxa"/>
            <w:shd w:val="clear" w:color="auto" w:fill="auto"/>
            <w:vAlign w:val="center"/>
          </w:tcPr>
          <w:p w14:paraId="6785442A"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200ppm FC (pH NR)</w:t>
            </w:r>
          </w:p>
        </w:tc>
        <w:tc>
          <w:tcPr>
            <w:tcW w:w="1162" w:type="dxa"/>
            <w:shd w:val="clear" w:color="auto" w:fill="auto"/>
            <w:vAlign w:val="center"/>
          </w:tcPr>
          <w:p w14:paraId="7E94DF03"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30s</w:t>
            </w:r>
          </w:p>
        </w:tc>
        <w:tc>
          <w:tcPr>
            <w:tcW w:w="1229" w:type="dxa"/>
            <w:shd w:val="clear" w:color="auto" w:fill="auto"/>
            <w:vAlign w:val="center"/>
          </w:tcPr>
          <w:p w14:paraId="303C7B8A"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3.0 - 3.4</w:t>
            </w:r>
          </w:p>
        </w:tc>
        <w:tc>
          <w:tcPr>
            <w:tcW w:w="2851" w:type="dxa"/>
            <w:shd w:val="clear" w:color="auto" w:fill="auto"/>
            <w:vAlign w:val="center"/>
          </w:tcPr>
          <w:p w14:paraId="1B5C23F1" w14:textId="77777777" w:rsidR="00285EF0" w:rsidRPr="00BE211F" w:rsidRDefault="00285EF0" w:rsidP="00285EF0">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Butot et al. (2008)</w:t>
            </w:r>
          </w:p>
        </w:tc>
      </w:tr>
      <w:tr w:rsidR="00285EF0" w:rsidRPr="00BE211F" w14:paraId="5B8CC246"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shd w:val="clear" w:color="auto" w:fill="auto"/>
            <w:vAlign w:val="center"/>
          </w:tcPr>
          <w:p w14:paraId="5CBB7B26" w14:textId="77777777" w:rsidR="00285EF0" w:rsidRPr="00332B61" w:rsidRDefault="00285EF0" w:rsidP="00285EF0">
            <w:pPr>
              <w:rPr>
                <w:rFonts w:cs="Arial"/>
                <w:b w:val="0"/>
                <w:sz w:val="18"/>
                <w:szCs w:val="18"/>
              </w:rPr>
            </w:pPr>
            <w:r w:rsidRPr="00332B61">
              <w:rPr>
                <w:rFonts w:cs="Arial"/>
                <w:b w:val="0"/>
                <w:color w:val="000000"/>
                <w:sz w:val="18"/>
                <w:szCs w:val="18"/>
              </w:rPr>
              <w:t>Raspberry</w:t>
            </w:r>
          </w:p>
        </w:tc>
        <w:tc>
          <w:tcPr>
            <w:tcW w:w="1764" w:type="dxa"/>
            <w:shd w:val="clear" w:color="auto" w:fill="auto"/>
            <w:vAlign w:val="center"/>
          </w:tcPr>
          <w:p w14:paraId="1F7042F7"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sz w:val="18"/>
                <w:szCs w:val="18"/>
              </w:rPr>
            </w:pPr>
            <w:r>
              <w:rPr>
                <w:rFonts w:cs="Arial"/>
                <w:color w:val="000000"/>
                <w:sz w:val="18"/>
                <w:szCs w:val="18"/>
              </w:rPr>
              <w:t>HAV</w:t>
            </w:r>
          </w:p>
        </w:tc>
        <w:tc>
          <w:tcPr>
            <w:tcW w:w="1309" w:type="dxa"/>
            <w:shd w:val="clear" w:color="auto" w:fill="auto"/>
            <w:vAlign w:val="center"/>
          </w:tcPr>
          <w:p w14:paraId="30C5AF42"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1h</w:t>
            </w:r>
          </w:p>
        </w:tc>
        <w:tc>
          <w:tcPr>
            <w:tcW w:w="1165" w:type="dxa"/>
            <w:shd w:val="clear" w:color="auto" w:fill="auto"/>
            <w:vAlign w:val="center"/>
          </w:tcPr>
          <w:p w14:paraId="2AE1534A"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~6.0</w:t>
            </w:r>
          </w:p>
        </w:tc>
        <w:tc>
          <w:tcPr>
            <w:tcW w:w="2562" w:type="dxa"/>
            <w:shd w:val="clear" w:color="auto" w:fill="auto"/>
            <w:vAlign w:val="center"/>
          </w:tcPr>
          <w:p w14:paraId="21450F55"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200ppm FC (pH NR)</w:t>
            </w:r>
          </w:p>
        </w:tc>
        <w:tc>
          <w:tcPr>
            <w:tcW w:w="1162" w:type="dxa"/>
            <w:shd w:val="clear" w:color="auto" w:fill="auto"/>
            <w:vAlign w:val="center"/>
          </w:tcPr>
          <w:p w14:paraId="7169F45C"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30s</w:t>
            </w:r>
          </w:p>
        </w:tc>
        <w:tc>
          <w:tcPr>
            <w:tcW w:w="1229" w:type="dxa"/>
            <w:shd w:val="clear" w:color="auto" w:fill="auto"/>
            <w:vAlign w:val="center"/>
          </w:tcPr>
          <w:p w14:paraId="08D06E61"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0.6</w:t>
            </w:r>
          </w:p>
        </w:tc>
        <w:tc>
          <w:tcPr>
            <w:tcW w:w="2851" w:type="dxa"/>
            <w:shd w:val="clear" w:color="auto" w:fill="auto"/>
            <w:vAlign w:val="center"/>
          </w:tcPr>
          <w:p w14:paraId="3F272394" w14:textId="77777777" w:rsidR="00285EF0" w:rsidRPr="00BE211F" w:rsidRDefault="00285EF0" w:rsidP="00285EF0">
            <w:pPr>
              <w:keepNext/>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Butot et al. (2008)</w:t>
            </w:r>
          </w:p>
        </w:tc>
      </w:tr>
      <w:tr w:rsidR="00285EF0" w:rsidRPr="00BE211F" w14:paraId="406A944D"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shd w:val="clear" w:color="auto" w:fill="auto"/>
            <w:vAlign w:val="center"/>
          </w:tcPr>
          <w:p w14:paraId="4205EBA5" w14:textId="77777777" w:rsidR="00285EF0" w:rsidRPr="00332B61" w:rsidRDefault="00285EF0" w:rsidP="00285EF0">
            <w:pPr>
              <w:rPr>
                <w:rFonts w:cs="Arial"/>
                <w:b w:val="0"/>
                <w:sz w:val="18"/>
                <w:szCs w:val="18"/>
              </w:rPr>
            </w:pPr>
            <w:r w:rsidRPr="00332B61">
              <w:rPr>
                <w:rFonts w:cs="Arial"/>
                <w:b w:val="0"/>
                <w:color w:val="000000"/>
                <w:sz w:val="18"/>
                <w:szCs w:val="18"/>
              </w:rPr>
              <w:t>Raspberry</w:t>
            </w:r>
          </w:p>
        </w:tc>
        <w:tc>
          <w:tcPr>
            <w:tcW w:w="1764" w:type="dxa"/>
            <w:shd w:val="clear" w:color="auto" w:fill="auto"/>
            <w:vAlign w:val="center"/>
          </w:tcPr>
          <w:p w14:paraId="782DE836"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Norovirus</w:t>
            </w:r>
          </w:p>
        </w:tc>
        <w:tc>
          <w:tcPr>
            <w:tcW w:w="1309" w:type="dxa"/>
            <w:shd w:val="clear" w:color="auto" w:fill="auto"/>
            <w:vAlign w:val="center"/>
          </w:tcPr>
          <w:p w14:paraId="14326691"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1h</w:t>
            </w:r>
          </w:p>
        </w:tc>
        <w:tc>
          <w:tcPr>
            <w:tcW w:w="1165" w:type="dxa"/>
            <w:shd w:val="clear" w:color="auto" w:fill="auto"/>
            <w:vAlign w:val="center"/>
          </w:tcPr>
          <w:p w14:paraId="6C958165"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~6.0</w:t>
            </w:r>
          </w:p>
        </w:tc>
        <w:tc>
          <w:tcPr>
            <w:tcW w:w="2562" w:type="dxa"/>
            <w:shd w:val="clear" w:color="auto" w:fill="auto"/>
            <w:vAlign w:val="center"/>
          </w:tcPr>
          <w:p w14:paraId="3E91ECCA"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200ppm FC (pH NR)</w:t>
            </w:r>
          </w:p>
        </w:tc>
        <w:tc>
          <w:tcPr>
            <w:tcW w:w="1162" w:type="dxa"/>
            <w:shd w:val="clear" w:color="auto" w:fill="auto"/>
            <w:vAlign w:val="center"/>
          </w:tcPr>
          <w:p w14:paraId="7F35C6D6"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30s</w:t>
            </w:r>
          </w:p>
        </w:tc>
        <w:tc>
          <w:tcPr>
            <w:tcW w:w="1229" w:type="dxa"/>
            <w:shd w:val="clear" w:color="auto" w:fill="auto"/>
            <w:vAlign w:val="center"/>
          </w:tcPr>
          <w:p w14:paraId="4D1A0E8E"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0.9</w:t>
            </w:r>
          </w:p>
        </w:tc>
        <w:tc>
          <w:tcPr>
            <w:tcW w:w="2851" w:type="dxa"/>
            <w:shd w:val="clear" w:color="auto" w:fill="auto"/>
            <w:vAlign w:val="center"/>
          </w:tcPr>
          <w:p w14:paraId="7BAD3F84" w14:textId="77777777" w:rsidR="00285EF0" w:rsidRPr="00BE211F" w:rsidRDefault="00285EF0" w:rsidP="00285EF0">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Butot et al. (2008)</w:t>
            </w:r>
          </w:p>
        </w:tc>
      </w:tr>
      <w:tr w:rsidR="00285EF0" w:rsidRPr="00BE211F" w14:paraId="13B32602"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shd w:val="clear" w:color="auto" w:fill="auto"/>
            <w:vAlign w:val="center"/>
          </w:tcPr>
          <w:p w14:paraId="53C836CC" w14:textId="77777777" w:rsidR="00285EF0" w:rsidRPr="00332B61" w:rsidRDefault="00285EF0" w:rsidP="00285EF0">
            <w:pPr>
              <w:rPr>
                <w:rFonts w:cs="Arial"/>
                <w:b w:val="0"/>
                <w:sz w:val="18"/>
                <w:szCs w:val="18"/>
              </w:rPr>
            </w:pPr>
            <w:r w:rsidRPr="00332B61">
              <w:rPr>
                <w:rFonts w:cs="Arial"/>
                <w:b w:val="0"/>
                <w:color w:val="000000"/>
                <w:sz w:val="18"/>
                <w:szCs w:val="18"/>
              </w:rPr>
              <w:t>Strawberry</w:t>
            </w:r>
          </w:p>
        </w:tc>
        <w:tc>
          <w:tcPr>
            <w:tcW w:w="1764" w:type="dxa"/>
            <w:shd w:val="clear" w:color="auto" w:fill="auto"/>
            <w:vAlign w:val="center"/>
          </w:tcPr>
          <w:p w14:paraId="42EB0E5F"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i/>
                <w:iCs/>
                <w:color w:val="000000"/>
                <w:sz w:val="18"/>
                <w:szCs w:val="18"/>
              </w:rPr>
              <w:t>E. coli</w:t>
            </w:r>
            <w:r>
              <w:rPr>
                <w:rFonts w:cs="Arial"/>
                <w:color w:val="000000"/>
                <w:sz w:val="18"/>
                <w:szCs w:val="18"/>
              </w:rPr>
              <w:t xml:space="preserve"> O157:H7</w:t>
            </w:r>
          </w:p>
        </w:tc>
        <w:tc>
          <w:tcPr>
            <w:tcW w:w="1309" w:type="dxa"/>
            <w:shd w:val="clear" w:color="auto" w:fill="auto"/>
            <w:vAlign w:val="center"/>
          </w:tcPr>
          <w:p w14:paraId="4E931952"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1h</w:t>
            </w:r>
          </w:p>
        </w:tc>
        <w:tc>
          <w:tcPr>
            <w:tcW w:w="1165" w:type="dxa"/>
            <w:shd w:val="clear" w:color="auto" w:fill="auto"/>
            <w:vAlign w:val="center"/>
          </w:tcPr>
          <w:p w14:paraId="7C3F2B36"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~6.0</w:t>
            </w:r>
          </w:p>
        </w:tc>
        <w:tc>
          <w:tcPr>
            <w:tcW w:w="2562" w:type="dxa"/>
            <w:shd w:val="clear" w:color="auto" w:fill="auto"/>
            <w:vAlign w:val="center"/>
          </w:tcPr>
          <w:p w14:paraId="1E69C150"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50ppm (pH NR)</w:t>
            </w:r>
          </w:p>
        </w:tc>
        <w:tc>
          <w:tcPr>
            <w:tcW w:w="1162" w:type="dxa"/>
            <w:shd w:val="clear" w:color="auto" w:fill="auto"/>
            <w:vAlign w:val="center"/>
          </w:tcPr>
          <w:p w14:paraId="5A29D5EE"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w:t>
            </w:r>
          </w:p>
        </w:tc>
        <w:tc>
          <w:tcPr>
            <w:tcW w:w="1229" w:type="dxa"/>
            <w:shd w:val="clear" w:color="auto" w:fill="auto"/>
            <w:vAlign w:val="center"/>
          </w:tcPr>
          <w:p w14:paraId="1200EA53"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1.6</w:t>
            </w:r>
          </w:p>
        </w:tc>
        <w:tc>
          <w:tcPr>
            <w:tcW w:w="2851" w:type="dxa"/>
            <w:shd w:val="clear" w:color="auto" w:fill="auto"/>
            <w:vAlign w:val="center"/>
          </w:tcPr>
          <w:p w14:paraId="482A23FB" w14:textId="77777777" w:rsidR="00285EF0" w:rsidRPr="00BE211F" w:rsidRDefault="00285EF0" w:rsidP="00285EF0">
            <w:pPr>
              <w:keepNext/>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Zhou et al. (2017)</w:t>
            </w:r>
          </w:p>
        </w:tc>
      </w:tr>
      <w:tr w:rsidR="00285EF0" w:rsidRPr="00BE211F" w14:paraId="503929A4"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shd w:val="clear" w:color="auto" w:fill="auto"/>
            <w:vAlign w:val="center"/>
          </w:tcPr>
          <w:p w14:paraId="5AC5DBB0" w14:textId="77777777" w:rsidR="00285EF0" w:rsidRPr="00332B61" w:rsidRDefault="00285EF0" w:rsidP="00285EF0">
            <w:pPr>
              <w:rPr>
                <w:rFonts w:cs="Arial"/>
                <w:b w:val="0"/>
                <w:sz w:val="18"/>
                <w:szCs w:val="18"/>
              </w:rPr>
            </w:pPr>
            <w:r w:rsidRPr="00332B61">
              <w:rPr>
                <w:rFonts w:cs="Arial"/>
                <w:b w:val="0"/>
                <w:color w:val="000000"/>
                <w:sz w:val="18"/>
                <w:szCs w:val="18"/>
              </w:rPr>
              <w:t>Strawberry</w:t>
            </w:r>
          </w:p>
        </w:tc>
        <w:tc>
          <w:tcPr>
            <w:tcW w:w="1764" w:type="dxa"/>
            <w:shd w:val="clear" w:color="auto" w:fill="auto"/>
            <w:vAlign w:val="center"/>
          </w:tcPr>
          <w:p w14:paraId="7389DB48"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color w:val="000000"/>
                <w:sz w:val="18"/>
                <w:szCs w:val="18"/>
              </w:rPr>
              <w:t>HAV</w:t>
            </w:r>
          </w:p>
        </w:tc>
        <w:tc>
          <w:tcPr>
            <w:tcW w:w="1309" w:type="dxa"/>
            <w:shd w:val="clear" w:color="auto" w:fill="auto"/>
            <w:vAlign w:val="center"/>
          </w:tcPr>
          <w:p w14:paraId="0AAE4C06"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1h</w:t>
            </w:r>
          </w:p>
        </w:tc>
        <w:tc>
          <w:tcPr>
            <w:tcW w:w="1165" w:type="dxa"/>
            <w:shd w:val="clear" w:color="auto" w:fill="auto"/>
            <w:vAlign w:val="center"/>
          </w:tcPr>
          <w:p w14:paraId="5BA74730"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~6.0</w:t>
            </w:r>
          </w:p>
        </w:tc>
        <w:tc>
          <w:tcPr>
            <w:tcW w:w="2562" w:type="dxa"/>
            <w:shd w:val="clear" w:color="auto" w:fill="auto"/>
            <w:vAlign w:val="center"/>
          </w:tcPr>
          <w:p w14:paraId="3B62E171"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200ppm FC (pH NR)</w:t>
            </w:r>
          </w:p>
        </w:tc>
        <w:tc>
          <w:tcPr>
            <w:tcW w:w="1162" w:type="dxa"/>
            <w:shd w:val="clear" w:color="auto" w:fill="auto"/>
            <w:vAlign w:val="center"/>
          </w:tcPr>
          <w:p w14:paraId="5B6F8032"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30s</w:t>
            </w:r>
          </w:p>
        </w:tc>
        <w:tc>
          <w:tcPr>
            <w:tcW w:w="1229" w:type="dxa"/>
            <w:shd w:val="clear" w:color="auto" w:fill="auto"/>
            <w:vAlign w:val="center"/>
          </w:tcPr>
          <w:p w14:paraId="5F95D754"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1.8</w:t>
            </w:r>
          </w:p>
        </w:tc>
        <w:tc>
          <w:tcPr>
            <w:tcW w:w="2851" w:type="dxa"/>
            <w:shd w:val="clear" w:color="auto" w:fill="auto"/>
            <w:vAlign w:val="center"/>
          </w:tcPr>
          <w:p w14:paraId="12729134" w14:textId="77777777" w:rsidR="00285EF0" w:rsidRPr="00BE211F" w:rsidRDefault="00285EF0" w:rsidP="00285EF0">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Butot et al. (2008)</w:t>
            </w:r>
          </w:p>
        </w:tc>
      </w:tr>
      <w:tr w:rsidR="00285EF0" w:rsidRPr="00BE211F" w14:paraId="5625ACBB"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shd w:val="clear" w:color="auto" w:fill="auto"/>
            <w:vAlign w:val="center"/>
          </w:tcPr>
          <w:p w14:paraId="3BFF69CC" w14:textId="77777777" w:rsidR="00285EF0" w:rsidRPr="00332B61" w:rsidRDefault="00285EF0" w:rsidP="00285EF0">
            <w:pPr>
              <w:rPr>
                <w:rFonts w:cs="Arial"/>
                <w:b w:val="0"/>
                <w:sz w:val="18"/>
                <w:szCs w:val="18"/>
              </w:rPr>
            </w:pPr>
            <w:r w:rsidRPr="00332B61">
              <w:rPr>
                <w:rFonts w:cs="Arial"/>
                <w:b w:val="0"/>
                <w:color w:val="000000"/>
                <w:sz w:val="18"/>
                <w:szCs w:val="18"/>
              </w:rPr>
              <w:t>Strawberry</w:t>
            </w:r>
          </w:p>
        </w:tc>
        <w:tc>
          <w:tcPr>
            <w:tcW w:w="1764" w:type="dxa"/>
            <w:shd w:val="clear" w:color="auto" w:fill="auto"/>
            <w:vAlign w:val="center"/>
          </w:tcPr>
          <w:p w14:paraId="508A7C31"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HAV</w:t>
            </w:r>
          </w:p>
        </w:tc>
        <w:tc>
          <w:tcPr>
            <w:tcW w:w="1309" w:type="dxa"/>
            <w:shd w:val="clear" w:color="auto" w:fill="auto"/>
            <w:vAlign w:val="center"/>
          </w:tcPr>
          <w:p w14:paraId="6BCB4FC5"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1h</w:t>
            </w:r>
          </w:p>
        </w:tc>
        <w:tc>
          <w:tcPr>
            <w:tcW w:w="1165" w:type="dxa"/>
            <w:shd w:val="clear" w:color="auto" w:fill="auto"/>
            <w:vAlign w:val="center"/>
          </w:tcPr>
          <w:p w14:paraId="71C02EF3"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~4.0</w:t>
            </w:r>
          </w:p>
        </w:tc>
        <w:tc>
          <w:tcPr>
            <w:tcW w:w="2562" w:type="dxa"/>
            <w:shd w:val="clear" w:color="auto" w:fill="auto"/>
            <w:vAlign w:val="center"/>
          </w:tcPr>
          <w:p w14:paraId="74D6202D"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50ppm (pH NR)</w:t>
            </w:r>
          </w:p>
        </w:tc>
        <w:tc>
          <w:tcPr>
            <w:tcW w:w="1162" w:type="dxa"/>
            <w:shd w:val="clear" w:color="auto" w:fill="auto"/>
            <w:vAlign w:val="center"/>
          </w:tcPr>
          <w:p w14:paraId="559D60F2"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w:t>
            </w:r>
          </w:p>
        </w:tc>
        <w:tc>
          <w:tcPr>
            <w:tcW w:w="1229" w:type="dxa"/>
            <w:shd w:val="clear" w:color="auto" w:fill="auto"/>
            <w:vAlign w:val="center"/>
          </w:tcPr>
          <w:p w14:paraId="119D14D6"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3.4</w:t>
            </w:r>
          </w:p>
        </w:tc>
        <w:tc>
          <w:tcPr>
            <w:tcW w:w="2851" w:type="dxa"/>
            <w:shd w:val="clear" w:color="auto" w:fill="auto"/>
            <w:vAlign w:val="center"/>
          </w:tcPr>
          <w:p w14:paraId="5234FEF4" w14:textId="77777777" w:rsidR="00285EF0" w:rsidRPr="00BE211F" w:rsidRDefault="00285EF0" w:rsidP="00285EF0">
            <w:pPr>
              <w:keepNext/>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Zhou et al. (2017)</w:t>
            </w:r>
          </w:p>
        </w:tc>
      </w:tr>
      <w:tr w:rsidR="00285EF0" w:rsidRPr="00BE211F" w14:paraId="6DFE591E"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shd w:val="clear" w:color="auto" w:fill="auto"/>
            <w:vAlign w:val="center"/>
          </w:tcPr>
          <w:p w14:paraId="7E6076D1" w14:textId="77777777" w:rsidR="00285EF0" w:rsidRPr="00332B61" w:rsidRDefault="00285EF0" w:rsidP="00285EF0">
            <w:pPr>
              <w:rPr>
                <w:rFonts w:cs="Arial"/>
                <w:b w:val="0"/>
                <w:sz w:val="18"/>
                <w:szCs w:val="18"/>
              </w:rPr>
            </w:pPr>
            <w:r w:rsidRPr="00332B61">
              <w:rPr>
                <w:rFonts w:cs="Arial"/>
                <w:b w:val="0"/>
                <w:color w:val="000000"/>
                <w:sz w:val="18"/>
                <w:szCs w:val="18"/>
              </w:rPr>
              <w:t>Strawberry</w:t>
            </w:r>
          </w:p>
        </w:tc>
        <w:tc>
          <w:tcPr>
            <w:tcW w:w="1764" w:type="dxa"/>
            <w:shd w:val="clear" w:color="auto" w:fill="auto"/>
            <w:vAlign w:val="center"/>
          </w:tcPr>
          <w:p w14:paraId="55BB3DEA"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i/>
                <w:iCs/>
                <w:color w:val="000000"/>
                <w:sz w:val="18"/>
                <w:szCs w:val="18"/>
              </w:rPr>
              <w:t>L. monocytogenes</w:t>
            </w:r>
          </w:p>
        </w:tc>
        <w:tc>
          <w:tcPr>
            <w:tcW w:w="1309" w:type="dxa"/>
            <w:shd w:val="clear" w:color="auto" w:fill="auto"/>
            <w:vAlign w:val="center"/>
          </w:tcPr>
          <w:p w14:paraId="0B431BF1"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1h</w:t>
            </w:r>
          </w:p>
        </w:tc>
        <w:tc>
          <w:tcPr>
            <w:tcW w:w="1165" w:type="dxa"/>
            <w:shd w:val="clear" w:color="auto" w:fill="auto"/>
            <w:vAlign w:val="center"/>
          </w:tcPr>
          <w:p w14:paraId="2893AF8A"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~6.0</w:t>
            </w:r>
          </w:p>
        </w:tc>
        <w:tc>
          <w:tcPr>
            <w:tcW w:w="2562" w:type="dxa"/>
            <w:shd w:val="clear" w:color="auto" w:fill="auto"/>
            <w:vAlign w:val="center"/>
          </w:tcPr>
          <w:p w14:paraId="44C20372"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50ppm (pH NR)</w:t>
            </w:r>
          </w:p>
        </w:tc>
        <w:tc>
          <w:tcPr>
            <w:tcW w:w="1162" w:type="dxa"/>
            <w:shd w:val="clear" w:color="auto" w:fill="auto"/>
            <w:vAlign w:val="center"/>
          </w:tcPr>
          <w:p w14:paraId="620AFCBC"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w:t>
            </w:r>
          </w:p>
        </w:tc>
        <w:tc>
          <w:tcPr>
            <w:tcW w:w="1229" w:type="dxa"/>
            <w:shd w:val="clear" w:color="auto" w:fill="auto"/>
            <w:vAlign w:val="center"/>
          </w:tcPr>
          <w:p w14:paraId="5A8EADB5"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1.6</w:t>
            </w:r>
          </w:p>
        </w:tc>
        <w:tc>
          <w:tcPr>
            <w:tcW w:w="2851" w:type="dxa"/>
            <w:shd w:val="clear" w:color="auto" w:fill="auto"/>
            <w:vAlign w:val="center"/>
          </w:tcPr>
          <w:p w14:paraId="2EAAEACC" w14:textId="77777777" w:rsidR="00285EF0" w:rsidRPr="00BE211F" w:rsidRDefault="00285EF0" w:rsidP="00285EF0">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Zhou et al. (2017)</w:t>
            </w:r>
          </w:p>
        </w:tc>
      </w:tr>
      <w:tr w:rsidR="00285EF0" w:rsidRPr="00BE211F" w14:paraId="4EA3402A"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shd w:val="clear" w:color="auto" w:fill="auto"/>
            <w:vAlign w:val="center"/>
          </w:tcPr>
          <w:p w14:paraId="51ADB8E7" w14:textId="77777777" w:rsidR="00285EF0" w:rsidRPr="00332B61" w:rsidRDefault="00285EF0" w:rsidP="00285EF0">
            <w:pPr>
              <w:rPr>
                <w:rFonts w:cs="Arial"/>
                <w:b w:val="0"/>
                <w:sz w:val="18"/>
                <w:szCs w:val="18"/>
              </w:rPr>
            </w:pPr>
            <w:r w:rsidRPr="00332B61">
              <w:rPr>
                <w:rFonts w:cs="Arial"/>
                <w:b w:val="0"/>
                <w:color w:val="000000"/>
                <w:sz w:val="18"/>
                <w:szCs w:val="18"/>
              </w:rPr>
              <w:t>Strawberry</w:t>
            </w:r>
          </w:p>
        </w:tc>
        <w:tc>
          <w:tcPr>
            <w:tcW w:w="1764" w:type="dxa"/>
            <w:shd w:val="clear" w:color="auto" w:fill="auto"/>
            <w:vAlign w:val="center"/>
          </w:tcPr>
          <w:p w14:paraId="109B4A11"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sz w:val="18"/>
                <w:szCs w:val="18"/>
              </w:rPr>
            </w:pPr>
            <w:r>
              <w:rPr>
                <w:rFonts w:cs="Arial"/>
                <w:color w:val="000000"/>
                <w:sz w:val="18"/>
                <w:szCs w:val="18"/>
              </w:rPr>
              <w:t>Norovirus</w:t>
            </w:r>
          </w:p>
        </w:tc>
        <w:tc>
          <w:tcPr>
            <w:tcW w:w="1309" w:type="dxa"/>
            <w:shd w:val="clear" w:color="auto" w:fill="auto"/>
            <w:vAlign w:val="center"/>
          </w:tcPr>
          <w:p w14:paraId="307520FA"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1h</w:t>
            </w:r>
          </w:p>
        </w:tc>
        <w:tc>
          <w:tcPr>
            <w:tcW w:w="1165" w:type="dxa"/>
            <w:shd w:val="clear" w:color="auto" w:fill="auto"/>
            <w:vAlign w:val="center"/>
          </w:tcPr>
          <w:p w14:paraId="187EF682"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~6.0</w:t>
            </w:r>
          </w:p>
        </w:tc>
        <w:tc>
          <w:tcPr>
            <w:tcW w:w="2562" w:type="dxa"/>
            <w:shd w:val="clear" w:color="auto" w:fill="auto"/>
            <w:vAlign w:val="center"/>
          </w:tcPr>
          <w:p w14:paraId="59C38AFA"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200ppm FC (pH NR)</w:t>
            </w:r>
          </w:p>
        </w:tc>
        <w:tc>
          <w:tcPr>
            <w:tcW w:w="1162" w:type="dxa"/>
            <w:shd w:val="clear" w:color="auto" w:fill="auto"/>
            <w:vAlign w:val="center"/>
          </w:tcPr>
          <w:p w14:paraId="3DB78A0A"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30s</w:t>
            </w:r>
          </w:p>
        </w:tc>
        <w:tc>
          <w:tcPr>
            <w:tcW w:w="1229" w:type="dxa"/>
            <w:shd w:val="clear" w:color="auto" w:fill="auto"/>
            <w:vAlign w:val="center"/>
          </w:tcPr>
          <w:p w14:paraId="453766B7"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1.4 - &gt;3.0</w:t>
            </w:r>
          </w:p>
        </w:tc>
        <w:tc>
          <w:tcPr>
            <w:tcW w:w="2851" w:type="dxa"/>
            <w:shd w:val="clear" w:color="auto" w:fill="auto"/>
            <w:vAlign w:val="center"/>
          </w:tcPr>
          <w:p w14:paraId="796C6673" w14:textId="77777777" w:rsidR="00285EF0" w:rsidRPr="00BE211F" w:rsidRDefault="00285EF0" w:rsidP="00285EF0">
            <w:pPr>
              <w:keepNext/>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Butot et al. (2008)</w:t>
            </w:r>
          </w:p>
        </w:tc>
      </w:tr>
      <w:tr w:rsidR="00285EF0" w:rsidRPr="00BE211F" w14:paraId="3B58B9E7"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shd w:val="clear" w:color="auto" w:fill="auto"/>
            <w:vAlign w:val="center"/>
          </w:tcPr>
          <w:p w14:paraId="67E164CC" w14:textId="77777777" w:rsidR="00285EF0" w:rsidRPr="00332B61" w:rsidRDefault="00285EF0" w:rsidP="00285EF0">
            <w:pPr>
              <w:rPr>
                <w:rFonts w:cs="Arial"/>
                <w:b w:val="0"/>
                <w:sz w:val="18"/>
                <w:szCs w:val="18"/>
              </w:rPr>
            </w:pPr>
            <w:r w:rsidRPr="00332B61">
              <w:rPr>
                <w:rFonts w:cs="Arial"/>
                <w:b w:val="0"/>
                <w:color w:val="000000"/>
                <w:sz w:val="18"/>
                <w:szCs w:val="18"/>
              </w:rPr>
              <w:t>Strawberry</w:t>
            </w:r>
          </w:p>
        </w:tc>
        <w:tc>
          <w:tcPr>
            <w:tcW w:w="1764" w:type="dxa"/>
            <w:shd w:val="clear" w:color="auto" w:fill="auto"/>
            <w:vAlign w:val="center"/>
          </w:tcPr>
          <w:p w14:paraId="4CE4C245"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Norovirus</w:t>
            </w:r>
          </w:p>
        </w:tc>
        <w:tc>
          <w:tcPr>
            <w:tcW w:w="1309" w:type="dxa"/>
            <w:shd w:val="clear" w:color="auto" w:fill="auto"/>
            <w:vAlign w:val="center"/>
          </w:tcPr>
          <w:p w14:paraId="7EFDBAF0"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1h</w:t>
            </w:r>
          </w:p>
        </w:tc>
        <w:tc>
          <w:tcPr>
            <w:tcW w:w="1165" w:type="dxa"/>
            <w:shd w:val="clear" w:color="auto" w:fill="auto"/>
            <w:vAlign w:val="center"/>
          </w:tcPr>
          <w:p w14:paraId="66F97C46"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sz w:val="18"/>
                <w:szCs w:val="18"/>
              </w:rPr>
              <w:t>~7.0</w:t>
            </w:r>
          </w:p>
        </w:tc>
        <w:tc>
          <w:tcPr>
            <w:tcW w:w="2562" w:type="dxa"/>
            <w:shd w:val="clear" w:color="auto" w:fill="auto"/>
            <w:vAlign w:val="center"/>
          </w:tcPr>
          <w:p w14:paraId="0C2189A3"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50ppm (pH NR)</w:t>
            </w:r>
          </w:p>
        </w:tc>
        <w:tc>
          <w:tcPr>
            <w:tcW w:w="1162" w:type="dxa"/>
            <w:shd w:val="clear" w:color="auto" w:fill="auto"/>
            <w:vAlign w:val="center"/>
          </w:tcPr>
          <w:p w14:paraId="7DA9DD85"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w:t>
            </w:r>
          </w:p>
        </w:tc>
        <w:tc>
          <w:tcPr>
            <w:tcW w:w="1229" w:type="dxa"/>
            <w:shd w:val="clear" w:color="auto" w:fill="auto"/>
            <w:vAlign w:val="center"/>
          </w:tcPr>
          <w:p w14:paraId="78A43711"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1.5</w:t>
            </w:r>
          </w:p>
        </w:tc>
        <w:tc>
          <w:tcPr>
            <w:tcW w:w="2851" w:type="dxa"/>
            <w:shd w:val="clear" w:color="auto" w:fill="auto"/>
            <w:vAlign w:val="center"/>
          </w:tcPr>
          <w:p w14:paraId="4EE17BD7" w14:textId="77777777" w:rsidR="00285EF0" w:rsidRPr="00BE211F" w:rsidRDefault="00285EF0" w:rsidP="00285EF0">
            <w:pPr>
              <w:keepNext/>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Zhou et al. (2017)</w:t>
            </w:r>
          </w:p>
        </w:tc>
      </w:tr>
      <w:tr w:rsidR="00285EF0" w:rsidRPr="00BE211F" w14:paraId="18D8DD65"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shd w:val="clear" w:color="auto" w:fill="auto"/>
            <w:vAlign w:val="center"/>
          </w:tcPr>
          <w:p w14:paraId="55E0A1BE" w14:textId="77777777" w:rsidR="00285EF0" w:rsidRPr="00332B61" w:rsidRDefault="00285EF0" w:rsidP="00285EF0">
            <w:pPr>
              <w:rPr>
                <w:rFonts w:cs="Arial"/>
                <w:b w:val="0"/>
                <w:sz w:val="18"/>
                <w:szCs w:val="18"/>
              </w:rPr>
            </w:pPr>
            <w:r w:rsidRPr="00332B61">
              <w:rPr>
                <w:rFonts w:cs="Arial"/>
                <w:b w:val="0"/>
                <w:color w:val="000000"/>
                <w:sz w:val="18"/>
                <w:szCs w:val="18"/>
              </w:rPr>
              <w:t>Strawberry</w:t>
            </w:r>
          </w:p>
        </w:tc>
        <w:tc>
          <w:tcPr>
            <w:tcW w:w="1764" w:type="dxa"/>
            <w:shd w:val="clear" w:color="auto" w:fill="auto"/>
            <w:vAlign w:val="center"/>
          </w:tcPr>
          <w:p w14:paraId="25A9D329" w14:textId="77777777" w:rsidR="00285EF0" w:rsidRPr="00F31075"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i/>
                <w:iCs/>
                <w:color w:val="000000"/>
                <w:sz w:val="18"/>
                <w:szCs w:val="18"/>
              </w:rPr>
              <w:t xml:space="preserve">Salmonella </w:t>
            </w:r>
            <w:r>
              <w:rPr>
                <w:rFonts w:cs="Arial"/>
                <w:iCs/>
                <w:color w:val="000000"/>
                <w:sz w:val="18"/>
                <w:szCs w:val="18"/>
              </w:rPr>
              <w:t>spp.</w:t>
            </w:r>
          </w:p>
        </w:tc>
        <w:tc>
          <w:tcPr>
            <w:tcW w:w="1309" w:type="dxa"/>
            <w:shd w:val="clear" w:color="auto" w:fill="auto"/>
            <w:vAlign w:val="center"/>
          </w:tcPr>
          <w:p w14:paraId="7F169D43"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1h</w:t>
            </w:r>
          </w:p>
        </w:tc>
        <w:tc>
          <w:tcPr>
            <w:tcW w:w="1165" w:type="dxa"/>
            <w:shd w:val="clear" w:color="auto" w:fill="auto"/>
            <w:vAlign w:val="center"/>
          </w:tcPr>
          <w:p w14:paraId="219C1D96"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sz w:val="18"/>
                <w:szCs w:val="18"/>
              </w:rPr>
              <w:t>~6.0</w:t>
            </w:r>
          </w:p>
        </w:tc>
        <w:tc>
          <w:tcPr>
            <w:tcW w:w="2562" w:type="dxa"/>
            <w:shd w:val="clear" w:color="auto" w:fill="auto"/>
            <w:vAlign w:val="center"/>
          </w:tcPr>
          <w:p w14:paraId="7D27BBE9"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50ppm (pH NR)</w:t>
            </w:r>
          </w:p>
        </w:tc>
        <w:tc>
          <w:tcPr>
            <w:tcW w:w="1162" w:type="dxa"/>
            <w:shd w:val="clear" w:color="auto" w:fill="auto"/>
            <w:vAlign w:val="center"/>
          </w:tcPr>
          <w:p w14:paraId="7860D13A"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w:t>
            </w:r>
          </w:p>
        </w:tc>
        <w:tc>
          <w:tcPr>
            <w:tcW w:w="1229" w:type="dxa"/>
            <w:shd w:val="clear" w:color="auto" w:fill="auto"/>
            <w:vAlign w:val="center"/>
          </w:tcPr>
          <w:p w14:paraId="35479A61"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1.6</w:t>
            </w:r>
          </w:p>
        </w:tc>
        <w:tc>
          <w:tcPr>
            <w:tcW w:w="2851" w:type="dxa"/>
            <w:shd w:val="clear" w:color="auto" w:fill="auto"/>
            <w:vAlign w:val="center"/>
          </w:tcPr>
          <w:p w14:paraId="16FA3BE7" w14:textId="77777777" w:rsidR="00285EF0" w:rsidRPr="00BE211F" w:rsidRDefault="00285EF0" w:rsidP="00285EF0">
            <w:pPr>
              <w:keepNext/>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Zhou et al. (2017)</w:t>
            </w:r>
          </w:p>
        </w:tc>
      </w:tr>
      <w:tr w:rsidR="00285EF0" w:rsidRPr="00BE211F" w14:paraId="16DB40DD"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3887" w:type="dxa"/>
            <w:gridSpan w:val="8"/>
            <w:vAlign w:val="center"/>
          </w:tcPr>
          <w:p w14:paraId="52B22250" w14:textId="77777777" w:rsidR="00285EF0" w:rsidRPr="00BE211F" w:rsidRDefault="00285EF0" w:rsidP="00285EF0">
            <w:pPr>
              <w:widowControl/>
              <w:rPr>
                <w:rFonts w:cs="Arial"/>
                <w:color w:val="000000" w:themeColor="text1"/>
                <w:sz w:val="18"/>
                <w:szCs w:val="18"/>
              </w:rPr>
            </w:pPr>
          </w:p>
        </w:tc>
      </w:tr>
      <w:tr w:rsidR="00285EF0" w:rsidRPr="00BE211F" w14:paraId="5AF797F4"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3887" w:type="dxa"/>
            <w:gridSpan w:val="8"/>
            <w:tcBorders>
              <w:right w:val="none" w:sz="0" w:space="0" w:color="auto"/>
            </w:tcBorders>
            <w:shd w:val="clear" w:color="auto" w:fill="C6D9F1" w:themeFill="text2" w:themeFillTint="33"/>
            <w:vAlign w:val="center"/>
          </w:tcPr>
          <w:p w14:paraId="7454240A" w14:textId="77777777" w:rsidR="00285EF0" w:rsidRPr="00BE211F" w:rsidRDefault="00285EF0" w:rsidP="00285EF0">
            <w:pPr>
              <w:widowControl/>
              <w:jc w:val="both"/>
              <w:rPr>
                <w:rFonts w:cs="Arial"/>
                <w:color w:val="000000" w:themeColor="text1"/>
                <w:sz w:val="18"/>
                <w:szCs w:val="18"/>
              </w:rPr>
            </w:pPr>
            <w:r w:rsidRPr="00BE211F">
              <w:rPr>
                <w:rFonts w:cs="Arial"/>
                <w:noProof/>
                <w:color w:val="000000" w:themeColor="text1"/>
                <w:sz w:val="18"/>
                <w:szCs w:val="18"/>
              </w:rPr>
              <w:t>Chlorine dioxide</w:t>
            </w:r>
          </w:p>
        </w:tc>
      </w:tr>
      <w:tr w:rsidR="00285EF0" w:rsidRPr="00BE211F" w14:paraId="5E6D4DE9"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678D6373" w14:textId="77777777" w:rsidR="00285EF0" w:rsidRPr="00BE211F" w:rsidRDefault="00285EF0" w:rsidP="00285EF0">
            <w:pPr>
              <w:widowControl/>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362D1DA0"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i/>
                <w:sz w:val="18"/>
                <w:szCs w:val="18"/>
              </w:rPr>
            </w:pPr>
            <w:r w:rsidRPr="00BE211F">
              <w:rPr>
                <w:rFonts w:cs="Arial"/>
                <w:i/>
                <w:sz w:val="18"/>
                <w:szCs w:val="18"/>
              </w:rPr>
              <w:t>L. monocytogenes</w:t>
            </w:r>
          </w:p>
        </w:tc>
        <w:tc>
          <w:tcPr>
            <w:tcW w:w="1309" w:type="dxa"/>
          </w:tcPr>
          <w:p w14:paraId="7BD65DB6"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sz w:val="18"/>
                <w:szCs w:val="18"/>
              </w:rPr>
              <w:t>24h</w:t>
            </w:r>
          </w:p>
        </w:tc>
        <w:tc>
          <w:tcPr>
            <w:tcW w:w="1165" w:type="dxa"/>
          </w:tcPr>
          <w:p w14:paraId="69D6001B"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sz w:val="18"/>
                <w:szCs w:val="18"/>
              </w:rPr>
              <w:sym w:font="Symbol" w:char="F07E"/>
            </w:r>
            <w:r w:rsidRPr="00BE211F">
              <w:rPr>
                <w:rFonts w:cs="Arial"/>
                <w:color w:val="000000"/>
                <w:sz w:val="18"/>
                <w:szCs w:val="18"/>
              </w:rPr>
              <w:t>6.0</w:t>
            </w:r>
          </w:p>
        </w:tc>
        <w:tc>
          <w:tcPr>
            <w:tcW w:w="2562" w:type="dxa"/>
          </w:tcPr>
          <w:p w14:paraId="51CF08B7"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 xml:space="preserve">3ppm </w:t>
            </w:r>
          </w:p>
        </w:tc>
        <w:tc>
          <w:tcPr>
            <w:tcW w:w="1162" w:type="dxa"/>
          </w:tcPr>
          <w:p w14:paraId="0E8E2675"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 – 5</w:t>
            </w:r>
          </w:p>
        </w:tc>
        <w:tc>
          <w:tcPr>
            <w:tcW w:w="1229" w:type="dxa"/>
          </w:tcPr>
          <w:p w14:paraId="7E65FF09"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sz w:val="18"/>
                <w:szCs w:val="18"/>
              </w:rPr>
              <w:t>2.4 to &gt;5</w:t>
            </w:r>
          </w:p>
        </w:tc>
        <w:tc>
          <w:tcPr>
            <w:tcW w:w="2851" w:type="dxa"/>
          </w:tcPr>
          <w:p w14:paraId="29F606BD" w14:textId="77777777" w:rsidR="00285EF0" w:rsidRPr="00BE211F"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noProof/>
                <w:sz w:val="18"/>
                <w:szCs w:val="18"/>
              </w:rPr>
              <w:fldChar w:fldCharType="begin"/>
            </w:r>
            <w:r w:rsidRPr="00BE211F">
              <w:rPr>
                <w:rFonts w:cs="Arial"/>
                <w:noProof/>
                <w:sz w:val="18"/>
                <w:szCs w:val="18"/>
              </w:rPr>
              <w:instrText>ADDIN CITAVI.PLACEHOLDER b4273e55-e887-48bf-a0e9-11b20c957e33 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m9kZ2VycyBldCBhbC48L1RleHQ+DQogICAgPC9UZXh0VW5pdD4NCiAgPC9UZXh0VW5pdHM+DQo8L1BsYWNlaG9sZGVyPg==</w:instrText>
            </w:r>
            <w:r w:rsidRPr="00BE211F">
              <w:rPr>
                <w:rFonts w:cs="Arial"/>
                <w:noProof/>
                <w:sz w:val="18"/>
                <w:szCs w:val="18"/>
              </w:rPr>
              <w:fldChar w:fldCharType="separate"/>
            </w:r>
            <w:bookmarkStart w:id="1386" w:name="_CTVP001b4273e55e88748bfa0e911b20c957e33"/>
            <w:r w:rsidRPr="00BE211F">
              <w:rPr>
                <w:rFonts w:cs="Arial"/>
                <w:noProof/>
                <w:sz w:val="18"/>
                <w:szCs w:val="18"/>
              </w:rPr>
              <w:t>Rodgers et al.</w:t>
            </w:r>
            <w:bookmarkEnd w:id="1386"/>
            <w:r w:rsidRPr="00BE211F">
              <w:rPr>
                <w:rFonts w:cs="Arial"/>
                <w:noProof/>
                <w:sz w:val="18"/>
                <w:szCs w:val="18"/>
              </w:rPr>
              <w:fldChar w:fldCharType="end"/>
            </w:r>
            <w:r w:rsidRPr="00BE211F">
              <w:rPr>
                <w:rFonts w:cs="Arial"/>
                <w:noProof/>
                <w:sz w:val="18"/>
                <w:szCs w:val="18"/>
              </w:rPr>
              <w:t xml:space="preserve"> </w:t>
            </w:r>
            <w:r w:rsidRPr="00BE211F">
              <w:rPr>
                <w:rFonts w:cs="Arial"/>
                <w:noProof/>
                <w:sz w:val="18"/>
                <w:szCs w:val="18"/>
              </w:rPr>
              <w:fldChar w:fldCharType="begin"/>
            </w:r>
            <w:r w:rsidRPr="00BE211F">
              <w:rPr>
                <w:rFonts w:cs="Arial"/>
                <w:noProof/>
                <w:sz w:val="18"/>
                <w:szCs w:val="18"/>
              </w:rPr>
              <w:instrText>ADDIN CITAVI.PLACEHOLDER 16b2593b-7f21-4f14-82cc-11844976ce85 PFBsYWNlaG9sZGVyPg0KICA8QWRkSW5WZXJzaW9uPjUuNS4wLjE8L0FkZEluVmVyc2lvbj4NCiAgPElkPjE2YjI1OTNiLTdmMjEtNGYxNC04MmNjLTExODQ0OTc2Y2U4NTwvSWQ+DQogIDxBc3NvY2lhdGVXaXRoUGxhY2Vob2xkZXJJZD5iNDI3M2U1NS1lODg3LTQ4YmYtYTBlOS0xMWIyMGM5NTdlMzM8L0Fzc29jaWF0ZVdpdGhQbGFjZWhvbGRlcklkPg0KICA8RW50cmllcz4NCiAgICA8RW50cnk+DQogICAgICA8SWQ+OGE4ZWM4YjAtNmNhNS00YmQ4LWE4MGUtMDVjNzllNzMwZDllPC9JZD4NCiAgICAgIDxSZWZlcmVuY2VJZD5lNWE1MWZhYy1mYzNiLTQ0OGEtYTliOC03NDRlZWEwYTc2YW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NCk8L1RleHQ+DQogICAgPC9UZXh0VW5pdD4NCiAgPC9UZXh0VW5pdHM+DQo8L1BsYWNlaG9sZGVyPg==</w:instrText>
            </w:r>
            <w:r w:rsidRPr="00BE211F">
              <w:rPr>
                <w:rFonts w:cs="Arial"/>
                <w:noProof/>
                <w:sz w:val="18"/>
                <w:szCs w:val="18"/>
              </w:rPr>
              <w:fldChar w:fldCharType="separate"/>
            </w:r>
            <w:bookmarkStart w:id="1387" w:name="_CTVP00116b2593b7f214f1482cc11844976ce85"/>
            <w:r w:rsidRPr="00BE211F">
              <w:rPr>
                <w:rFonts w:cs="Arial"/>
                <w:noProof/>
                <w:sz w:val="18"/>
                <w:szCs w:val="18"/>
              </w:rPr>
              <w:t>(2004)</w:t>
            </w:r>
            <w:bookmarkEnd w:id="1387"/>
            <w:r w:rsidRPr="00BE211F">
              <w:rPr>
                <w:rFonts w:cs="Arial"/>
                <w:noProof/>
                <w:sz w:val="18"/>
                <w:szCs w:val="18"/>
              </w:rPr>
              <w:fldChar w:fldCharType="end"/>
            </w:r>
          </w:p>
        </w:tc>
      </w:tr>
      <w:tr w:rsidR="00285EF0" w:rsidRPr="00BE211F" w14:paraId="791FB573"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2252C7E7" w14:textId="77777777" w:rsidR="00285EF0" w:rsidRPr="00BE211F" w:rsidRDefault="00285EF0" w:rsidP="00285EF0">
            <w:pPr>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5CCB9DBE"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i/>
                <w:sz w:val="18"/>
                <w:szCs w:val="18"/>
              </w:rPr>
            </w:pPr>
            <w:r w:rsidRPr="00BE211F">
              <w:rPr>
                <w:rFonts w:cs="Arial"/>
                <w:i/>
                <w:sz w:val="18"/>
                <w:szCs w:val="18"/>
              </w:rPr>
              <w:t>L. monocytogenes</w:t>
            </w:r>
          </w:p>
        </w:tc>
        <w:tc>
          <w:tcPr>
            <w:tcW w:w="1309" w:type="dxa"/>
          </w:tcPr>
          <w:p w14:paraId="0A6F5E0A"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sz w:val="18"/>
                <w:szCs w:val="18"/>
              </w:rPr>
              <w:t>24h</w:t>
            </w:r>
          </w:p>
        </w:tc>
        <w:tc>
          <w:tcPr>
            <w:tcW w:w="1165" w:type="dxa"/>
          </w:tcPr>
          <w:p w14:paraId="6D775B34"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sz w:val="18"/>
                <w:szCs w:val="18"/>
              </w:rPr>
              <w:sym w:font="Symbol" w:char="F07E"/>
            </w:r>
            <w:r w:rsidRPr="00BE211F">
              <w:rPr>
                <w:rFonts w:cs="Arial"/>
                <w:color w:val="000000"/>
                <w:sz w:val="18"/>
                <w:szCs w:val="18"/>
              </w:rPr>
              <w:t>6.0</w:t>
            </w:r>
          </w:p>
        </w:tc>
        <w:tc>
          <w:tcPr>
            <w:tcW w:w="2562" w:type="dxa"/>
          </w:tcPr>
          <w:p w14:paraId="16F2D53A"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 xml:space="preserve">5ppm </w:t>
            </w:r>
          </w:p>
        </w:tc>
        <w:tc>
          <w:tcPr>
            <w:tcW w:w="1162" w:type="dxa"/>
          </w:tcPr>
          <w:p w14:paraId="7CEAC4F1"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2 – 5</w:t>
            </w:r>
          </w:p>
        </w:tc>
        <w:tc>
          <w:tcPr>
            <w:tcW w:w="1229" w:type="dxa"/>
          </w:tcPr>
          <w:p w14:paraId="55925E91"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sz w:val="18"/>
                <w:szCs w:val="18"/>
              </w:rPr>
              <w:t>2.9 to &gt;5</w:t>
            </w:r>
          </w:p>
        </w:tc>
        <w:tc>
          <w:tcPr>
            <w:tcW w:w="2851" w:type="dxa"/>
          </w:tcPr>
          <w:p w14:paraId="6B42B4D1" w14:textId="77777777" w:rsidR="00285EF0" w:rsidRPr="00BE211F"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noProof/>
                <w:sz w:val="18"/>
                <w:szCs w:val="18"/>
              </w:rPr>
              <w:fldChar w:fldCharType="begin"/>
            </w:r>
            <w:r w:rsidRPr="00BE211F">
              <w:rPr>
                <w:rFonts w:cs="Arial"/>
                <w:noProof/>
                <w:sz w:val="18"/>
                <w:szCs w:val="18"/>
              </w:rPr>
              <w:instrText>ADDIN CITAVI.PLACEHOLDER 277cca8b-8d82-48fa-8813-7b05341d0702 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m9kZ2VycyBldCBhbC48L1RleHQ+DQogICAgPC9UZXh0VW5pdD4NCiAgPC9UZXh0VW5pdHM+DQo8L1BsYWNlaG9sZGVyPg==</w:instrText>
            </w:r>
            <w:r w:rsidRPr="00BE211F">
              <w:rPr>
                <w:rFonts w:cs="Arial"/>
                <w:noProof/>
                <w:sz w:val="18"/>
                <w:szCs w:val="18"/>
              </w:rPr>
              <w:fldChar w:fldCharType="separate"/>
            </w:r>
            <w:bookmarkStart w:id="1388" w:name="_CTVP001277cca8b8d8248fa88137b05341d0702"/>
            <w:r w:rsidRPr="00BE211F">
              <w:rPr>
                <w:rFonts w:cs="Arial"/>
                <w:noProof/>
                <w:sz w:val="18"/>
                <w:szCs w:val="18"/>
              </w:rPr>
              <w:t>Rodgers et al.</w:t>
            </w:r>
            <w:bookmarkEnd w:id="1388"/>
            <w:r w:rsidRPr="00BE211F">
              <w:rPr>
                <w:rFonts w:cs="Arial"/>
                <w:noProof/>
                <w:sz w:val="18"/>
                <w:szCs w:val="18"/>
              </w:rPr>
              <w:fldChar w:fldCharType="end"/>
            </w:r>
            <w:r w:rsidRPr="00BE211F">
              <w:rPr>
                <w:rFonts w:cs="Arial"/>
                <w:noProof/>
                <w:sz w:val="18"/>
                <w:szCs w:val="18"/>
              </w:rPr>
              <w:t xml:space="preserve"> </w:t>
            </w:r>
            <w:r w:rsidRPr="00BE211F">
              <w:rPr>
                <w:rFonts w:cs="Arial"/>
                <w:noProof/>
                <w:sz w:val="18"/>
                <w:szCs w:val="18"/>
              </w:rPr>
              <w:fldChar w:fldCharType="begin"/>
            </w:r>
            <w:r w:rsidRPr="00BE211F">
              <w:rPr>
                <w:rFonts w:cs="Arial"/>
                <w:noProof/>
                <w:sz w:val="18"/>
                <w:szCs w:val="18"/>
              </w:rPr>
              <w:instrText>ADDIN CITAVI.PLACEHOLDER b7372ac8-507d-456c-b1d0-4f4ba52a51e3 PFBsYWNlaG9sZGVyPg0KICA8QWRkSW5WZXJzaW9uPjUuNS4wLjE8L0FkZEluVmVyc2lvbj4NCiAgPElkPmI3MzcyYWM4LTUwN2QtNDU2Yy1iMWQwLTRmNGJhNTJhNTFlMzwvSWQ+DQogIDxBc3NvY2lhdGVXaXRoUGxhY2Vob2xkZXJJZD5iNDI3M2U1NS1lODg3LTQ4YmYtYTBlOS0xMWIyMGM5NTdlMzM8L0Fzc29jaWF0ZVdpdGhQbGFjZWhvbGRlcklkPg0KICA8RW50cmllcz4NCiAgICA8RW50cnk+DQogICAgICA8SWQ+OGE4ZWM4YjAtNmNhNS00YmQ4LWE4MGUtMDVjNzllNzMwZDllPC9JZD4NCiAgICAgIDxSZWZlcmVuY2VJZD5lNWE1MWZhYy1mYzNiLTQ0OGEtYTliOC03NDRlZWEwYTc2YW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NCk8L1RleHQ+DQogICAgPC9UZXh0VW5pdD4NCiAgPC9UZXh0VW5pdHM+DQo8L1BsYWNlaG9sZGVyPg==</w:instrText>
            </w:r>
            <w:r w:rsidRPr="00BE211F">
              <w:rPr>
                <w:rFonts w:cs="Arial"/>
                <w:noProof/>
                <w:sz w:val="18"/>
                <w:szCs w:val="18"/>
              </w:rPr>
              <w:fldChar w:fldCharType="separate"/>
            </w:r>
            <w:bookmarkStart w:id="1389" w:name="_CTVP001b7372ac8507d456cb1d04f4ba52a51e3"/>
            <w:r w:rsidRPr="00BE211F">
              <w:rPr>
                <w:rFonts w:cs="Arial"/>
                <w:noProof/>
                <w:sz w:val="18"/>
                <w:szCs w:val="18"/>
              </w:rPr>
              <w:t>(2004)</w:t>
            </w:r>
            <w:bookmarkEnd w:id="1389"/>
            <w:r w:rsidRPr="00BE211F">
              <w:rPr>
                <w:rFonts w:cs="Arial"/>
                <w:noProof/>
                <w:sz w:val="18"/>
                <w:szCs w:val="18"/>
              </w:rPr>
              <w:fldChar w:fldCharType="end"/>
            </w:r>
          </w:p>
        </w:tc>
      </w:tr>
      <w:tr w:rsidR="00285EF0" w:rsidRPr="00BE211F" w14:paraId="0BE2F3A4"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508102F9" w14:textId="77777777" w:rsidR="00285EF0" w:rsidRPr="00EC7F3C" w:rsidRDefault="00285EF0" w:rsidP="00285EF0">
            <w:pPr>
              <w:rPr>
                <w:rFonts w:cs="Arial"/>
                <w:b w:val="0"/>
                <w:color w:val="000000" w:themeColor="text1"/>
                <w:sz w:val="18"/>
                <w:szCs w:val="18"/>
              </w:rPr>
            </w:pPr>
            <w:r w:rsidRPr="00EC7F3C">
              <w:rPr>
                <w:rFonts w:cs="Arial"/>
                <w:b w:val="0"/>
                <w:color w:val="000000" w:themeColor="text1"/>
                <w:sz w:val="18"/>
                <w:szCs w:val="18"/>
              </w:rPr>
              <w:t>Rockmelon</w:t>
            </w:r>
          </w:p>
        </w:tc>
        <w:tc>
          <w:tcPr>
            <w:tcW w:w="1764" w:type="dxa"/>
          </w:tcPr>
          <w:p w14:paraId="005BF097" w14:textId="77777777" w:rsidR="00285EF0" w:rsidRPr="00EC7F3C" w:rsidRDefault="00285EF0" w:rsidP="00285EF0">
            <w:pPr>
              <w:cnfStyle w:val="000000000000" w:firstRow="0" w:lastRow="0" w:firstColumn="0" w:lastColumn="0" w:oddVBand="0" w:evenVBand="0" w:oddHBand="0" w:evenHBand="0" w:firstRowFirstColumn="0" w:firstRowLastColumn="0" w:lastRowFirstColumn="0" w:lastRowLastColumn="0"/>
              <w:rPr>
                <w:rFonts w:cs="Arial"/>
                <w:i/>
                <w:sz w:val="18"/>
                <w:szCs w:val="18"/>
              </w:rPr>
            </w:pPr>
            <w:r w:rsidRPr="00EC7F3C">
              <w:rPr>
                <w:rFonts w:cs="Arial"/>
                <w:i/>
                <w:sz w:val="18"/>
                <w:szCs w:val="18"/>
              </w:rPr>
              <w:t>L. monocytogenes</w:t>
            </w:r>
          </w:p>
        </w:tc>
        <w:tc>
          <w:tcPr>
            <w:tcW w:w="1309" w:type="dxa"/>
          </w:tcPr>
          <w:p w14:paraId="62297412"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18h</w:t>
            </w:r>
          </w:p>
        </w:tc>
        <w:tc>
          <w:tcPr>
            <w:tcW w:w="1165" w:type="dxa"/>
          </w:tcPr>
          <w:p w14:paraId="6B56BE9D"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4.4</w:t>
            </w:r>
          </w:p>
        </w:tc>
        <w:tc>
          <w:tcPr>
            <w:tcW w:w="2562" w:type="dxa"/>
          </w:tcPr>
          <w:p w14:paraId="79DB80B9" w14:textId="77777777" w:rsidR="00285EF0" w:rsidRPr="00EC7F3C"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themeColor="text1"/>
                <w:sz w:val="18"/>
                <w:szCs w:val="18"/>
              </w:rPr>
              <w:t xml:space="preserve">3ppm </w:t>
            </w:r>
          </w:p>
        </w:tc>
        <w:tc>
          <w:tcPr>
            <w:tcW w:w="1162" w:type="dxa"/>
          </w:tcPr>
          <w:p w14:paraId="74E6246D"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8</w:t>
            </w:r>
          </w:p>
        </w:tc>
        <w:tc>
          <w:tcPr>
            <w:tcW w:w="1229" w:type="dxa"/>
          </w:tcPr>
          <w:p w14:paraId="3C10671A"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sz w:val="18"/>
                <w:szCs w:val="18"/>
              </w:rPr>
              <w:t>-0.8</w:t>
            </w:r>
          </w:p>
        </w:tc>
        <w:tc>
          <w:tcPr>
            <w:tcW w:w="2851" w:type="dxa"/>
          </w:tcPr>
          <w:p w14:paraId="5C5033E0" w14:textId="77777777" w:rsidR="00285EF0" w:rsidRPr="00BE211F"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noProof/>
                <w:sz w:val="18"/>
                <w:szCs w:val="18"/>
              </w:rPr>
              <w:fldChar w:fldCharType="begin"/>
            </w:r>
            <w:r w:rsidRPr="00BE211F">
              <w:rPr>
                <w:rFonts w:cs="Arial"/>
                <w:noProof/>
                <w:sz w:val="18"/>
                <w:szCs w:val="18"/>
              </w:rPr>
              <w:instrText>ADDIN CITAVI.PLACEHOLDER 917ceafc-947f-4b32-a3c7-9f80a40af87c 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XZWJiIGV0IGFsLjwvVGV4dD4NCiAgICA8L1RleHRVbml0Pg0KICA8L1RleHRVbml0cz4NCjwvUGxhY2Vob2xkZXI+</w:instrText>
            </w:r>
            <w:r w:rsidRPr="00BE211F">
              <w:rPr>
                <w:rFonts w:cs="Arial"/>
                <w:noProof/>
                <w:sz w:val="18"/>
                <w:szCs w:val="18"/>
              </w:rPr>
              <w:fldChar w:fldCharType="separate"/>
            </w:r>
            <w:bookmarkStart w:id="1390" w:name="_CTVP001917ceafc947f4b32a3c79f80a40af87c"/>
            <w:r w:rsidRPr="00BE211F">
              <w:rPr>
                <w:rFonts w:cs="Arial"/>
                <w:noProof/>
                <w:sz w:val="18"/>
                <w:szCs w:val="18"/>
              </w:rPr>
              <w:t>Webb et al.</w:t>
            </w:r>
            <w:bookmarkEnd w:id="1390"/>
            <w:r w:rsidRPr="00BE211F">
              <w:rPr>
                <w:rFonts w:cs="Arial"/>
                <w:noProof/>
                <w:sz w:val="18"/>
                <w:szCs w:val="18"/>
              </w:rPr>
              <w:fldChar w:fldCharType="end"/>
            </w:r>
            <w:r w:rsidRPr="00BE211F">
              <w:rPr>
                <w:rFonts w:cs="Arial"/>
                <w:noProof/>
                <w:sz w:val="18"/>
                <w:szCs w:val="18"/>
              </w:rPr>
              <w:t xml:space="preserve"> </w:t>
            </w:r>
            <w:r w:rsidRPr="00BE211F">
              <w:rPr>
                <w:rFonts w:cs="Arial"/>
                <w:noProof/>
                <w:sz w:val="18"/>
                <w:szCs w:val="18"/>
              </w:rPr>
              <w:fldChar w:fldCharType="begin"/>
            </w:r>
            <w:r w:rsidRPr="00BE211F">
              <w:rPr>
                <w:rFonts w:cs="Arial"/>
                <w:noProof/>
                <w:sz w:val="18"/>
                <w:szCs w:val="18"/>
              </w:rPr>
              <w:instrText>ADDIN CITAVI.PLACEHOLDER 79be694e-e812-4b5c-a7a5-3993ef93c519 PFBsYWNlaG9sZGVyPg0KICA8QWRkSW5WZXJzaW9uPjUuNS4wLjE8L0FkZEluVmVyc2lvbj4NCiAgPElkPjc5YmU2OTRlLWU4MTItNGI1Yy1hN2E1LTM5OTNlZjkzYzUxOTwvSWQ+DQogIDxBc3NvY2lhdGVXaXRoUGxhY2Vob2xkZXJJZD45MTdjZWFmYy05NDdmLTRiMzItYTNjNy05ZjgwYTQwYWY4N2M8L0Fzc29jaWF0ZVdpdGhQbGFjZWhvbGRlcklkPg0KICA8RW50cmllcz4NCiAgICA8RW50cnk+DQogICAgICA8SWQ+OGE3ZTQ3ODMtMzg4NC00ZDc5LWI1MjktMGUxMTMzY2YxMTE5PC9JZD4NCiAgICAgIDxSZWZlcmVuY2VJZD5lOGI2MGE1My0zZmE2LTQ3NWYtOWMzZC1hMDU5OWU1NDU0ZG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1KTwvVGV4dD4NCiAgICA8L1RleHRVbml0Pg0KICA8L1RleHRVbml0cz4NCjwvUGxhY2Vob2xkZXI+</w:instrText>
            </w:r>
            <w:r w:rsidRPr="00BE211F">
              <w:rPr>
                <w:rFonts w:cs="Arial"/>
                <w:noProof/>
                <w:sz w:val="18"/>
                <w:szCs w:val="18"/>
              </w:rPr>
              <w:fldChar w:fldCharType="separate"/>
            </w:r>
            <w:bookmarkStart w:id="1391" w:name="_CTVP00179be694ee8124b5ca7a53993ef93c519"/>
            <w:r w:rsidRPr="00BE211F">
              <w:rPr>
                <w:rFonts w:cs="Arial"/>
                <w:noProof/>
                <w:sz w:val="18"/>
                <w:szCs w:val="18"/>
              </w:rPr>
              <w:t>(2015)</w:t>
            </w:r>
            <w:bookmarkEnd w:id="1391"/>
            <w:r w:rsidRPr="00BE211F">
              <w:rPr>
                <w:rFonts w:cs="Arial"/>
                <w:noProof/>
                <w:sz w:val="18"/>
                <w:szCs w:val="18"/>
              </w:rPr>
              <w:fldChar w:fldCharType="end"/>
            </w:r>
          </w:p>
        </w:tc>
      </w:tr>
      <w:tr w:rsidR="00285EF0" w:rsidRPr="00BE211F" w14:paraId="37D3F9B9"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1CA99733" w14:textId="77777777" w:rsidR="00285EF0" w:rsidRPr="00EC7F3C" w:rsidRDefault="00285EF0" w:rsidP="00285EF0">
            <w:pPr>
              <w:rPr>
                <w:rFonts w:cs="Arial"/>
                <w:b w:val="0"/>
                <w:sz w:val="18"/>
                <w:szCs w:val="18"/>
              </w:rPr>
            </w:pPr>
            <w:r w:rsidRPr="00EC7F3C">
              <w:rPr>
                <w:rFonts w:cs="Arial"/>
                <w:b w:val="0"/>
                <w:color w:val="000000"/>
                <w:sz w:val="18"/>
                <w:szCs w:val="18"/>
              </w:rPr>
              <w:t>Lettuce</w:t>
            </w:r>
          </w:p>
        </w:tc>
        <w:tc>
          <w:tcPr>
            <w:tcW w:w="1764" w:type="dxa"/>
            <w:vAlign w:val="center"/>
          </w:tcPr>
          <w:p w14:paraId="311A30FB" w14:textId="77777777" w:rsidR="00285EF0" w:rsidRPr="00EC7F3C"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i/>
                <w:iCs/>
                <w:color w:val="000000"/>
                <w:sz w:val="18"/>
                <w:szCs w:val="18"/>
              </w:rPr>
              <w:t xml:space="preserve"> E. coli </w:t>
            </w:r>
            <w:r w:rsidRPr="00EC7F3C">
              <w:rPr>
                <w:rFonts w:cs="Arial"/>
                <w:color w:val="000000"/>
                <w:sz w:val="18"/>
                <w:szCs w:val="18"/>
              </w:rPr>
              <w:t>O157: H7</w:t>
            </w:r>
          </w:p>
        </w:tc>
        <w:tc>
          <w:tcPr>
            <w:tcW w:w="1309" w:type="dxa"/>
            <w:vAlign w:val="center"/>
          </w:tcPr>
          <w:p w14:paraId="54D5E287" w14:textId="77777777" w:rsidR="00285EF0" w:rsidRPr="00EC7F3C"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color w:val="000000"/>
                <w:sz w:val="18"/>
                <w:szCs w:val="18"/>
              </w:rPr>
              <w:t>ON</w:t>
            </w:r>
          </w:p>
        </w:tc>
        <w:tc>
          <w:tcPr>
            <w:tcW w:w="1165" w:type="dxa"/>
            <w:vAlign w:val="center"/>
          </w:tcPr>
          <w:p w14:paraId="2C602A9D" w14:textId="77777777" w:rsidR="00285EF0" w:rsidRPr="00EC7F3C"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color w:val="000000"/>
                <w:sz w:val="18"/>
                <w:szCs w:val="18"/>
              </w:rPr>
              <w:t> </w:t>
            </w:r>
            <w:r>
              <w:rPr>
                <w:rFonts w:cs="Arial"/>
                <w:color w:val="000000"/>
                <w:sz w:val="18"/>
                <w:szCs w:val="18"/>
              </w:rPr>
              <w:t>5.4</w:t>
            </w:r>
          </w:p>
        </w:tc>
        <w:tc>
          <w:tcPr>
            <w:tcW w:w="2562" w:type="dxa"/>
            <w:vAlign w:val="center"/>
          </w:tcPr>
          <w:p w14:paraId="004F8D26" w14:textId="77777777" w:rsidR="00285EF0" w:rsidRPr="00EC7F3C"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color w:val="000000"/>
                <w:sz w:val="18"/>
                <w:szCs w:val="18"/>
              </w:rPr>
              <w:t xml:space="preserve">3ppm </w:t>
            </w:r>
          </w:p>
        </w:tc>
        <w:tc>
          <w:tcPr>
            <w:tcW w:w="1162" w:type="dxa"/>
            <w:vAlign w:val="center"/>
          </w:tcPr>
          <w:p w14:paraId="06E6A28E" w14:textId="77777777" w:rsidR="00285EF0" w:rsidRPr="00410EF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10EFF">
              <w:rPr>
                <w:rFonts w:cs="Arial"/>
                <w:color w:val="000000"/>
                <w:sz w:val="18"/>
                <w:szCs w:val="18"/>
              </w:rPr>
              <w:t>1</w:t>
            </w:r>
          </w:p>
        </w:tc>
        <w:tc>
          <w:tcPr>
            <w:tcW w:w="1229" w:type="dxa"/>
            <w:vAlign w:val="center"/>
          </w:tcPr>
          <w:p w14:paraId="58F6DA75" w14:textId="77777777" w:rsidR="00285EF0" w:rsidRPr="00410EF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0.5</w:t>
            </w:r>
          </w:p>
        </w:tc>
        <w:tc>
          <w:tcPr>
            <w:tcW w:w="2851" w:type="dxa"/>
            <w:vAlign w:val="center"/>
          </w:tcPr>
          <w:p w14:paraId="11279D8E"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Lopez-Galvez et al. (2010)</w:t>
            </w:r>
          </w:p>
        </w:tc>
      </w:tr>
      <w:tr w:rsidR="00285EF0" w:rsidRPr="00BE211F" w14:paraId="474196F5"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5A1FFD54" w14:textId="77777777" w:rsidR="00285EF0" w:rsidRPr="00EC7F3C" w:rsidRDefault="00285EF0" w:rsidP="00285EF0">
            <w:pPr>
              <w:rPr>
                <w:rFonts w:cs="Arial"/>
                <w:b w:val="0"/>
                <w:sz w:val="18"/>
                <w:szCs w:val="18"/>
              </w:rPr>
            </w:pPr>
            <w:r w:rsidRPr="00EC7F3C">
              <w:rPr>
                <w:rFonts w:cs="Arial"/>
                <w:b w:val="0"/>
                <w:sz w:val="18"/>
                <w:szCs w:val="18"/>
              </w:rPr>
              <w:t>Lettuce</w:t>
            </w:r>
          </w:p>
        </w:tc>
        <w:tc>
          <w:tcPr>
            <w:tcW w:w="1764" w:type="dxa"/>
            <w:vAlign w:val="center"/>
          </w:tcPr>
          <w:p w14:paraId="18467887" w14:textId="77777777" w:rsidR="00285EF0" w:rsidRPr="00EC7F3C"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C7F3C">
              <w:rPr>
                <w:rFonts w:cs="Arial"/>
                <w:bCs/>
                <w:i/>
                <w:iCs/>
                <w:sz w:val="18"/>
                <w:szCs w:val="18"/>
              </w:rPr>
              <w:t>E. coli</w:t>
            </w:r>
            <w:r w:rsidRPr="00EC7F3C">
              <w:rPr>
                <w:rFonts w:cs="Arial"/>
                <w:bCs/>
                <w:sz w:val="18"/>
                <w:szCs w:val="18"/>
              </w:rPr>
              <w:t xml:space="preserve"> O157:H7</w:t>
            </w:r>
          </w:p>
        </w:tc>
        <w:tc>
          <w:tcPr>
            <w:tcW w:w="1309" w:type="dxa"/>
            <w:vAlign w:val="center"/>
          </w:tcPr>
          <w:p w14:paraId="628A93EE" w14:textId="77777777" w:rsidR="00285EF0" w:rsidRPr="00EC7F3C"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bCs/>
                <w:sz w:val="18"/>
                <w:szCs w:val="18"/>
              </w:rPr>
              <w:t>18-24h</w:t>
            </w:r>
          </w:p>
        </w:tc>
        <w:tc>
          <w:tcPr>
            <w:tcW w:w="1165" w:type="dxa"/>
            <w:vAlign w:val="center"/>
          </w:tcPr>
          <w:p w14:paraId="7959F6D6" w14:textId="77777777" w:rsidR="00285EF0" w:rsidRPr="00EC7F3C"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C7F3C">
              <w:rPr>
                <w:rFonts w:cs="Arial"/>
                <w:bCs/>
                <w:sz w:val="18"/>
                <w:szCs w:val="18"/>
              </w:rPr>
              <w:t> </w:t>
            </w:r>
            <w:r>
              <w:rPr>
                <w:rFonts w:cs="Arial"/>
                <w:bCs/>
                <w:sz w:val="18"/>
                <w:szCs w:val="18"/>
              </w:rPr>
              <w:t>7.2</w:t>
            </w:r>
          </w:p>
        </w:tc>
        <w:tc>
          <w:tcPr>
            <w:tcW w:w="2562" w:type="dxa"/>
            <w:vAlign w:val="center"/>
          </w:tcPr>
          <w:p w14:paraId="0B5F66BB" w14:textId="77777777" w:rsidR="00285EF0" w:rsidRPr="00EC7F3C"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C7F3C">
              <w:rPr>
                <w:rFonts w:cs="Arial"/>
                <w:bCs/>
                <w:sz w:val="18"/>
                <w:szCs w:val="18"/>
              </w:rPr>
              <w:t xml:space="preserve">200 ppm </w:t>
            </w:r>
          </w:p>
        </w:tc>
        <w:tc>
          <w:tcPr>
            <w:tcW w:w="1162" w:type="dxa"/>
            <w:vAlign w:val="center"/>
          </w:tcPr>
          <w:p w14:paraId="65F4D87E" w14:textId="77777777" w:rsidR="00285EF0" w:rsidRPr="00410EF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10EFF">
              <w:rPr>
                <w:rFonts w:cs="Arial"/>
                <w:bCs/>
                <w:sz w:val="18"/>
                <w:szCs w:val="18"/>
              </w:rPr>
              <w:t>2</w:t>
            </w:r>
          </w:p>
        </w:tc>
        <w:tc>
          <w:tcPr>
            <w:tcW w:w="1229" w:type="dxa"/>
            <w:vAlign w:val="center"/>
          </w:tcPr>
          <w:p w14:paraId="7D223B54" w14:textId="77777777" w:rsidR="00285EF0" w:rsidRPr="00410EF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bCs/>
                <w:sz w:val="18"/>
                <w:szCs w:val="18"/>
              </w:rPr>
              <w:t>0.4 - 1.5</w:t>
            </w:r>
          </w:p>
        </w:tc>
        <w:tc>
          <w:tcPr>
            <w:tcW w:w="2851" w:type="dxa"/>
            <w:vAlign w:val="center"/>
          </w:tcPr>
          <w:p w14:paraId="254AF263" w14:textId="77777777" w:rsidR="00285EF0" w:rsidRPr="00EC7F3C"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C7F3C">
              <w:rPr>
                <w:rFonts w:cs="Arial"/>
                <w:bCs/>
                <w:sz w:val="18"/>
                <w:szCs w:val="18"/>
              </w:rPr>
              <w:t xml:space="preserve">Keskinen et al. (2009) </w:t>
            </w:r>
          </w:p>
        </w:tc>
      </w:tr>
      <w:tr w:rsidR="00285EF0" w:rsidRPr="00BE211F" w14:paraId="6E326432"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3A490A6C" w14:textId="77777777" w:rsidR="00285EF0" w:rsidRPr="00EC7F3C" w:rsidRDefault="00285EF0" w:rsidP="00285EF0">
            <w:pPr>
              <w:rPr>
                <w:rFonts w:cs="Arial"/>
                <w:b w:val="0"/>
                <w:sz w:val="18"/>
                <w:szCs w:val="18"/>
              </w:rPr>
            </w:pPr>
            <w:r w:rsidRPr="00EC7F3C">
              <w:rPr>
                <w:rFonts w:cs="Arial"/>
                <w:b w:val="0"/>
                <w:color w:val="000000"/>
                <w:sz w:val="18"/>
                <w:szCs w:val="18"/>
              </w:rPr>
              <w:t>Lettuce</w:t>
            </w:r>
          </w:p>
        </w:tc>
        <w:tc>
          <w:tcPr>
            <w:tcW w:w="1764" w:type="dxa"/>
            <w:vAlign w:val="center"/>
          </w:tcPr>
          <w:p w14:paraId="1F21ADC6" w14:textId="77777777" w:rsidR="00285EF0" w:rsidRPr="00EC7F3C"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i/>
                <w:iCs/>
                <w:color w:val="000000"/>
                <w:sz w:val="18"/>
                <w:szCs w:val="18"/>
              </w:rPr>
              <w:t>E. coli</w:t>
            </w:r>
            <w:r w:rsidRPr="00EC7F3C">
              <w:rPr>
                <w:rFonts w:cs="Arial"/>
                <w:color w:val="000000"/>
                <w:sz w:val="18"/>
                <w:szCs w:val="18"/>
              </w:rPr>
              <w:t xml:space="preserve"> O157:H7</w:t>
            </w:r>
          </w:p>
        </w:tc>
        <w:tc>
          <w:tcPr>
            <w:tcW w:w="1309" w:type="dxa"/>
            <w:vAlign w:val="center"/>
          </w:tcPr>
          <w:p w14:paraId="6A1444EB" w14:textId="77777777" w:rsidR="00285EF0" w:rsidRPr="00EC7F3C"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color w:val="000000"/>
                <w:sz w:val="18"/>
                <w:szCs w:val="18"/>
              </w:rPr>
              <w:t> </w:t>
            </w:r>
            <w:r>
              <w:rPr>
                <w:rFonts w:cs="Arial"/>
                <w:color w:val="000000"/>
                <w:sz w:val="18"/>
                <w:szCs w:val="18"/>
              </w:rPr>
              <w:t>NA</w:t>
            </w:r>
          </w:p>
        </w:tc>
        <w:tc>
          <w:tcPr>
            <w:tcW w:w="1165" w:type="dxa"/>
            <w:vAlign w:val="center"/>
          </w:tcPr>
          <w:p w14:paraId="26A4C9DC" w14:textId="77777777" w:rsidR="00285EF0" w:rsidRPr="00EC7F3C"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color w:val="000000"/>
                <w:sz w:val="18"/>
                <w:szCs w:val="18"/>
              </w:rPr>
              <w:t> </w:t>
            </w:r>
            <w:r>
              <w:rPr>
                <w:rFonts w:cs="Arial"/>
                <w:color w:val="000000"/>
                <w:sz w:val="18"/>
                <w:szCs w:val="18"/>
              </w:rPr>
              <w:t>5.5</w:t>
            </w:r>
          </w:p>
        </w:tc>
        <w:tc>
          <w:tcPr>
            <w:tcW w:w="2562" w:type="dxa"/>
            <w:vAlign w:val="center"/>
          </w:tcPr>
          <w:p w14:paraId="1AE0B246" w14:textId="77777777" w:rsidR="00285EF0" w:rsidRPr="00EC7F3C"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50 - 2</w:t>
            </w:r>
            <w:r w:rsidRPr="00EC7F3C">
              <w:rPr>
                <w:rFonts w:cs="Arial"/>
                <w:color w:val="000000"/>
                <w:sz w:val="18"/>
                <w:szCs w:val="18"/>
              </w:rPr>
              <w:t xml:space="preserve">00 ppm </w:t>
            </w:r>
          </w:p>
        </w:tc>
        <w:tc>
          <w:tcPr>
            <w:tcW w:w="1162" w:type="dxa"/>
            <w:vAlign w:val="center"/>
          </w:tcPr>
          <w:p w14:paraId="3923E77E"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1 - 10</w:t>
            </w:r>
          </w:p>
        </w:tc>
        <w:tc>
          <w:tcPr>
            <w:tcW w:w="1229" w:type="dxa"/>
            <w:vAlign w:val="center"/>
          </w:tcPr>
          <w:p w14:paraId="3174B23A"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2.3</w:t>
            </w:r>
          </w:p>
        </w:tc>
        <w:tc>
          <w:tcPr>
            <w:tcW w:w="2851" w:type="dxa"/>
            <w:vAlign w:val="center"/>
          </w:tcPr>
          <w:p w14:paraId="64E632A9"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Choi and Lee, 2008</w:t>
            </w:r>
          </w:p>
        </w:tc>
      </w:tr>
      <w:tr w:rsidR="00285EF0" w:rsidRPr="00BE211F" w14:paraId="6FAB6824"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1E3AB419" w14:textId="77777777" w:rsidR="00285EF0" w:rsidRPr="00EC7F3C" w:rsidRDefault="00285EF0" w:rsidP="00285EF0">
            <w:pPr>
              <w:rPr>
                <w:rFonts w:cs="Arial"/>
                <w:b w:val="0"/>
                <w:sz w:val="18"/>
                <w:szCs w:val="18"/>
              </w:rPr>
            </w:pPr>
            <w:r w:rsidRPr="00EC7F3C">
              <w:rPr>
                <w:rFonts w:cs="Arial"/>
                <w:b w:val="0"/>
                <w:color w:val="000000"/>
                <w:sz w:val="18"/>
                <w:szCs w:val="18"/>
              </w:rPr>
              <w:t>Lettuce</w:t>
            </w:r>
          </w:p>
        </w:tc>
        <w:tc>
          <w:tcPr>
            <w:tcW w:w="1764" w:type="dxa"/>
            <w:vAlign w:val="center"/>
          </w:tcPr>
          <w:p w14:paraId="4D1BE624" w14:textId="77777777" w:rsidR="00285EF0" w:rsidRPr="00EC7F3C" w:rsidRDefault="00285EF0" w:rsidP="00285EF0">
            <w:pPr>
              <w:cnfStyle w:val="000000000000" w:firstRow="0" w:lastRow="0" w:firstColumn="0" w:lastColumn="0" w:oddVBand="0" w:evenVBand="0" w:oddHBand="0" w:evenHBand="0" w:firstRowFirstColumn="0" w:firstRowLastColumn="0" w:lastRowFirstColumn="0" w:lastRowLastColumn="0"/>
              <w:rPr>
                <w:rFonts w:cs="Arial"/>
                <w:i/>
                <w:sz w:val="18"/>
                <w:szCs w:val="18"/>
              </w:rPr>
            </w:pPr>
            <w:r w:rsidRPr="00EC7F3C">
              <w:rPr>
                <w:rFonts w:cs="Arial"/>
                <w:i/>
                <w:iCs/>
                <w:color w:val="000000"/>
                <w:sz w:val="18"/>
                <w:szCs w:val="18"/>
              </w:rPr>
              <w:t>E. coli</w:t>
            </w:r>
            <w:r w:rsidRPr="00EC7F3C">
              <w:rPr>
                <w:rFonts w:cs="Arial"/>
                <w:color w:val="000000"/>
                <w:sz w:val="18"/>
                <w:szCs w:val="18"/>
              </w:rPr>
              <w:t xml:space="preserve"> O157:H7</w:t>
            </w:r>
          </w:p>
        </w:tc>
        <w:tc>
          <w:tcPr>
            <w:tcW w:w="1309" w:type="dxa"/>
            <w:vAlign w:val="center"/>
          </w:tcPr>
          <w:p w14:paraId="4258E2B9" w14:textId="77777777" w:rsidR="00285EF0" w:rsidRPr="00EC7F3C"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C7F3C">
              <w:rPr>
                <w:rFonts w:cs="Arial"/>
                <w:color w:val="000000"/>
                <w:sz w:val="18"/>
                <w:szCs w:val="18"/>
              </w:rPr>
              <w:t>1h</w:t>
            </w:r>
          </w:p>
        </w:tc>
        <w:tc>
          <w:tcPr>
            <w:tcW w:w="1165" w:type="dxa"/>
            <w:vAlign w:val="center"/>
          </w:tcPr>
          <w:p w14:paraId="66FE9F68" w14:textId="77777777" w:rsidR="00285EF0" w:rsidRPr="00EC7F3C"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C7F3C">
              <w:rPr>
                <w:rFonts w:cs="Arial"/>
                <w:color w:val="000000"/>
                <w:sz w:val="18"/>
                <w:szCs w:val="18"/>
              </w:rPr>
              <w:t>7.9</w:t>
            </w:r>
          </w:p>
        </w:tc>
        <w:tc>
          <w:tcPr>
            <w:tcW w:w="2562" w:type="dxa"/>
            <w:vAlign w:val="center"/>
          </w:tcPr>
          <w:p w14:paraId="51364E91" w14:textId="77777777" w:rsidR="00285EF0" w:rsidRPr="00EC7F3C"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C7F3C">
              <w:rPr>
                <w:rFonts w:cs="Arial"/>
                <w:color w:val="000000"/>
                <w:sz w:val="18"/>
                <w:szCs w:val="18"/>
              </w:rPr>
              <w:t xml:space="preserve">10 ppm </w:t>
            </w:r>
          </w:p>
        </w:tc>
        <w:tc>
          <w:tcPr>
            <w:tcW w:w="1162" w:type="dxa"/>
            <w:vAlign w:val="center"/>
          </w:tcPr>
          <w:p w14:paraId="2B70FF32"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5</w:t>
            </w:r>
          </w:p>
        </w:tc>
        <w:tc>
          <w:tcPr>
            <w:tcW w:w="1229" w:type="dxa"/>
            <w:vAlign w:val="center"/>
          </w:tcPr>
          <w:p w14:paraId="28FAF7EF"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1.2</w:t>
            </w:r>
          </w:p>
        </w:tc>
        <w:tc>
          <w:tcPr>
            <w:tcW w:w="2851" w:type="dxa"/>
            <w:vAlign w:val="center"/>
          </w:tcPr>
          <w:p w14:paraId="3F064C56"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Pr>
                <w:rFonts w:cs="Arial"/>
                <w:color w:val="000000"/>
                <w:sz w:val="18"/>
                <w:szCs w:val="18"/>
              </w:rPr>
              <w:t>Singh et al., 2002a</w:t>
            </w:r>
          </w:p>
        </w:tc>
      </w:tr>
      <w:tr w:rsidR="00285EF0" w:rsidRPr="00BE211F" w14:paraId="45C40A39"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1DC7124F" w14:textId="77777777" w:rsidR="00285EF0" w:rsidRPr="00EC7F3C" w:rsidRDefault="00285EF0" w:rsidP="00285EF0">
            <w:pPr>
              <w:rPr>
                <w:rFonts w:cs="Arial"/>
                <w:b w:val="0"/>
                <w:sz w:val="18"/>
                <w:szCs w:val="18"/>
              </w:rPr>
            </w:pPr>
            <w:r w:rsidRPr="00EC7F3C">
              <w:rPr>
                <w:rFonts w:cs="Arial"/>
                <w:b w:val="0"/>
                <w:color w:val="000000"/>
                <w:sz w:val="18"/>
                <w:szCs w:val="18"/>
              </w:rPr>
              <w:t>Lettuce</w:t>
            </w:r>
          </w:p>
        </w:tc>
        <w:tc>
          <w:tcPr>
            <w:tcW w:w="1764" w:type="dxa"/>
            <w:vAlign w:val="center"/>
          </w:tcPr>
          <w:p w14:paraId="79162375" w14:textId="77777777" w:rsidR="00285EF0" w:rsidRPr="00EC7F3C"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i/>
                <w:iCs/>
                <w:color w:val="000000"/>
                <w:sz w:val="18"/>
                <w:szCs w:val="18"/>
              </w:rPr>
              <w:t>L. monocytogenes</w:t>
            </w:r>
          </w:p>
        </w:tc>
        <w:tc>
          <w:tcPr>
            <w:tcW w:w="1309" w:type="dxa"/>
            <w:vAlign w:val="center"/>
          </w:tcPr>
          <w:p w14:paraId="615B39A3" w14:textId="77777777" w:rsidR="00285EF0" w:rsidRPr="00EC7F3C"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color w:val="000000"/>
                <w:sz w:val="18"/>
                <w:szCs w:val="18"/>
              </w:rPr>
              <w:t> </w:t>
            </w:r>
            <w:r>
              <w:rPr>
                <w:rFonts w:cs="Arial"/>
                <w:color w:val="000000"/>
                <w:sz w:val="18"/>
                <w:szCs w:val="18"/>
              </w:rPr>
              <w:t>NA</w:t>
            </w:r>
          </w:p>
        </w:tc>
        <w:tc>
          <w:tcPr>
            <w:tcW w:w="1165" w:type="dxa"/>
            <w:vAlign w:val="center"/>
          </w:tcPr>
          <w:p w14:paraId="03BEFF0E" w14:textId="77777777" w:rsidR="00285EF0" w:rsidRPr="00EC7F3C"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4.5</w:t>
            </w:r>
            <w:r w:rsidRPr="00EC7F3C">
              <w:rPr>
                <w:rFonts w:cs="Arial"/>
                <w:color w:val="000000"/>
                <w:sz w:val="18"/>
                <w:szCs w:val="18"/>
              </w:rPr>
              <w:t> </w:t>
            </w:r>
          </w:p>
        </w:tc>
        <w:tc>
          <w:tcPr>
            <w:tcW w:w="2562" w:type="dxa"/>
            <w:vAlign w:val="center"/>
          </w:tcPr>
          <w:p w14:paraId="514B7196" w14:textId="77777777" w:rsidR="00285EF0" w:rsidRPr="00EC7F3C"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w:t>
            </w:r>
            <w:r w:rsidRPr="00EC7F3C">
              <w:rPr>
                <w:rFonts w:cs="Arial"/>
                <w:color w:val="000000"/>
                <w:sz w:val="18"/>
                <w:szCs w:val="18"/>
              </w:rPr>
              <w:t xml:space="preserve">00 ppm </w:t>
            </w:r>
          </w:p>
        </w:tc>
        <w:tc>
          <w:tcPr>
            <w:tcW w:w="1162" w:type="dxa"/>
            <w:vAlign w:val="center"/>
          </w:tcPr>
          <w:p w14:paraId="5651557E"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1 - 10</w:t>
            </w:r>
          </w:p>
        </w:tc>
        <w:tc>
          <w:tcPr>
            <w:tcW w:w="1229" w:type="dxa"/>
            <w:vAlign w:val="center"/>
          </w:tcPr>
          <w:p w14:paraId="09499FFD"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2.0</w:t>
            </w:r>
          </w:p>
        </w:tc>
        <w:tc>
          <w:tcPr>
            <w:tcW w:w="2851" w:type="dxa"/>
            <w:vAlign w:val="center"/>
          </w:tcPr>
          <w:p w14:paraId="688B5EE3"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color w:val="000000"/>
                <w:sz w:val="18"/>
                <w:szCs w:val="18"/>
              </w:rPr>
              <w:t>Choi and Lee, 2008</w:t>
            </w:r>
          </w:p>
        </w:tc>
      </w:tr>
      <w:tr w:rsidR="00285EF0" w:rsidRPr="00BE211F" w14:paraId="6BA39269"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0CC90BCB" w14:textId="77777777" w:rsidR="00285EF0" w:rsidRPr="00EC7F3C" w:rsidRDefault="00285EF0" w:rsidP="00285EF0">
            <w:pPr>
              <w:rPr>
                <w:rFonts w:cs="Arial"/>
                <w:b w:val="0"/>
                <w:sz w:val="18"/>
                <w:szCs w:val="18"/>
              </w:rPr>
            </w:pPr>
            <w:r w:rsidRPr="00EC7F3C">
              <w:rPr>
                <w:rFonts w:cs="Arial"/>
                <w:b w:val="0"/>
                <w:color w:val="000000"/>
                <w:sz w:val="18"/>
                <w:szCs w:val="18"/>
              </w:rPr>
              <w:t>Lettuce</w:t>
            </w:r>
          </w:p>
        </w:tc>
        <w:tc>
          <w:tcPr>
            <w:tcW w:w="1764" w:type="dxa"/>
            <w:vAlign w:val="center"/>
          </w:tcPr>
          <w:p w14:paraId="17D6317B" w14:textId="77777777" w:rsidR="00285EF0" w:rsidRPr="00EC7F3C" w:rsidRDefault="00285EF0" w:rsidP="00285EF0">
            <w:pPr>
              <w:cnfStyle w:val="000000000000" w:firstRow="0" w:lastRow="0" w:firstColumn="0" w:lastColumn="0" w:oddVBand="0" w:evenVBand="0" w:oddHBand="0" w:evenHBand="0" w:firstRowFirstColumn="0" w:firstRowLastColumn="0" w:lastRowFirstColumn="0" w:lastRowLastColumn="0"/>
              <w:rPr>
                <w:rFonts w:cs="Arial"/>
                <w:i/>
                <w:sz w:val="18"/>
                <w:szCs w:val="18"/>
              </w:rPr>
            </w:pPr>
            <w:r w:rsidRPr="00EC7F3C">
              <w:rPr>
                <w:rFonts w:cs="Arial"/>
                <w:i/>
                <w:iCs/>
                <w:color w:val="000000"/>
                <w:sz w:val="18"/>
                <w:szCs w:val="18"/>
              </w:rPr>
              <w:t>S.</w:t>
            </w:r>
            <w:r w:rsidRPr="00EC7F3C">
              <w:rPr>
                <w:rFonts w:cs="Arial"/>
                <w:color w:val="000000"/>
                <w:sz w:val="18"/>
                <w:szCs w:val="18"/>
              </w:rPr>
              <w:t xml:space="preserve"> Typhimurium</w:t>
            </w:r>
          </w:p>
        </w:tc>
        <w:tc>
          <w:tcPr>
            <w:tcW w:w="1309" w:type="dxa"/>
            <w:vAlign w:val="center"/>
          </w:tcPr>
          <w:p w14:paraId="0F350125" w14:textId="77777777" w:rsidR="00285EF0" w:rsidRPr="00EC7F3C"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C7F3C">
              <w:rPr>
                <w:rFonts w:cs="Arial"/>
                <w:color w:val="000000"/>
                <w:sz w:val="18"/>
                <w:szCs w:val="18"/>
              </w:rPr>
              <w:t> </w:t>
            </w:r>
            <w:r>
              <w:rPr>
                <w:rFonts w:cs="Arial"/>
                <w:color w:val="000000"/>
                <w:sz w:val="18"/>
                <w:szCs w:val="18"/>
              </w:rPr>
              <w:t>NA</w:t>
            </w:r>
          </w:p>
        </w:tc>
        <w:tc>
          <w:tcPr>
            <w:tcW w:w="1165" w:type="dxa"/>
            <w:vAlign w:val="center"/>
          </w:tcPr>
          <w:p w14:paraId="7F79AA86" w14:textId="77777777" w:rsidR="00285EF0" w:rsidRPr="00EC7F3C"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C7F3C">
              <w:rPr>
                <w:rFonts w:cs="Arial"/>
                <w:color w:val="000000"/>
                <w:sz w:val="18"/>
                <w:szCs w:val="18"/>
              </w:rPr>
              <w:t> </w:t>
            </w:r>
            <w:r>
              <w:rPr>
                <w:rFonts w:cs="Arial"/>
                <w:color w:val="000000"/>
                <w:sz w:val="18"/>
                <w:szCs w:val="18"/>
              </w:rPr>
              <w:t>5.1</w:t>
            </w:r>
          </w:p>
        </w:tc>
        <w:tc>
          <w:tcPr>
            <w:tcW w:w="2562" w:type="dxa"/>
            <w:vAlign w:val="center"/>
          </w:tcPr>
          <w:p w14:paraId="798FDED2" w14:textId="77777777" w:rsidR="00285EF0" w:rsidRPr="00EC7F3C"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w:t>
            </w:r>
            <w:r w:rsidRPr="00EC7F3C">
              <w:rPr>
                <w:rFonts w:cs="Arial"/>
                <w:color w:val="000000"/>
                <w:sz w:val="18"/>
                <w:szCs w:val="18"/>
              </w:rPr>
              <w:t xml:space="preserve">00 ppm </w:t>
            </w:r>
          </w:p>
        </w:tc>
        <w:tc>
          <w:tcPr>
            <w:tcW w:w="1162" w:type="dxa"/>
            <w:vAlign w:val="center"/>
          </w:tcPr>
          <w:p w14:paraId="1F642024"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1 - 10</w:t>
            </w:r>
          </w:p>
        </w:tc>
        <w:tc>
          <w:tcPr>
            <w:tcW w:w="1229" w:type="dxa"/>
            <w:vAlign w:val="center"/>
          </w:tcPr>
          <w:p w14:paraId="5F31D6AC"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1.8</w:t>
            </w:r>
          </w:p>
        </w:tc>
        <w:tc>
          <w:tcPr>
            <w:tcW w:w="2851" w:type="dxa"/>
            <w:vAlign w:val="center"/>
          </w:tcPr>
          <w:p w14:paraId="16057D46"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Choi and Lee, 2008</w:t>
            </w:r>
          </w:p>
        </w:tc>
      </w:tr>
      <w:tr w:rsidR="00285EF0" w:rsidRPr="00BE211F" w14:paraId="22B5554A"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7D34B7E2" w14:textId="77777777" w:rsidR="00285EF0" w:rsidRPr="00EC7F3C" w:rsidRDefault="00285EF0" w:rsidP="00285EF0">
            <w:pPr>
              <w:rPr>
                <w:rFonts w:cs="Arial"/>
                <w:b w:val="0"/>
                <w:sz w:val="18"/>
                <w:szCs w:val="18"/>
              </w:rPr>
            </w:pPr>
            <w:r w:rsidRPr="00EC7F3C">
              <w:rPr>
                <w:rFonts w:cs="Arial"/>
                <w:b w:val="0"/>
                <w:color w:val="000000"/>
                <w:sz w:val="18"/>
                <w:szCs w:val="18"/>
              </w:rPr>
              <w:t>Spinach</w:t>
            </w:r>
          </w:p>
        </w:tc>
        <w:tc>
          <w:tcPr>
            <w:tcW w:w="1764" w:type="dxa"/>
            <w:vAlign w:val="center"/>
          </w:tcPr>
          <w:p w14:paraId="6A7F4F1D" w14:textId="77777777" w:rsidR="00285EF0" w:rsidRPr="00EC7F3C"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i/>
                <w:iCs/>
                <w:color w:val="000000"/>
                <w:sz w:val="18"/>
                <w:szCs w:val="18"/>
              </w:rPr>
              <w:t>E. coli</w:t>
            </w:r>
            <w:r w:rsidRPr="00EC7F3C">
              <w:rPr>
                <w:rFonts w:cs="Arial"/>
                <w:color w:val="000000"/>
                <w:sz w:val="18"/>
                <w:szCs w:val="18"/>
              </w:rPr>
              <w:t xml:space="preserve"> O157: H7</w:t>
            </w:r>
          </w:p>
        </w:tc>
        <w:tc>
          <w:tcPr>
            <w:tcW w:w="1309" w:type="dxa"/>
            <w:vAlign w:val="center"/>
          </w:tcPr>
          <w:p w14:paraId="310AE8AC" w14:textId="77777777" w:rsidR="00285EF0" w:rsidRPr="00EC7F3C"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color w:val="000000"/>
                <w:sz w:val="18"/>
                <w:szCs w:val="18"/>
              </w:rPr>
              <w:t>1h</w:t>
            </w:r>
          </w:p>
        </w:tc>
        <w:tc>
          <w:tcPr>
            <w:tcW w:w="1165" w:type="dxa"/>
            <w:vAlign w:val="center"/>
          </w:tcPr>
          <w:p w14:paraId="0A8CDFDC" w14:textId="77777777" w:rsidR="00285EF0" w:rsidRPr="00EC7F3C"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color w:val="000000"/>
                <w:sz w:val="18"/>
                <w:szCs w:val="18"/>
              </w:rPr>
              <w:t>5.4</w:t>
            </w:r>
          </w:p>
        </w:tc>
        <w:tc>
          <w:tcPr>
            <w:tcW w:w="2562" w:type="dxa"/>
            <w:vAlign w:val="center"/>
          </w:tcPr>
          <w:p w14:paraId="5974B870" w14:textId="77777777" w:rsidR="00285EF0" w:rsidRPr="00EC7F3C"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color w:val="000000"/>
                <w:sz w:val="18"/>
                <w:szCs w:val="18"/>
              </w:rPr>
              <w:t xml:space="preserve">100 ppm </w:t>
            </w:r>
          </w:p>
        </w:tc>
        <w:tc>
          <w:tcPr>
            <w:tcW w:w="1162" w:type="dxa"/>
            <w:vAlign w:val="center"/>
          </w:tcPr>
          <w:p w14:paraId="6DD47F65"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5</w:t>
            </w:r>
          </w:p>
        </w:tc>
        <w:tc>
          <w:tcPr>
            <w:tcW w:w="1229" w:type="dxa"/>
            <w:vAlign w:val="center"/>
          </w:tcPr>
          <w:p w14:paraId="0C283650"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2.6</w:t>
            </w:r>
          </w:p>
        </w:tc>
        <w:tc>
          <w:tcPr>
            <w:tcW w:w="2851" w:type="dxa"/>
            <w:vAlign w:val="center"/>
          </w:tcPr>
          <w:p w14:paraId="7DB84ED6"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 xml:space="preserve"> Lee and Baek (2008)</w:t>
            </w:r>
          </w:p>
        </w:tc>
      </w:tr>
      <w:tr w:rsidR="00285EF0" w:rsidRPr="00BE211F" w14:paraId="51CC82D7"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2195C0F1" w14:textId="77777777" w:rsidR="00285EF0" w:rsidRPr="00EC7F3C" w:rsidRDefault="00285EF0" w:rsidP="00285EF0">
            <w:pPr>
              <w:rPr>
                <w:rFonts w:cs="Arial"/>
                <w:b w:val="0"/>
                <w:sz w:val="18"/>
                <w:szCs w:val="18"/>
              </w:rPr>
            </w:pPr>
            <w:r w:rsidRPr="00EC7F3C">
              <w:rPr>
                <w:rFonts w:cs="Arial"/>
                <w:b w:val="0"/>
                <w:color w:val="000000"/>
                <w:sz w:val="18"/>
                <w:szCs w:val="18"/>
              </w:rPr>
              <w:t>Spinach</w:t>
            </w:r>
          </w:p>
        </w:tc>
        <w:tc>
          <w:tcPr>
            <w:tcW w:w="1764" w:type="dxa"/>
            <w:vAlign w:val="center"/>
          </w:tcPr>
          <w:p w14:paraId="091794DA" w14:textId="77777777" w:rsidR="00285EF0" w:rsidRPr="00EC7F3C" w:rsidRDefault="00285EF0" w:rsidP="00285EF0">
            <w:pPr>
              <w:cnfStyle w:val="000000000000" w:firstRow="0" w:lastRow="0" w:firstColumn="0" w:lastColumn="0" w:oddVBand="0" w:evenVBand="0" w:oddHBand="0" w:evenHBand="0" w:firstRowFirstColumn="0" w:firstRowLastColumn="0" w:lastRowFirstColumn="0" w:lastRowLastColumn="0"/>
              <w:rPr>
                <w:rFonts w:cs="Arial"/>
                <w:i/>
                <w:sz w:val="18"/>
                <w:szCs w:val="18"/>
              </w:rPr>
            </w:pPr>
            <w:r w:rsidRPr="00EC7F3C">
              <w:rPr>
                <w:rFonts w:cs="Arial"/>
                <w:i/>
                <w:iCs/>
                <w:color w:val="000000"/>
                <w:sz w:val="18"/>
                <w:szCs w:val="18"/>
              </w:rPr>
              <w:t>S</w:t>
            </w:r>
            <w:r w:rsidRPr="00EC7F3C">
              <w:rPr>
                <w:rFonts w:cs="Arial"/>
                <w:color w:val="000000"/>
                <w:sz w:val="18"/>
                <w:szCs w:val="18"/>
              </w:rPr>
              <w:t xml:space="preserve">. Typhimurium </w:t>
            </w:r>
          </w:p>
        </w:tc>
        <w:tc>
          <w:tcPr>
            <w:tcW w:w="1309" w:type="dxa"/>
            <w:vAlign w:val="center"/>
          </w:tcPr>
          <w:p w14:paraId="68B6249E" w14:textId="77777777" w:rsidR="00285EF0" w:rsidRPr="00EC7F3C"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C7F3C">
              <w:rPr>
                <w:rFonts w:cs="Arial"/>
                <w:color w:val="000000"/>
                <w:sz w:val="18"/>
                <w:szCs w:val="18"/>
              </w:rPr>
              <w:t>NR</w:t>
            </w:r>
          </w:p>
        </w:tc>
        <w:tc>
          <w:tcPr>
            <w:tcW w:w="1165" w:type="dxa"/>
            <w:vAlign w:val="center"/>
          </w:tcPr>
          <w:p w14:paraId="2EA7AECC" w14:textId="77777777" w:rsidR="00285EF0" w:rsidRPr="00EC7F3C"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C7F3C">
              <w:rPr>
                <w:rFonts w:cs="Arial"/>
                <w:color w:val="000000"/>
                <w:sz w:val="18"/>
                <w:szCs w:val="18"/>
              </w:rPr>
              <w:t>4.9</w:t>
            </w:r>
          </w:p>
        </w:tc>
        <w:tc>
          <w:tcPr>
            <w:tcW w:w="2562" w:type="dxa"/>
            <w:vAlign w:val="center"/>
          </w:tcPr>
          <w:p w14:paraId="71E98313" w14:textId="77777777" w:rsidR="00285EF0" w:rsidRPr="00EC7F3C"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C7F3C">
              <w:rPr>
                <w:rFonts w:cs="Arial"/>
                <w:color w:val="000000"/>
                <w:sz w:val="18"/>
                <w:szCs w:val="18"/>
              </w:rPr>
              <w:t xml:space="preserve">20ppm </w:t>
            </w:r>
          </w:p>
        </w:tc>
        <w:tc>
          <w:tcPr>
            <w:tcW w:w="1162" w:type="dxa"/>
            <w:vAlign w:val="center"/>
          </w:tcPr>
          <w:p w14:paraId="26566E3C"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w:t>
            </w:r>
          </w:p>
        </w:tc>
        <w:tc>
          <w:tcPr>
            <w:tcW w:w="1229" w:type="dxa"/>
            <w:vAlign w:val="center"/>
          </w:tcPr>
          <w:p w14:paraId="5CCFB0DD"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1.6</w:t>
            </w:r>
          </w:p>
        </w:tc>
        <w:tc>
          <w:tcPr>
            <w:tcW w:w="2851" w:type="dxa"/>
            <w:vAlign w:val="center"/>
          </w:tcPr>
          <w:p w14:paraId="26C0E98D"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Thi-Van et al. (2019)</w:t>
            </w:r>
          </w:p>
        </w:tc>
      </w:tr>
      <w:tr w:rsidR="00285EF0" w:rsidRPr="00BE211F" w14:paraId="00895274"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2DC449EC" w14:textId="77777777" w:rsidR="00285EF0" w:rsidRPr="00EC7F3C" w:rsidRDefault="00285EF0" w:rsidP="00285EF0">
            <w:pPr>
              <w:rPr>
                <w:rFonts w:cs="Arial"/>
                <w:b w:val="0"/>
                <w:sz w:val="18"/>
                <w:szCs w:val="18"/>
              </w:rPr>
            </w:pPr>
            <w:r w:rsidRPr="00EC7F3C">
              <w:rPr>
                <w:rFonts w:cs="Arial"/>
                <w:b w:val="0"/>
                <w:color w:val="000000"/>
                <w:sz w:val="18"/>
                <w:szCs w:val="18"/>
              </w:rPr>
              <w:t xml:space="preserve">Spinach </w:t>
            </w:r>
          </w:p>
        </w:tc>
        <w:tc>
          <w:tcPr>
            <w:tcW w:w="1764" w:type="dxa"/>
            <w:vAlign w:val="center"/>
          </w:tcPr>
          <w:p w14:paraId="5E54B814" w14:textId="77777777" w:rsidR="00285EF0" w:rsidRPr="00EC7F3C"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i/>
                <w:iCs/>
                <w:color w:val="000000"/>
                <w:sz w:val="18"/>
                <w:szCs w:val="18"/>
              </w:rPr>
              <w:t>S</w:t>
            </w:r>
            <w:r w:rsidRPr="00EC7F3C">
              <w:rPr>
                <w:rFonts w:cs="Arial"/>
                <w:color w:val="000000"/>
                <w:sz w:val="18"/>
                <w:szCs w:val="18"/>
              </w:rPr>
              <w:t xml:space="preserve">. Typhimurium </w:t>
            </w:r>
          </w:p>
        </w:tc>
        <w:tc>
          <w:tcPr>
            <w:tcW w:w="1309" w:type="dxa"/>
            <w:vAlign w:val="center"/>
          </w:tcPr>
          <w:p w14:paraId="7326ACD5" w14:textId="77777777" w:rsidR="00285EF0" w:rsidRPr="00EC7F3C"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color w:val="000000"/>
                <w:sz w:val="18"/>
                <w:szCs w:val="18"/>
              </w:rPr>
              <w:t>NR</w:t>
            </w:r>
          </w:p>
        </w:tc>
        <w:tc>
          <w:tcPr>
            <w:tcW w:w="1165" w:type="dxa"/>
            <w:vAlign w:val="center"/>
          </w:tcPr>
          <w:p w14:paraId="2DC151DA" w14:textId="77777777" w:rsidR="00285EF0" w:rsidRPr="00EC7F3C"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color w:val="000000"/>
                <w:sz w:val="18"/>
                <w:szCs w:val="18"/>
              </w:rPr>
              <w:t>4.9</w:t>
            </w:r>
          </w:p>
        </w:tc>
        <w:tc>
          <w:tcPr>
            <w:tcW w:w="2562" w:type="dxa"/>
            <w:vAlign w:val="center"/>
          </w:tcPr>
          <w:p w14:paraId="6C6DF661" w14:textId="77777777" w:rsidR="00285EF0" w:rsidRPr="00EC7F3C"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EC7F3C">
              <w:rPr>
                <w:rFonts w:cs="Arial"/>
                <w:color w:val="000000"/>
                <w:sz w:val="18"/>
                <w:szCs w:val="18"/>
              </w:rPr>
              <w:t xml:space="preserve">2ppm </w:t>
            </w:r>
          </w:p>
        </w:tc>
        <w:tc>
          <w:tcPr>
            <w:tcW w:w="1162" w:type="dxa"/>
            <w:vAlign w:val="center"/>
          </w:tcPr>
          <w:p w14:paraId="5191CD71"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1</w:t>
            </w:r>
          </w:p>
        </w:tc>
        <w:tc>
          <w:tcPr>
            <w:tcW w:w="1229" w:type="dxa"/>
            <w:vAlign w:val="center"/>
          </w:tcPr>
          <w:p w14:paraId="61833899"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0.7</w:t>
            </w:r>
          </w:p>
        </w:tc>
        <w:tc>
          <w:tcPr>
            <w:tcW w:w="2851" w:type="dxa"/>
            <w:vAlign w:val="center"/>
          </w:tcPr>
          <w:p w14:paraId="021F298A"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t>Thi-Van et al. (2019)</w:t>
            </w:r>
          </w:p>
        </w:tc>
      </w:tr>
      <w:tr w:rsidR="00285EF0" w:rsidRPr="00BE211F" w14:paraId="2D51C95C"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2F2CCBEA" w14:textId="77777777" w:rsidR="00285EF0" w:rsidRPr="00BE211F" w:rsidRDefault="00285EF0" w:rsidP="00285EF0">
            <w:pPr>
              <w:rPr>
                <w:rFonts w:cs="Arial"/>
                <w:b w:val="0"/>
                <w:sz w:val="18"/>
                <w:szCs w:val="18"/>
              </w:rPr>
            </w:pPr>
            <w:r w:rsidRPr="00BE211F">
              <w:rPr>
                <w:rFonts w:cs="Arial"/>
                <w:b w:val="0"/>
                <w:sz w:val="18"/>
                <w:szCs w:val="18"/>
              </w:rPr>
              <w:t>Raspberry</w:t>
            </w:r>
          </w:p>
        </w:tc>
        <w:tc>
          <w:tcPr>
            <w:tcW w:w="1764" w:type="dxa"/>
          </w:tcPr>
          <w:p w14:paraId="64979B14"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t>Norovirus</w:t>
            </w:r>
          </w:p>
        </w:tc>
        <w:tc>
          <w:tcPr>
            <w:tcW w:w="1309" w:type="dxa"/>
          </w:tcPr>
          <w:p w14:paraId="27253B7A"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t>1h</w:t>
            </w:r>
          </w:p>
        </w:tc>
        <w:tc>
          <w:tcPr>
            <w:tcW w:w="1165" w:type="dxa"/>
          </w:tcPr>
          <w:p w14:paraId="5A677403"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w:t>
            </w:r>
            <w:r w:rsidRPr="00BE211F">
              <w:rPr>
                <w:rFonts w:cs="Arial"/>
                <w:sz w:val="18"/>
                <w:szCs w:val="18"/>
              </w:rPr>
              <w:t>6.0</w:t>
            </w:r>
          </w:p>
        </w:tc>
        <w:tc>
          <w:tcPr>
            <w:tcW w:w="2562" w:type="dxa"/>
          </w:tcPr>
          <w:p w14:paraId="4DDA75E0"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t xml:space="preserve">5 - 10ppm </w:t>
            </w:r>
          </w:p>
        </w:tc>
        <w:tc>
          <w:tcPr>
            <w:tcW w:w="1162" w:type="dxa"/>
          </w:tcPr>
          <w:p w14:paraId="50E8E399"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t>10</w:t>
            </w:r>
          </w:p>
        </w:tc>
        <w:tc>
          <w:tcPr>
            <w:tcW w:w="1229" w:type="dxa"/>
          </w:tcPr>
          <w:p w14:paraId="11703A87"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0.6 -</w:t>
            </w:r>
            <w:r w:rsidRPr="00BE211F">
              <w:rPr>
                <w:rFonts w:cs="Arial"/>
                <w:sz w:val="18"/>
                <w:szCs w:val="18"/>
              </w:rPr>
              <w:t xml:space="preserve"> 1.0</w:t>
            </w:r>
          </w:p>
        </w:tc>
        <w:tc>
          <w:tcPr>
            <w:tcW w:w="2851" w:type="dxa"/>
          </w:tcPr>
          <w:p w14:paraId="19820DA2"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fldChar w:fldCharType="begin"/>
            </w:r>
            <w:r w:rsidRPr="00BE211F">
              <w:rPr>
                <w:rFonts w:cs="Arial"/>
                <w:sz w:val="18"/>
                <w:szCs w:val="18"/>
              </w:rPr>
              <w:instrText>ADDIN CITAVI.PLACEHOLDER f9521beb-bb3b-4065-b26c-267a7a08bec7 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J1dG90IGV0IGFsLjwvVGV4dD4NCiAgICA8L1RleHRVbml0Pg0KICA8L1RleHRVbml0cz4NCjwvUGxhY2Vob2xkZXI+</w:instrText>
            </w:r>
            <w:r w:rsidRPr="00BE211F">
              <w:rPr>
                <w:rFonts w:cs="Arial"/>
                <w:sz w:val="18"/>
                <w:szCs w:val="18"/>
              </w:rPr>
              <w:fldChar w:fldCharType="separate"/>
            </w:r>
            <w:bookmarkStart w:id="1392" w:name="_CTVP001f9521bebbb3b4065b26c267a7a08bec7"/>
            <w:r w:rsidRPr="00BE211F">
              <w:rPr>
                <w:rFonts w:cs="Arial"/>
                <w:sz w:val="18"/>
                <w:szCs w:val="18"/>
              </w:rPr>
              <w:t>Butot et al.</w:t>
            </w:r>
            <w:bookmarkEnd w:id="1392"/>
            <w:r w:rsidRPr="00BE211F">
              <w:rPr>
                <w:rFonts w:cs="Arial"/>
                <w:sz w:val="18"/>
                <w:szCs w:val="18"/>
              </w:rPr>
              <w:fldChar w:fldCharType="end"/>
            </w:r>
            <w:r w:rsidRPr="00BE211F">
              <w:rPr>
                <w:rFonts w:cs="Arial"/>
                <w:sz w:val="18"/>
                <w:szCs w:val="18"/>
              </w:rPr>
              <w:t xml:space="preserve"> </w:t>
            </w:r>
            <w:r w:rsidRPr="00BE211F">
              <w:rPr>
                <w:rFonts w:cs="Arial"/>
                <w:sz w:val="18"/>
                <w:szCs w:val="18"/>
              </w:rPr>
              <w:fldChar w:fldCharType="begin"/>
            </w:r>
            <w:r w:rsidRPr="00BE211F">
              <w:rPr>
                <w:rFonts w:cs="Arial"/>
                <w:sz w:val="18"/>
                <w:szCs w:val="18"/>
              </w:rPr>
              <w:instrText>ADDIN CITAVI.PLACEHOLDER ca72a09f-e1bd-4b07-aa18-2e3f70347d9e PFBsYWNlaG9sZGVyPg0KICA8QWRkSW5WZXJzaW9uPjUuNS4wLjE8L0FkZEluVmVyc2lvbj4NCiAgPElkPmNhNzJhMDlmLWUxYmQtNGIwNy1hYTE4LTJlM2Y3MDM0N2Q5ZTwvSWQ+DQogIDxBc3NvY2lhdGVXaXRoUGxhY2Vob2xkZXJJZD4zNzZiMTlkZi1hNmE4LTQ0MjYtYWUzMC0xMzM4NWFlZGNhMDQ8L0Fzc29jaWF0ZVdpdGhQbGFjZWhvbGRlcklkPg0KICA8RW50cmllcz4NCiAgICA8RW50cnk+DQogICAgICA8SWQ+ODFhMmU2MDUtNTg5ZC00NjBlLWE2OTItNjRmZmNlNThlOWRjPC9JZD4NCiAgICAgIDxSZWZlcmVuY2VJZD5iZGM4NThlYi02ZjMwLTQwMzgtYTYxOS00ZWNjZmJjOGQ3YTI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OCk8L1RleHQ+DQogICAgPC9UZXh0VW5pdD4NCiAgPC9UZXh0VW5pdHM+DQo8L1BsYWNlaG9sZGVyPg==</w:instrText>
            </w:r>
            <w:r w:rsidRPr="00BE211F">
              <w:rPr>
                <w:rFonts w:cs="Arial"/>
                <w:sz w:val="18"/>
                <w:szCs w:val="18"/>
              </w:rPr>
              <w:fldChar w:fldCharType="separate"/>
            </w:r>
            <w:bookmarkStart w:id="1393" w:name="_CTVP001ca72a09fe1bd4b07aa182e3f70347d9e"/>
            <w:r w:rsidRPr="00BE211F">
              <w:rPr>
                <w:rFonts w:cs="Arial"/>
                <w:sz w:val="18"/>
                <w:szCs w:val="18"/>
              </w:rPr>
              <w:t>(2008)</w:t>
            </w:r>
            <w:bookmarkEnd w:id="1393"/>
            <w:r w:rsidRPr="00BE211F">
              <w:rPr>
                <w:rFonts w:cs="Arial"/>
                <w:sz w:val="18"/>
                <w:szCs w:val="18"/>
              </w:rPr>
              <w:fldChar w:fldCharType="end"/>
            </w:r>
          </w:p>
        </w:tc>
      </w:tr>
      <w:tr w:rsidR="00285EF0" w:rsidRPr="00BE211F" w14:paraId="678B5834"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35A6892B" w14:textId="77777777" w:rsidR="00285EF0" w:rsidRPr="00BE211F" w:rsidRDefault="00285EF0" w:rsidP="00285EF0">
            <w:pPr>
              <w:rPr>
                <w:rFonts w:cs="Arial"/>
                <w:b w:val="0"/>
                <w:sz w:val="18"/>
                <w:szCs w:val="18"/>
              </w:rPr>
            </w:pPr>
            <w:r w:rsidRPr="00BE211F">
              <w:rPr>
                <w:rFonts w:cs="Arial"/>
                <w:b w:val="0"/>
                <w:sz w:val="18"/>
                <w:szCs w:val="18"/>
              </w:rPr>
              <w:t>Raspberry</w:t>
            </w:r>
          </w:p>
        </w:tc>
        <w:tc>
          <w:tcPr>
            <w:tcW w:w="1764" w:type="dxa"/>
          </w:tcPr>
          <w:p w14:paraId="50E8F9AE"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sz w:val="18"/>
                <w:szCs w:val="18"/>
              </w:rPr>
              <w:t>HAV</w:t>
            </w:r>
          </w:p>
        </w:tc>
        <w:tc>
          <w:tcPr>
            <w:tcW w:w="1309" w:type="dxa"/>
          </w:tcPr>
          <w:p w14:paraId="14BF77DB"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sz w:val="18"/>
                <w:szCs w:val="18"/>
              </w:rPr>
              <w:t>1h</w:t>
            </w:r>
          </w:p>
        </w:tc>
        <w:tc>
          <w:tcPr>
            <w:tcW w:w="1165" w:type="dxa"/>
          </w:tcPr>
          <w:p w14:paraId="1065D8C4"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w:t>
            </w:r>
            <w:r w:rsidRPr="00BE211F">
              <w:rPr>
                <w:rFonts w:cs="Arial"/>
                <w:sz w:val="18"/>
                <w:szCs w:val="18"/>
              </w:rPr>
              <w:t>6.0</w:t>
            </w:r>
          </w:p>
        </w:tc>
        <w:tc>
          <w:tcPr>
            <w:tcW w:w="2562" w:type="dxa"/>
          </w:tcPr>
          <w:p w14:paraId="2E398044"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sz w:val="18"/>
                <w:szCs w:val="18"/>
              </w:rPr>
              <w:t>5 - 10ppm</w:t>
            </w:r>
            <w:r w:rsidRPr="00BE211F">
              <w:rPr>
                <w:rFonts w:cs="Arial"/>
                <w:color w:val="000000" w:themeColor="text1"/>
                <w:sz w:val="18"/>
                <w:szCs w:val="18"/>
              </w:rPr>
              <w:t xml:space="preserve"> </w:t>
            </w:r>
          </w:p>
        </w:tc>
        <w:tc>
          <w:tcPr>
            <w:tcW w:w="1162" w:type="dxa"/>
          </w:tcPr>
          <w:p w14:paraId="6EFA78DB"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sz w:val="18"/>
                <w:szCs w:val="18"/>
              </w:rPr>
              <w:t>10</w:t>
            </w:r>
          </w:p>
        </w:tc>
        <w:tc>
          <w:tcPr>
            <w:tcW w:w="1229" w:type="dxa"/>
          </w:tcPr>
          <w:p w14:paraId="19FB66B1"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0.7 -</w:t>
            </w:r>
            <w:r w:rsidRPr="00BE211F">
              <w:rPr>
                <w:rFonts w:cs="Arial"/>
                <w:sz w:val="18"/>
                <w:szCs w:val="18"/>
              </w:rPr>
              <w:t xml:space="preserve"> 0.9</w:t>
            </w:r>
          </w:p>
        </w:tc>
        <w:tc>
          <w:tcPr>
            <w:tcW w:w="2851" w:type="dxa"/>
          </w:tcPr>
          <w:p w14:paraId="5C9F54F6" w14:textId="77777777" w:rsidR="00285EF0" w:rsidRPr="00BE211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sz w:val="18"/>
                <w:szCs w:val="18"/>
              </w:rPr>
              <w:fldChar w:fldCharType="begin"/>
            </w:r>
            <w:r w:rsidRPr="00BE211F">
              <w:rPr>
                <w:rFonts w:cs="Arial"/>
                <w:sz w:val="18"/>
                <w:szCs w:val="18"/>
              </w:rPr>
              <w:instrText>ADDIN CITAVI.PLACEHOLDER e79fe5a5-9314-4fdd-a936-bc8ef1ed77c1 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J1dG90IGV0IGFsLjwvVGV4dD4NCiAgICA8L1RleHRVbml0Pg0KICA8L1RleHRVbml0cz4NCjwvUGxhY2Vob2xkZXI+</w:instrText>
            </w:r>
            <w:r w:rsidRPr="00BE211F">
              <w:rPr>
                <w:rFonts w:cs="Arial"/>
                <w:sz w:val="18"/>
                <w:szCs w:val="18"/>
              </w:rPr>
              <w:fldChar w:fldCharType="separate"/>
            </w:r>
            <w:bookmarkStart w:id="1394" w:name="_CTVP001e79fe5a593144fdda936bc8ef1ed77c1"/>
            <w:r w:rsidRPr="00BE211F">
              <w:rPr>
                <w:rFonts w:cs="Arial"/>
                <w:sz w:val="18"/>
                <w:szCs w:val="18"/>
              </w:rPr>
              <w:t>Butot et al.</w:t>
            </w:r>
            <w:bookmarkEnd w:id="1394"/>
            <w:r w:rsidRPr="00BE211F">
              <w:rPr>
                <w:rFonts w:cs="Arial"/>
                <w:sz w:val="18"/>
                <w:szCs w:val="18"/>
              </w:rPr>
              <w:fldChar w:fldCharType="end"/>
            </w:r>
            <w:r w:rsidRPr="00BE211F">
              <w:rPr>
                <w:rFonts w:cs="Arial"/>
                <w:sz w:val="18"/>
                <w:szCs w:val="18"/>
              </w:rPr>
              <w:t xml:space="preserve"> </w:t>
            </w:r>
            <w:r w:rsidRPr="00BE211F">
              <w:rPr>
                <w:rFonts w:cs="Arial"/>
                <w:sz w:val="18"/>
                <w:szCs w:val="18"/>
              </w:rPr>
              <w:fldChar w:fldCharType="begin"/>
            </w:r>
            <w:r w:rsidRPr="00BE211F">
              <w:rPr>
                <w:rFonts w:cs="Arial"/>
                <w:sz w:val="18"/>
                <w:szCs w:val="18"/>
              </w:rPr>
              <w:instrText>ADDIN CITAVI.PLACEHOLDER 3dccfdd5-5172-4ed9-b60a-d5c394814db6 PFBsYWNlaG9sZGVyPg0KICA8QWRkSW5WZXJzaW9uPjUuNS4wLjE8L0FkZEluVmVyc2lvbj4NCiAgPElkPjNkY2NmZGQ1LTUxNzItNGVkOS1iNjBhLWQ1YzM5NDgxNGRiNjwvSWQ+DQogIDxBc3NvY2lhdGVXaXRoUGxhY2Vob2xkZXJJZD4zNzZiMTlkZi1hNmE4LTQ0MjYtYWUzMC0xMzM4NWFlZGNhMDQ8L0Fzc29jaWF0ZVdpdGhQbGFjZWhvbGRlcklkPg0KICA8RW50cmllcz4NCiAgICA8RW50cnk+DQogICAgICA8SWQ+ODFhMmU2MDUtNTg5ZC00NjBlLWE2OTItNjRmZmNlNThlOWRjPC9JZD4NCiAgICAgIDxSZWZlcmVuY2VJZD5iZGM4NThlYi02ZjMwLTQwMzgtYTYxOS00ZWNjZmJjOGQ3YTI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OCk8L1RleHQ+DQogICAgPC9UZXh0VW5pdD4NCiAgPC9UZXh0VW5pdHM+DQo8L1BsYWNlaG9sZGVyPg==</w:instrText>
            </w:r>
            <w:r w:rsidRPr="00BE211F">
              <w:rPr>
                <w:rFonts w:cs="Arial"/>
                <w:sz w:val="18"/>
                <w:szCs w:val="18"/>
              </w:rPr>
              <w:fldChar w:fldCharType="separate"/>
            </w:r>
            <w:bookmarkStart w:id="1395" w:name="_CTVP0013dccfdd551724ed9b60ad5c394814db6"/>
            <w:r w:rsidRPr="00BE211F">
              <w:rPr>
                <w:rFonts w:cs="Arial"/>
                <w:sz w:val="18"/>
                <w:szCs w:val="18"/>
              </w:rPr>
              <w:t>(2008)</w:t>
            </w:r>
            <w:bookmarkEnd w:id="1395"/>
            <w:r w:rsidRPr="00BE211F">
              <w:rPr>
                <w:rFonts w:cs="Arial"/>
                <w:sz w:val="18"/>
                <w:szCs w:val="18"/>
              </w:rPr>
              <w:fldChar w:fldCharType="end"/>
            </w:r>
          </w:p>
        </w:tc>
      </w:tr>
      <w:tr w:rsidR="00285EF0" w:rsidRPr="00BE211F" w14:paraId="56D93E2C"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3887" w:type="dxa"/>
            <w:gridSpan w:val="8"/>
            <w:vAlign w:val="center"/>
          </w:tcPr>
          <w:p w14:paraId="67C39FE0" w14:textId="77777777" w:rsidR="00285EF0" w:rsidRPr="00BE211F" w:rsidRDefault="00285EF0" w:rsidP="00285EF0">
            <w:pPr>
              <w:widowControl/>
              <w:rPr>
                <w:rFonts w:cs="Arial"/>
                <w:color w:val="000000" w:themeColor="text1"/>
                <w:sz w:val="18"/>
                <w:szCs w:val="18"/>
              </w:rPr>
            </w:pPr>
          </w:p>
        </w:tc>
      </w:tr>
      <w:tr w:rsidR="00285EF0" w:rsidRPr="00BE211F" w14:paraId="2C178BC5" w14:textId="77777777" w:rsidTr="00285EF0">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3887" w:type="dxa"/>
            <w:gridSpan w:val="8"/>
            <w:tcBorders>
              <w:right w:val="none" w:sz="0" w:space="0" w:color="auto"/>
            </w:tcBorders>
            <w:shd w:val="clear" w:color="auto" w:fill="C6D9F1" w:themeFill="text2" w:themeFillTint="33"/>
            <w:vAlign w:val="center"/>
          </w:tcPr>
          <w:p w14:paraId="67330A1B" w14:textId="77777777" w:rsidR="00285EF0" w:rsidRPr="00BE211F" w:rsidRDefault="00285EF0" w:rsidP="00285EF0">
            <w:pPr>
              <w:widowControl/>
              <w:jc w:val="both"/>
              <w:rPr>
                <w:rFonts w:cs="Arial"/>
                <w:b w:val="0"/>
                <w:color w:val="000000" w:themeColor="text1"/>
                <w:sz w:val="18"/>
                <w:szCs w:val="18"/>
              </w:rPr>
            </w:pPr>
            <w:r>
              <w:rPr>
                <w:rFonts w:cs="Arial"/>
                <w:sz w:val="18"/>
                <w:szCs w:val="18"/>
                <w:lang w:eastAsia="en-AU"/>
              </w:rPr>
              <w:t>PAA</w:t>
            </w:r>
          </w:p>
        </w:tc>
      </w:tr>
      <w:tr w:rsidR="00285EF0" w:rsidRPr="00BE211F" w14:paraId="316751C9"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1E59D5DE" w14:textId="77777777" w:rsidR="00285EF0" w:rsidRPr="00BE211F" w:rsidRDefault="00285EF0" w:rsidP="00285EF0">
            <w:pPr>
              <w:widowControl/>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776E5C31"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i/>
                <w:iCs/>
                <w:sz w:val="18"/>
                <w:szCs w:val="18"/>
              </w:rPr>
              <w:t>L. monocytogenes</w:t>
            </w:r>
          </w:p>
        </w:tc>
        <w:tc>
          <w:tcPr>
            <w:tcW w:w="1309" w:type="dxa"/>
          </w:tcPr>
          <w:p w14:paraId="5FD3CCFE" w14:textId="77777777" w:rsidR="00285EF0" w:rsidRPr="00410EF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410EFF">
              <w:rPr>
                <w:rFonts w:cs="Arial"/>
                <w:sz w:val="18"/>
                <w:szCs w:val="18"/>
              </w:rPr>
              <w:t>24h</w:t>
            </w:r>
          </w:p>
        </w:tc>
        <w:tc>
          <w:tcPr>
            <w:tcW w:w="1165" w:type="dxa"/>
          </w:tcPr>
          <w:p w14:paraId="5B6C1C97" w14:textId="77777777" w:rsidR="00285EF0" w:rsidRPr="00410EF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410EFF">
              <w:rPr>
                <w:rFonts w:cs="Arial"/>
                <w:sz w:val="18"/>
                <w:szCs w:val="18"/>
              </w:rPr>
              <w:t>6.0</w:t>
            </w:r>
          </w:p>
        </w:tc>
        <w:tc>
          <w:tcPr>
            <w:tcW w:w="2562" w:type="dxa"/>
          </w:tcPr>
          <w:p w14:paraId="5D91B168"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t>80ppm</w:t>
            </w:r>
          </w:p>
        </w:tc>
        <w:tc>
          <w:tcPr>
            <w:tcW w:w="1162" w:type="dxa"/>
          </w:tcPr>
          <w:p w14:paraId="394FD9D8"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 to 5</w:t>
            </w:r>
          </w:p>
        </w:tc>
        <w:tc>
          <w:tcPr>
            <w:tcW w:w="1229" w:type="dxa"/>
          </w:tcPr>
          <w:p w14:paraId="4764FEFF"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t>1.4 to &gt;5</w:t>
            </w:r>
          </w:p>
        </w:tc>
        <w:tc>
          <w:tcPr>
            <w:tcW w:w="2851" w:type="dxa"/>
          </w:tcPr>
          <w:p w14:paraId="08975A13" w14:textId="77777777" w:rsidR="00285EF0" w:rsidRPr="00BE211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fldChar w:fldCharType="begin"/>
            </w:r>
            <w:r w:rsidRPr="00BE211F">
              <w:rPr>
                <w:rFonts w:cs="Arial"/>
                <w:sz w:val="18"/>
                <w:szCs w:val="18"/>
              </w:rPr>
              <w:instrText>ADDIN CITAVI.PLACEHOLDER f61e85bb-663e-42ad-978f-63f59aebf986 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m9kZ2VycyBldCBhbC48L1RleHQ+DQogICAgPC9UZXh0VW5pdD4NCiAgPC9UZXh0VW5pdHM+DQo8L1BsYWNlaG9sZGVyPg==</w:instrText>
            </w:r>
            <w:r w:rsidRPr="00BE211F">
              <w:rPr>
                <w:rFonts w:cs="Arial"/>
                <w:sz w:val="18"/>
                <w:szCs w:val="18"/>
              </w:rPr>
              <w:fldChar w:fldCharType="separate"/>
            </w:r>
            <w:bookmarkStart w:id="1396" w:name="_CTVP001f61e85bb663e42ad978f63f59aebf986"/>
            <w:r w:rsidRPr="00BE211F">
              <w:rPr>
                <w:rFonts w:cs="Arial"/>
                <w:sz w:val="18"/>
                <w:szCs w:val="18"/>
              </w:rPr>
              <w:t>Rodgers et al.</w:t>
            </w:r>
            <w:bookmarkEnd w:id="1396"/>
            <w:r w:rsidRPr="00BE211F">
              <w:rPr>
                <w:rFonts w:cs="Arial"/>
                <w:sz w:val="18"/>
                <w:szCs w:val="18"/>
              </w:rPr>
              <w:fldChar w:fldCharType="end"/>
            </w:r>
            <w:r w:rsidRPr="00BE211F">
              <w:rPr>
                <w:rFonts w:cs="Arial"/>
                <w:sz w:val="18"/>
                <w:szCs w:val="18"/>
              </w:rPr>
              <w:t xml:space="preserve"> </w:t>
            </w:r>
            <w:r w:rsidRPr="00BE211F">
              <w:rPr>
                <w:rFonts w:cs="Arial"/>
                <w:sz w:val="18"/>
                <w:szCs w:val="18"/>
              </w:rPr>
              <w:fldChar w:fldCharType="begin"/>
            </w:r>
            <w:r w:rsidRPr="00BE211F">
              <w:rPr>
                <w:rFonts w:cs="Arial"/>
                <w:sz w:val="18"/>
                <w:szCs w:val="18"/>
              </w:rPr>
              <w:instrText>ADDIN CITAVI.PLACEHOLDER 72044bdd-3146-4429-88b1-9564405f07e4 PFBsYWNlaG9sZGVyPg0KICA8QWRkSW5WZXJzaW9uPjUuNS4wLjE8L0FkZEluVmVyc2lvbj4NCiAgPElkPjcyMDQ0YmRkLTMxNDYtNDQyOS04OGIxLTk1NjQ0MDVmMDdlNDwvSWQ+DQogIDxBc3NvY2lhdGVXaXRoUGxhY2Vob2xkZXJJZD5mNjFlODViYi02NjNlLTQyYWQtOTc4Zi02M2Y1OWFlYmY5ODY8L0Fzc29jaWF0ZVdpdGhQbGFjZWhvbGRlcklkPg0KICA8RW50cmllcz4NCiAgICA8RW50cnk+DQogICAgICA8SWQ+Y2YyY2Y4ZDktNmMyNy00NTNkLWFjNmUtZTcxYzJlOGMzNGFiPC9JZD4NCiAgICAgIDxSZWZlcmVuY2VJZD5lNWE1MWZhYy1mYzNiLTQ0OGEtYTliOC03NDRlZWEwYTc2YW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NCk8L1RleHQ+DQogICAgPC9UZXh0VW5pdD4NCiAgPC9UZXh0VW5pdHM+DQo8L1BsYWNlaG9sZGVyPg==</w:instrText>
            </w:r>
            <w:r w:rsidRPr="00BE211F">
              <w:rPr>
                <w:rFonts w:cs="Arial"/>
                <w:sz w:val="18"/>
                <w:szCs w:val="18"/>
              </w:rPr>
              <w:fldChar w:fldCharType="separate"/>
            </w:r>
            <w:bookmarkStart w:id="1397" w:name="_CTVP00172044bdd3146442988b19564405f07e4"/>
            <w:r w:rsidRPr="00BE211F">
              <w:rPr>
                <w:rFonts w:cs="Arial"/>
                <w:sz w:val="18"/>
                <w:szCs w:val="18"/>
              </w:rPr>
              <w:t>(2004)</w:t>
            </w:r>
            <w:bookmarkEnd w:id="1397"/>
            <w:r w:rsidRPr="00BE211F">
              <w:rPr>
                <w:rFonts w:cs="Arial"/>
                <w:sz w:val="18"/>
                <w:szCs w:val="18"/>
              </w:rPr>
              <w:fldChar w:fldCharType="end"/>
            </w:r>
          </w:p>
        </w:tc>
      </w:tr>
      <w:tr w:rsidR="00285EF0" w:rsidRPr="00BE211F" w14:paraId="71DC4151"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63B95F6A" w14:textId="77777777" w:rsidR="00285EF0" w:rsidRPr="00BE211F" w:rsidRDefault="00285EF0" w:rsidP="00285EF0">
            <w:pPr>
              <w:rPr>
                <w:rFonts w:cs="Arial"/>
                <w:b w:val="0"/>
                <w:sz w:val="18"/>
                <w:szCs w:val="18"/>
              </w:rPr>
            </w:pPr>
            <w:r w:rsidRPr="00BE211F">
              <w:rPr>
                <w:rFonts w:cs="Arial"/>
                <w:b w:val="0"/>
                <w:color w:val="000000" w:themeColor="text1"/>
                <w:sz w:val="18"/>
                <w:szCs w:val="18"/>
              </w:rPr>
              <w:t>Rockmelon</w:t>
            </w:r>
          </w:p>
        </w:tc>
        <w:tc>
          <w:tcPr>
            <w:tcW w:w="1764" w:type="dxa"/>
          </w:tcPr>
          <w:p w14:paraId="598E45B7"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i/>
                <w:iCs/>
                <w:sz w:val="18"/>
                <w:szCs w:val="18"/>
              </w:rPr>
              <w:t>L. innocua</w:t>
            </w:r>
          </w:p>
        </w:tc>
        <w:tc>
          <w:tcPr>
            <w:tcW w:w="1309" w:type="dxa"/>
          </w:tcPr>
          <w:p w14:paraId="42156003" w14:textId="77777777" w:rsidR="00285EF0" w:rsidRPr="00410EF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410EFF">
              <w:rPr>
                <w:rFonts w:cs="Arial"/>
                <w:sz w:val="18"/>
                <w:szCs w:val="18"/>
              </w:rPr>
              <w:t>76h</w:t>
            </w:r>
          </w:p>
        </w:tc>
        <w:tc>
          <w:tcPr>
            <w:tcW w:w="1165" w:type="dxa"/>
          </w:tcPr>
          <w:p w14:paraId="49112775" w14:textId="77777777" w:rsidR="00285EF0" w:rsidRPr="00410EF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410EFF">
              <w:rPr>
                <w:rFonts w:cs="Arial"/>
                <w:sz w:val="18"/>
                <w:szCs w:val="18"/>
              </w:rPr>
              <w:t>3.9</w:t>
            </w:r>
          </w:p>
        </w:tc>
        <w:tc>
          <w:tcPr>
            <w:tcW w:w="2562" w:type="dxa"/>
          </w:tcPr>
          <w:p w14:paraId="3223A193"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sz w:val="18"/>
                <w:szCs w:val="18"/>
              </w:rPr>
              <w:t>30ppm</w:t>
            </w:r>
          </w:p>
        </w:tc>
        <w:tc>
          <w:tcPr>
            <w:tcW w:w="1162" w:type="dxa"/>
          </w:tcPr>
          <w:p w14:paraId="1BFA57BA"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sz w:val="18"/>
                <w:szCs w:val="18"/>
              </w:rPr>
              <w:t>1 s</w:t>
            </w:r>
          </w:p>
        </w:tc>
        <w:tc>
          <w:tcPr>
            <w:tcW w:w="1229" w:type="dxa"/>
          </w:tcPr>
          <w:p w14:paraId="6E042D72"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sz w:val="18"/>
                <w:szCs w:val="18"/>
              </w:rPr>
              <w:t>1.9</w:t>
            </w:r>
          </w:p>
        </w:tc>
        <w:tc>
          <w:tcPr>
            <w:tcW w:w="2851" w:type="dxa"/>
          </w:tcPr>
          <w:p w14:paraId="31505511" w14:textId="77777777" w:rsidR="00285EF0" w:rsidRPr="00410EF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410EFF">
              <w:rPr>
                <w:rFonts w:cs="Arial"/>
                <w:sz w:val="18"/>
                <w:szCs w:val="18"/>
              </w:rPr>
              <w:t xml:space="preserve">Suslow and Callejas (2015) </w:t>
            </w:r>
          </w:p>
        </w:tc>
      </w:tr>
      <w:tr w:rsidR="00285EF0" w:rsidRPr="00BE211F" w14:paraId="35E20758"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29C2BFF5" w14:textId="77777777" w:rsidR="00285EF0" w:rsidRPr="00BE211F" w:rsidRDefault="00285EF0" w:rsidP="00285EF0">
            <w:pPr>
              <w:rPr>
                <w:rFonts w:cs="Arial"/>
                <w:b w:val="0"/>
                <w:sz w:val="18"/>
                <w:szCs w:val="18"/>
              </w:rPr>
            </w:pPr>
            <w:r w:rsidRPr="00BE211F">
              <w:rPr>
                <w:rFonts w:cs="Arial"/>
                <w:b w:val="0"/>
                <w:color w:val="000000" w:themeColor="text1"/>
                <w:sz w:val="18"/>
                <w:szCs w:val="18"/>
              </w:rPr>
              <w:t>Rockmelon</w:t>
            </w:r>
          </w:p>
        </w:tc>
        <w:tc>
          <w:tcPr>
            <w:tcW w:w="1764" w:type="dxa"/>
          </w:tcPr>
          <w:p w14:paraId="2F4AD37A"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iCs/>
                <w:color w:val="000000"/>
                <w:sz w:val="18"/>
                <w:szCs w:val="18"/>
              </w:rPr>
            </w:pPr>
            <w:r w:rsidRPr="00BE211F">
              <w:rPr>
                <w:rFonts w:cs="Arial"/>
                <w:i/>
                <w:iCs/>
                <w:sz w:val="18"/>
                <w:szCs w:val="18"/>
              </w:rPr>
              <w:t>L. monocytogenes</w:t>
            </w:r>
          </w:p>
        </w:tc>
        <w:tc>
          <w:tcPr>
            <w:tcW w:w="1309" w:type="dxa"/>
          </w:tcPr>
          <w:p w14:paraId="649FAF02" w14:textId="77777777" w:rsidR="00285EF0" w:rsidRPr="00410EF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410EFF">
              <w:rPr>
                <w:rFonts w:cs="Arial"/>
                <w:sz w:val="18"/>
                <w:szCs w:val="18"/>
              </w:rPr>
              <w:t>ON</w:t>
            </w:r>
          </w:p>
        </w:tc>
        <w:tc>
          <w:tcPr>
            <w:tcW w:w="1165" w:type="dxa"/>
          </w:tcPr>
          <w:p w14:paraId="5D09C8B3" w14:textId="77777777" w:rsidR="00285EF0" w:rsidRPr="00410EF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410EFF">
              <w:rPr>
                <w:rFonts w:cs="Arial"/>
                <w:sz w:val="18"/>
                <w:szCs w:val="18"/>
              </w:rPr>
              <w:t>7.6</w:t>
            </w:r>
          </w:p>
        </w:tc>
        <w:tc>
          <w:tcPr>
            <w:tcW w:w="2562" w:type="dxa"/>
          </w:tcPr>
          <w:p w14:paraId="5B656739"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t>85ppm</w:t>
            </w:r>
          </w:p>
        </w:tc>
        <w:tc>
          <w:tcPr>
            <w:tcW w:w="1162" w:type="dxa"/>
          </w:tcPr>
          <w:p w14:paraId="5C35DAA2"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25551">
              <w:rPr>
                <w:rFonts w:cs="Arial"/>
                <w:sz w:val="18"/>
                <w:szCs w:val="18"/>
              </w:rPr>
              <w:t>5</w:t>
            </w:r>
          </w:p>
        </w:tc>
        <w:tc>
          <w:tcPr>
            <w:tcW w:w="1229" w:type="dxa"/>
          </w:tcPr>
          <w:p w14:paraId="19116C65"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t>3.0</w:t>
            </w:r>
          </w:p>
        </w:tc>
        <w:tc>
          <w:tcPr>
            <w:tcW w:w="2851" w:type="dxa"/>
          </w:tcPr>
          <w:p w14:paraId="4C78159D" w14:textId="77777777" w:rsidR="00285EF0" w:rsidRPr="00410EF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410EFF">
              <w:rPr>
                <w:rFonts w:cs="Arial"/>
                <w:sz w:val="18"/>
                <w:szCs w:val="18"/>
              </w:rPr>
              <w:fldChar w:fldCharType="begin"/>
            </w:r>
            <w:r w:rsidRPr="00410EFF">
              <w:rPr>
                <w:rFonts w:cs="Arial"/>
                <w:sz w:val="18"/>
                <w:szCs w:val="18"/>
              </w:rPr>
              <w:instrText>ADDIN CITAVI.PLACEHOLDER 47184b9c-fe82-4848-b0f6-a9d6bc7402dd 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pbmdoIGV0IGFsLjwvVGV4dD4NCiAgICA8L1RleHRVbml0Pg0KICA8L1RleHRVbml0cz4NCjwvUGxhY2Vob2xkZXI+</w:instrText>
            </w:r>
            <w:r w:rsidRPr="00410EFF">
              <w:rPr>
                <w:rFonts w:cs="Arial"/>
                <w:sz w:val="18"/>
                <w:szCs w:val="18"/>
              </w:rPr>
              <w:fldChar w:fldCharType="separate"/>
            </w:r>
            <w:bookmarkStart w:id="1398" w:name="_CTVP00147184b9cfe824848b0f6a9d6bc7402dd"/>
            <w:r w:rsidRPr="00410EFF">
              <w:rPr>
                <w:rFonts w:cs="Arial"/>
                <w:sz w:val="18"/>
                <w:szCs w:val="18"/>
              </w:rPr>
              <w:t>Singh et al.</w:t>
            </w:r>
            <w:bookmarkEnd w:id="1398"/>
            <w:r w:rsidRPr="00410EFF">
              <w:rPr>
                <w:rFonts w:cs="Arial"/>
                <w:sz w:val="18"/>
                <w:szCs w:val="18"/>
              </w:rPr>
              <w:fldChar w:fldCharType="end"/>
            </w:r>
            <w:r w:rsidRPr="00410EFF">
              <w:rPr>
                <w:rFonts w:cs="Arial"/>
                <w:sz w:val="18"/>
                <w:szCs w:val="18"/>
              </w:rPr>
              <w:t xml:space="preserve"> </w:t>
            </w:r>
            <w:r w:rsidRPr="00410EFF">
              <w:rPr>
                <w:rFonts w:cs="Arial"/>
                <w:sz w:val="18"/>
                <w:szCs w:val="18"/>
              </w:rPr>
              <w:fldChar w:fldCharType="begin"/>
            </w:r>
            <w:r w:rsidRPr="00410EFF">
              <w:rPr>
                <w:rFonts w:cs="Arial"/>
                <w:sz w:val="18"/>
                <w:szCs w:val="18"/>
              </w:rPr>
              <w:instrText>ADDIN CITAVI.PLACEHOLDER 78faa8fe-4fb7-401d-8c76-7c12e08883d5 PFBsYWNlaG9sZGVyPg0KICA8QWRkSW5WZXJzaW9uPjUuNS4wLjE8L0FkZEluVmVyc2lvbj4NCiAgPElkPjc4ZmFhOGZlLTRmYjctNDAxZC04Yzc2LTdjMTJlMDg4ODNkNTwvSWQ+DQogIDxBc3NvY2lhdGVXaXRoUGxhY2Vob2xkZXJJZD40NzE4NGI5Yy1mZTgyLTQ4NDgtYjBmNi1hOWQ2YmM3NDAyZGQ8L0Fzc29jaWF0ZVdpdGhQbGFjZWhvbGRlcklkPg0KICA8RW50cmllcz4NCiAgICA8RW50cnk+DQogICAgICA8SWQ+NWM3ZWY4NjItNmQ5YS00NGQyLTk3ZWEtOTI3Y2ZhNTlhY2Y1PC9JZD4NCiAgICAgIDxSZWZlcmVuY2VJZD4zZTAwY2RiOC1mZTc5LTQ2NGYtOTRlMy1kYzkwNWM1OWMzMmM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hiKTwvVGV4dD4NCiAgICA8L1RleHRVbml0Pg0KICA8L1RleHRVbml0cz4NCjwvUGxhY2Vob2xkZXI+</w:instrText>
            </w:r>
            <w:r w:rsidRPr="00410EFF">
              <w:rPr>
                <w:rFonts w:cs="Arial"/>
                <w:sz w:val="18"/>
                <w:szCs w:val="18"/>
              </w:rPr>
              <w:fldChar w:fldCharType="separate"/>
            </w:r>
            <w:bookmarkStart w:id="1399" w:name="_CTVP00178faa8fe4fb7401d8c767c12e08883d5"/>
            <w:r w:rsidRPr="00410EFF">
              <w:rPr>
                <w:rFonts w:cs="Arial"/>
                <w:sz w:val="18"/>
                <w:szCs w:val="18"/>
              </w:rPr>
              <w:t>(2018b)</w:t>
            </w:r>
            <w:bookmarkEnd w:id="1399"/>
            <w:r w:rsidRPr="00410EFF">
              <w:rPr>
                <w:rFonts w:cs="Arial"/>
                <w:sz w:val="18"/>
                <w:szCs w:val="18"/>
              </w:rPr>
              <w:fldChar w:fldCharType="end"/>
            </w:r>
          </w:p>
        </w:tc>
      </w:tr>
      <w:tr w:rsidR="00285EF0" w:rsidRPr="00BE211F" w14:paraId="44E38DC1"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3B40969B" w14:textId="77777777" w:rsidR="00285EF0" w:rsidRPr="00BE211F" w:rsidRDefault="00285EF0" w:rsidP="00285EF0">
            <w:pPr>
              <w:rPr>
                <w:rFonts w:cs="Arial"/>
                <w:b w:val="0"/>
                <w:sz w:val="18"/>
                <w:szCs w:val="18"/>
              </w:rPr>
            </w:pPr>
            <w:r w:rsidRPr="00BE211F">
              <w:rPr>
                <w:rFonts w:cs="Arial"/>
                <w:b w:val="0"/>
                <w:color w:val="000000" w:themeColor="text1"/>
                <w:sz w:val="18"/>
                <w:szCs w:val="18"/>
              </w:rPr>
              <w:t>Rockmelon</w:t>
            </w:r>
          </w:p>
        </w:tc>
        <w:tc>
          <w:tcPr>
            <w:tcW w:w="1764" w:type="dxa"/>
          </w:tcPr>
          <w:p w14:paraId="37DE97C5"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iCs/>
                <w:color w:val="000000"/>
                <w:sz w:val="18"/>
                <w:szCs w:val="18"/>
              </w:rPr>
            </w:pPr>
            <w:r w:rsidRPr="00BE211F">
              <w:rPr>
                <w:rFonts w:cs="Arial"/>
                <w:i/>
                <w:iCs/>
                <w:sz w:val="18"/>
                <w:szCs w:val="18"/>
              </w:rPr>
              <w:t>L. monocytogenes</w:t>
            </w:r>
          </w:p>
        </w:tc>
        <w:tc>
          <w:tcPr>
            <w:tcW w:w="1309" w:type="dxa"/>
          </w:tcPr>
          <w:p w14:paraId="717123C6" w14:textId="77777777" w:rsidR="00285EF0" w:rsidRPr="00410EF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410EFF">
              <w:rPr>
                <w:rFonts w:cs="Arial"/>
                <w:sz w:val="18"/>
                <w:szCs w:val="18"/>
              </w:rPr>
              <w:t>ON</w:t>
            </w:r>
          </w:p>
        </w:tc>
        <w:tc>
          <w:tcPr>
            <w:tcW w:w="1165" w:type="dxa"/>
          </w:tcPr>
          <w:p w14:paraId="1C766083" w14:textId="77777777" w:rsidR="00285EF0" w:rsidRPr="00410EF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410EFF">
              <w:rPr>
                <w:rFonts w:cs="Arial"/>
                <w:sz w:val="18"/>
                <w:szCs w:val="18"/>
              </w:rPr>
              <w:t>7.6</w:t>
            </w:r>
          </w:p>
        </w:tc>
        <w:tc>
          <w:tcPr>
            <w:tcW w:w="2562" w:type="dxa"/>
          </w:tcPr>
          <w:p w14:paraId="0461458E"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sz w:val="18"/>
                <w:szCs w:val="18"/>
              </w:rPr>
              <w:t>45ppm</w:t>
            </w:r>
          </w:p>
        </w:tc>
        <w:tc>
          <w:tcPr>
            <w:tcW w:w="1162" w:type="dxa"/>
          </w:tcPr>
          <w:p w14:paraId="22B60266"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25551">
              <w:rPr>
                <w:rFonts w:cs="Arial"/>
                <w:sz w:val="18"/>
                <w:szCs w:val="18"/>
              </w:rPr>
              <w:t>5</w:t>
            </w:r>
          </w:p>
        </w:tc>
        <w:tc>
          <w:tcPr>
            <w:tcW w:w="1229" w:type="dxa"/>
          </w:tcPr>
          <w:p w14:paraId="3B86C42B"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sz w:val="18"/>
                <w:szCs w:val="18"/>
              </w:rPr>
              <w:t>3.0</w:t>
            </w:r>
          </w:p>
        </w:tc>
        <w:tc>
          <w:tcPr>
            <w:tcW w:w="2851" w:type="dxa"/>
          </w:tcPr>
          <w:p w14:paraId="3C20798B" w14:textId="77777777" w:rsidR="00285EF0" w:rsidRPr="00410EF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410EFF">
              <w:rPr>
                <w:rFonts w:cs="Arial"/>
                <w:sz w:val="18"/>
                <w:szCs w:val="18"/>
              </w:rPr>
              <w:fldChar w:fldCharType="begin"/>
            </w:r>
            <w:r w:rsidRPr="00410EFF">
              <w:rPr>
                <w:rFonts w:cs="Arial"/>
                <w:sz w:val="18"/>
                <w:szCs w:val="18"/>
              </w:rPr>
              <w:instrText>ADDIN CITAVI.PLACEHOLDER 524d5f0b-b496-40ef-b662-5454febdae33 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pbmdoIGV0IGFsLjwvVGV4dD4NCiAgICA8L1RleHRVbml0Pg0KICA8L1RleHRVbml0cz4NCjwvUGxhY2Vob2xkZXI+</w:instrText>
            </w:r>
            <w:r w:rsidRPr="00410EFF">
              <w:rPr>
                <w:rFonts w:cs="Arial"/>
                <w:sz w:val="18"/>
                <w:szCs w:val="18"/>
              </w:rPr>
              <w:fldChar w:fldCharType="separate"/>
            </w:r>
            <w:bookmarkStart w:id="1400" w:name="_CTVP001524d5f0bb49640efb6625454febdae33"/>
            <w:r w:rsidRPr="00410EFF">
              <w:rPr>
                <w:rFonts w:cs="Arial"/>
                <w:sz w:val="18"/>
                <w:szCs w:val="18"/>
              </w:rPr>
              <w:t>Singh et al.</w:t>
            </w:r>
            <w:bookmarkEnd w:id="1400"/>
            <w:r w:rsidRPr="00410EFF">
              <w:rPr>
                <w:rFonts w:cs="Arial"/>
                <w:sz w:val="18"/>
                <w:szCs w:val="18"/>
              </w:rPr>
              <w:fldChar w:fldCharType="end"/>
            </w:r>
            <w:r w:rsidRPr="00410EFF">
              <w:rPr>
                <w:rFonts w:cs="Arial"/>
                <w:sz w:val="18"/>
                <w:szCs w:val="18"/>
              </w:rPr>
              <w:t xml:space="preserve"> </w:t>
            </w:r>
            <w:r w:rsidRPr="00410EFF">
              <w:rPr>
                <w:rFonts w:cs="Arial"/>
                <w:sz w:val="18"/>
                <w:szCs w:val="18"/>
              </w:rPr>
              <w:fldChar w:fldCharType="begin"/>
            </w:r>
            <w:r w:rsidRPr="00410EFF">
              <w:rPr>
                <w:rFonts w:cs="Arial"/>
                <w:sz w:val="18"/>
                <w:szCs w:val="18"/>
              </w:rPr>
              <w:instrText>ADDIN CITAVI.PLACEHOLDER 0cd863bb-3a60-4a39-9d37-9e865d1902c0 PFBsYWNlaG9sZGVyPg0KICA8QWRkSW5WZXJzaW9uPjUuNS4wLjE8L0FkZEluVmVyc2lvbj4NCiAgPElkPjBjZDg2M2JiLTNhNjAtNGEzOS05ZDM3LTllODY1ZDE5MDJjMDwvSWQ+DQogIDxBc3NvY2lhdGVXaXRoUGxhY2Vob2xkZXJJZD40NzE4NGI5Yy1mZTgyLTQ4NDgtYjBmNi1hOWQ2YmM3NDAyZGQ8L0Fzc29jaWF0ZVdpdGhQbGFjZWhvbGRlcklkPg0KICA8RW50cmllcz4NCiAgICA8RW50cnk+DQogICAgICA8SWQ+NWM3ZWY4NjItNmQ5YS00NGQyLTk3ZWEtOTI3Y2ZhNTlhY2Y1PC9JZD4NCiAgICAgIDxSZWZlcmVuY2VJZD4zZTAwY2RiOC1mZTc5LTQ2NGYtOTRlMy1kYzkwNWM1OWMzMmM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hiKTwvVGV4dD4NCiAgICA8L1RleHRVbml0Pg0KICA8L1RleHRVbml0cz4NCjwvUGxhY2Vob2xkZXI+</w:instrText>
            </w:r>
            <w:r w:rsidRPr="00410EFF">
              <w:rPr>
                <w:rFonts w:cs="Arial"/>
                <w:sz w:val="18"/>
                <w:szCs w:val="18"/>
              </w:rPr>
              <w:fldChar w:fldCharType="separate"/>
            </w:r>
            <w:bookmarkStart w:id="1401" w:name="_CTVP0010cd863bb3a604a399d379e865d1902c0"/>
            <w:r w:rsidRPr="00410EFF">
              <w:rPr>
                <w:rFonts w:cs="Arial"/>
                <w:sz w:val="18"/>
                <w:szCs w:val="18"/>
              </w:rPr>
              <w:t>(2018b)</w:t>
            </w:r>
            <w:bookmarkEnd w:id="1401"/>
            <w:r w:rsidRPr="00410EFF">
              <w:rPr>
                <w:rFonts w:cs="Arial"/>
                <w:sz w:val="18"/>
                <w:szCs w:val="18"/>
              </w:rPr>
              <w:fldChar w:fldCharType="end"/>
            </w:r>
          </w:p>
        </w:tc>
      </w:tr>
      <w:tr w:rsidR="00285EF0" w:rsidRPr="00BE211F" w14:paraId="54CCF41E"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68C21128" w14:textId="77777777" w:rsidR="00285EF0" w:rsidRPr="00BE211F" w:rsidRDefault="00285EF0" w:rsidP="00285EF0">
            <w:pPr>
              <w:rPr>
                <w:rFonts w:cs="Arial"/>
                <w:b w:val="0"/>
                <w:sz w:val="18"/>
                <w:szCs w:val="18"/>
              </w:rPr>
            </w:pPr>
            <w:r w:rsidRPr="00BE211F">
              <w:rPr>
                <w:rFonts w:cs="Arial"/>
                <w:b w:val="0"/>
                <w:color w:val="000000" w:themeColor="text1"/>
                <w:sz w:val="18"/>
                <w:szCs w:val="18"/>
              </w:rPr>
              <w:t>Rockmelon</w:t>
            </w:r>
          </w:p>
        </w:tc>
        <w:tc>
          <w:tcPr>
            <w:tcW w:w="1764" w:type="dxa"/>
          </w:tcPr>
          <w:p w14:paraId="781928E2"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i/>
                <w:iCs/>
                <w:sz w:val="18"/>
                <w:szCs w:val="18"/>
              </w:rPr>
              <w:t>L. monocytogenes</w:t>
            </w:r>
          </w:p>
        </w:tc>
        <w:tc>
          <w:tcPr>
            <w:tcW w:w="1309" w:type="dxa"/>
          </w:tcPr>
          <w:p w14:paraId="784261E1" w14:textId="77777777" w:rsidR="00285EF0" w:rsidRPr="00410EF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410EFF">
              <w:rPr>
                <w:rFonts w:cs="Arial"/>
                <w:sz w:val="18"/>
                <w:szCs w:val="18"/>
              </w:rPr>
              <w:t>ON</w:t>
            </w:r>
          </w:p>
        </w:tc>
        <w:tc>
          <w:tcPr>
            <w:tcW w:w="1165" w:type="dxa"/>
          </w:tcPr>
          <w:p w14:paraId="25B1F7A4" w14:textId="77777777" w:rsidR="00285EF0" w:rsidRPr="00410EF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410EFF">
              <w:rPr>
                <w:rFonts w:cs="Arial"/>
                <w:sz w:val="18"/>
                <w:szCs w:val="18"/>
              </w:rPr>
              <w:t>7.6</w:t>
            </w:r>
          </w:p>
        </w:tc>
        <w:tc>
          <w:tcPr>
            <w:tcW w:w="2562" w:type="dxa"/>
          </w:tcPr>
          <w:p w14:paraId="37760EA5"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t>100ppm</w:t>
            </w:r>
          </w:p>
        </w:tc>
        <w:tc>
          <w:tcPr>
            <w:tcW w:w="1162" w:type="dxa"/>
          </w:tcPr>
          <w:p w14:paraId="471C8F08"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25551">
              <w:rPr>
                <w:rFonts w:cs="Arial"/>
                <w:sz w:val="18"/>
                <w:szCs w:val="18"/>
              </w:rPr>
              <w:t>5</w:t>
            </w:r>
          </w:p>
        </w:tc>
        <w:tc>
          <w:tcPr>
            <w:tcW w:w="1229" w:type="dxa"/>
          </w:tcPr>
          <w:p w14:paraId="2DA7FD80"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t>4.5</w:t>
            </w:r>
          </w:p>
        </w:tc>
        <w:tc>
          <w:tcPr>
            <w:tcW w:w="2851" w:type="dxa"/>
          </w:tcPr>
          <w:p w14:paraId="20B4D7F1" w14:textId="77777777" w:rsidR="00285EF0" w:rsidRPr="00410EF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410EFF">
              <w:rPr>
                <w:rFonts w:cs="Arial"/>
                <w:sz w:val="18"/>
                <w:szCs w:val="18"/>
              </w:rPr>
              <w:fldChar w:fldCharType="begin"/>
            </w:r>
            <w:r w:rsidRPr="00410EFF">
              <w:rPr>
                <w:rFonts w:cs="Arial"/>
                <w:sz w:val="18"/>
                <w:szCs w:val="18"/>
              </w:rPr>
              <w:instrText>ADDIN CITAVI.PLACEHOLDER 83664241-0ea7-4480-af8e-a35e781928c2 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pbmdoIGV0IGFsLjwvVGV4dD4NCiAgICA8L1RleHRVbml0Pg0KICA8L1RleHRVbml0cz4NCjwvUGxhY2Vob2xkZXI+</w:instrText>
            </w:r>
            <w:r w:rsidRPr="00410EFF">
              <w:rPr>
                <w:rFonts w:cs="Arial"/>
                <w:sz w:val="18"/>
                <w:szCs w:val="18"/>
              </w:rPr>
              <w:fldChar w:fldCharType="separate"/>
            </w:r>
            <w:bookmarkStart w:id="1402" w:name="_CTVP001836642410ea74480af8ea35e781928c2"/>
            <w:r w:rsidRPr="00410EFF">
              <w:rPr>
                <w:rFonts w:cs="Arial"/>
                <w:sz w:val="18"/>
                <w:szCs w:val="18"/>
              </w:rPr>
              <w:t>Singh et al.</w:t>
            </w:r>
            <w:bookmarkEnd w:id="1402"/>
            <w:r w:rsidRPr="00410EFF">
              <w:rPr>
                <w:rFonts w:cs="Arial"/>
                <w:sz w:val="18"/>
                <w:szCs w:val="18"/>
              </w:rPr>
              <w:fldChar w:fldCharType="end"/>
            </w:r>
            <w:r w:rsidRPr="00410EFF">
              <w:rPr>
                <w:rFonts w:cs="Arial"/>
                <w:sz w:val="18"/>
                <w:szCs w:val="18"/>
              </w:rPr>
              <w:t xml:space="preserve"> </w:t>
            </w:r>
            <w:r w:rsidRPr="00410EFF">
              <w:rPr>
                <w:rFonts w:cs="Arial"/>
                <w:sz w:val="18"/>
                <w:szCs w:val="18"/>
              </w:rPr>
              <w:fldChar w:fldCharType="begin"/>
            </w:r>
            <w:r w:rsidRPr="00410EFF">
              <w:rPr>
                <w:rFonts w:cs="Arial"/>
                <w:sz w:val="18"/>
                <w:szCs w:val="18"/>
              </w:rPr>
              <w:instrText>ADDIN CITAVI.PLACEHOLDER fd27613d-fd30-420a-b09e-829d4e86b9d7 PFBsYWNlaG9sZGVyPg0KICA8QWRkSW5WZXJzaW9uPjUuNS4wLjE8L0FkZEluVmVyc2lvbj4NCiAgPElkPmZkMjc2MTNkLWZkMzAtNDIwYS1iMDllLTgyOWQ0ZTg2YjlkNzwvSWQ+DQogIDxBc3NvY2lhdGVXaXRoUGxhY2Vob2xkZXJJZD40NzE4NGI5Yy1mZTgyLTQ4NDgtYjBmNi1hOWQ2YmM3NDAyZGQ8L0Fzc29jaWF0ZVdpdGhQbGFjZWhvbGRlcklkPg0KICA8RW50cmllcz4NCiAgICA8RW50cnk+DQogICAgICA8SWQ+NWM3ZWY4NjItNmQ5YS00NGQyLTk3ZWEtOTI3Y2ZhNTlhY2Y1PC9JZD4NCiAgICAgIDxSZWZlcmVuY2VJZD4zZTAwY2RiOC1mZTc5LTQ2NGYtOTRlMy1kYzkwNWM1OWMzMmM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hiKTwvVGV4dD4NCiAgICA8L1RleHRVbml0Pg0KICA8L1RleHRVbml0cz4NCjwvUGxhY2Vob2xkZXI+</w:instrText>
            </w:r>
            <w:r w:rsidRPr="00410EFF">
              <w:rPr>
                <w:rFonts w:cs="Arial"/>
                <w:sz w:val="18"/>
                <w:szCs w:val="18"/>
              </w:rPr>
              <w:fldChar w:fldCharType="separate"/>
            </w:r>
            <w:bookmarkStart w:id="1403" w:name="_CTVP001fd27613dfd30420ab09e829d4e86b9d7"/>
            <w:r w:rsidRPr="00410EFF">
              <w:rPr>
                <w:rFonts w:cs="Arial"/>
                <w:sz w:val="18"/>
                <w:szCs w:val="18"/>
              </w:rPr>
              <w:t>(2018b)</w:t>
            </w:r>
            <w:bookmarkEnd w:id="1403"/>
            <w:r w:rsidRPr="00410EFF">
              <w:rPr>
                <w:rFonts w:cs="Arial"/>
                <w:sz w:val="18"/>
                <w:szCs w:val="18"/>
              </w:rPr>
              <w:fldChar w:fldCharType="end"/>
            </w:r>
          </w:p>
        </w:tc>
      </w:tr>
      <w:tr w:rsidR="00285EF0" w:rsidRPr="00BE211F" w14:paraId="1B98FF71"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55BE0C3F" w14:textId="77777777" w:rsidR="00285EF0" w:rsidRPr="00BE211F" w:rsidRDefault="00285EF0" w:rsidP="00285EF0">
            <w:pPr>
              <w:rPr>
                <w:rFonts w:cs="Arial"/>
                <w:b w:val="0"/>
                <w:sz w:val="18"/>
                <w:szCs w:val="18"/>
              </w:rPr>
            </w:pPr>
            <w:r w:rsidRPr="00BE211F">
              <w:rPr>
                <w:rFonts w:cs="Arial"/>
                <w:b w:val="0"/>
                <w:color w:val="000000" w:themeColor="text1"/>
                <w:sz w:val="18"/>
                <w:szCs w:val="18"/>
              </w:rPr>
              <w:t>Rockmelon</w:t>
            </w:r>
          </w:p>
        </w:tc>
        <w:tc>
          <w:tcPr>
            <w:tcW w:w="1764" w:type="dxa"/>
          </w:tcPr>
          <w:p w14:paraId="76E8B58F"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i/>
                <w:iCs/>
                <w:sz w:val="18"/>
                <w:szCs w:val="18"/>
              </w:rPr>
              <w:t>S. Typhimurium </w:t>
            </w:r>
          </w:p>
        </w:tc>
        <w:tc>
          <w:tcPr>
            <w:tcW w:w="1309" w:type="dxa"/>
          </w:tcPr>
          <w:p w14:paraId="588A25A2" w14:textId="77777777" w:rsidR="00285EF0" w:rsidRPr="00410EF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410EFF">
              <w:rPr>
                <w:rFonts w:cs="Arial"/>
                <w:sz w:val="18"/>
                <w:szCs w:val="18"/>
              </w:rPr>
              <w:t>ON</w:t>
            </w:r>
          </w:p>
        </w:tc>
        <w:tc>
          <w:tcPr>
            <w:tcW w:w="1165" w:type="dxa"/>
          </w:tcPr>
          <w:p w14:paraId="46D2AD44" w14:textId="77777777" w:rsidR="00285EF0" w:rsidRPr="00410EF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410EFF">
              <w:rPr>
                <w:rFonts w:cs="Arial"/>
                <w:sz w:val="18"/>
                <w:szCs w:val="18"/>
              </w:rPr>
              <w:t>6.6</w:t>
            </w:r>
          </w:p>
        </w:tc>
        <w:tc>
          <w:tcPr>
            <w:tcW w:w="2562" w:type="dxa"/>
          </w:tcPr>
          <w:p w14:paraId="1B4DD562"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sz w:val="18"/>
                <w:szCs w:val="18"/>
              </w:rPr>
              <w:t>100ppm</w:t>
            </w:r>
          </w:p>
        </w:tc>
        <w:tc>
          <w:tcPr>
            <w:tcW w:w="1162" w:type="dxa"/>
          </w:tcPr>
          <w:p w14:paraId="13FFD59D"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25551">
              <w:rPr>
                <w:rFonts w:cs="Arial"/>
                <w:sz w:val="18"/>
                <w:szCs w:val="18"/>
              </w:rPr>
              <w:t>5</w:t>
            </w:r>
          </w:p>
        </w:tc>
        <w:tc>
          <w:tcPr>
            <w:tcW w:w="1229" w:type="dxa"/>
          </w:tcPr>
          <w:p w14:paraId="58B2A6AD"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sz w:val="18"/>
                <w:szCs w:val="18"/>
              </w:rPr>
              <w:t>4.5</w:t>
            </w:r>
          </w:p>
        </w:tc>
        <w:tc>
          <w:tcPr>
            <w:tcW w:w="2851" w:type="dxa"/>
          </w:tcPr>
          <w:p w14:paraId="58B10EFE" w14:textId="77777777" w:rsidR="00285EF0" w:rsidRPr="00410EF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410EFF">
              <w:rPr>
                <w:rFonts w:cs="Arial"/>
                <w:sz w:val="18"/>
                <w:szCs w:val="18"/>
              </w:rPr>
              <w:fldChar w:fldCharType="begin"/>
            </w:r>
            <w:r w:rsidRPr="00410EFF">
              <w:rPr>
                <w:rFonts w:cs="Arial"/>
                <w:sz w:val="18"/>
                <w:szCs w:val="18"/>
              </w:rPr>
              <w:instrText>ADDIN CITAVI.PLACEHOLDER 980b1dbb-d587-4b10-95ce-196be762c89d 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pbmdoIGV0IGFsLjwvVGV4dD4NCiAgICA8L1RleHRVbml0Pg0KICA8L1RleHRVbml0cz4NCjwvUGxhY2Vob2xkZXI+</w:instrText>
            </w:r>
            <w:r w:rsidRPr="00410EFF">
              <w:rPr>
                <w:rFonts w:cs="Arial"/>
                <w:sz w:val="18"/>
                <w:szCs w:val="18"/>
              </w:rPr>
              <w:fldChar w:fldCharType="separate"/>
            </w:r>
            <w:bookmarkStart w:id="1404" w:name="_CTVP001980b1dbbd5874b1095ce196be762c89d"/>
            <w:r w:rsidRPr="00410EFF">
              <w:rPr>
                <w:rFonts w:cs="Arial"/>
                <w:sz w:val="18"/>
                <w:szCs w:val="18"/>
              </w:rPr>
              <w:t>Singh et al.</w:t>
            </w:r>
            <w:bookmarkEnd w:id="1404"/>
            <w:r w:rsidRPr="00410EFF">
              <w:rPr>
                <w:rFonts w:cs="Arial"/>
                <w:sz w:val="18"/>
                <w:szCs w:val="18"/>
              </w:rPr>
              <w:fldChar w:fldCharType="end"/>
            </w:r>
            <w:r w:rsidRPr="00410EFF">
              <w:rPr>
                <w:rFonts w:cs="Arial"/>
                <w:sz w:val="18"/>
                <w:szCs w:val="18"/>
              </w:rPr>
              <w:t xml:space="preserve"> </w:t>
            </w:r>
            <w:r w:rsidRPr="00410EFF">
              <w:rPr>
                <w:rFonts w:cs="Arial"/>
                <w:sz w:val="18"/>
                <w:szCs w:val="18"/>
              </w:rPr>
              <w:fldChar w:fldCharType="begin"/>
            </w:r>
            <w:r w:rsidRPr="00410EFF">
              <w:rPr>
                <w:rFonts w:cs="Arial"/>
                <w:sz w:val="18"/>
                <w:szCs w:val="18"/>
              </w:rPr>
              <w:instrText>ADDIN CITAVI.PLACEHOLDER 38492890-9e44-414b-829a-1bf9aa7303fe PFBsYWNlaG9sZGVyPg0KICA8QWRkSW5WZXJzaW9uPjUuNS4wLjE8L0FkZEluVmVyc2lvbj4NCiAgPElkPjM4NDkyODkwLTllNDQtNDE0Yi04MjlhLTFiZjlhYTczMDNmZTwvSWQ+DQogIDxBc3NvY2lhdGVXaXRoUGxhY2Vob2xkZXJJZD40NzE4NGI5Yy1mZTgyLTQ4NDgtYjBmNi1hOWQ2YmM3NDAyZGQ8L0Fzc29jaWF0ZVdpdGhQbGFjZWhvbGRlcklkPg0KICA8RW50cmllcz4NCiAgICA8RW50cnk+DQogICAgICA8SWQ+NWM3ZWY4NjItNmQ5YS00NGQyLTk3ZWEtOTI3Y2ZhNTlhY2Y1PC9JZD4NCiAgICAgIDxSZWZlcmVuY2VJZD4zZTAwY2RiOC1mZTc5LTQ2NGYtOTRlMy1kYzkwNWM1OWMzMmM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hiKTwvVGV4dD4NCiAgICA8L1RleHRVbml0Pg0KICA8L1RleHRVbml0cz4NCjwvUGxhY2Vob2xkZXI+</w:instrText>
            </w:r>
            <w:r w:rsidRPr="00410EFF">
              <w:rPr>
                <w:rFonts w:cs="Arial"/>
                <w:sz w:val="18"/>
                <w:szCs w:val="18"/>
              </w:rPr>
              <w:fldChar w:fldCharType="separate"/>
            </w:r>
            <w:bookmarkStart w:id="1405" w:name="_CTVP001384928909e44414b829a1bf9aa7303fe"/>
            <w:r w:rsidRPr="00410EFF">
              <w:rPr>
                <w:rFonts w:cs="Arial"/>
                <w:sz w:val="18"/>
                <w:szCs w:val="18"/>
              </w:rPr>
              <w:t>(2018b)</w:t>
            </w:r>
            <w:bookmarkEnd w:id="1405"/>
            <w:r w:rsidRPr="00410EFF">
              <w:rPr>
                <w:rFonts w:cs="Arial"/>
                <w:sz w:val="18"/>
                <w:szCs w:val="18"/>
              </w:rPr>
              <w:fldChar w:fldCharType="end"/>
            </w:r>
          </w:p>
        </w:tc>
      </w:tr>
      <w:tr w:rsidR="00285EF0" w:rsidRPr="00BE211F" w14:paraId="49296A8F"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578C4B5F" w14:textId="77777777" w:rsidR="00285EF0" w:rsidRPr="00BE211F" w:rsidRDefault="00285EF0" w:rsidP="00285EF0">
            <w:pPr>
              <w:rPr>
                <w:rFonts w:cs="Arial"/>
                <w:b w:val="0"/>
                <w:sz w:val="18"/>
                <w:szCs w:val="18"/>
              </w:rPr>
            </w:pPr>
            <w:r w:rsidRPr="00BE211F">
              <w:rPr>
                <w:rFonts w:cs="Arial"/>
                <w:b w:val="0"/>
                <w:color w:val="000000" w:themeColor="text1"/>
                <w:sz w:val="18"/>
                <w:szCs w:val="18"/>
              </w:rPr>
              <w:t>Rockmelon</w:t>
            </w:r>
          </w:p>
        </w:tc>
        <w:tc>
          <w:tcPr>
            <w:tcW w:w="1764" w:type="dxa"/>
          </w:tcPr>
          <w:p w14:paraId="3C3453A1"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i/>
                <w:iCs/>
                <w:sz w:val="18"/>
                <w:szCs w:val="18"/>
              </w:rPr>
              <w:t>S. Typhimurium </w:t>
            </w:r>
          </w:p>
        </w:tc>
        <w:tc>
          <w:tcPr>
            <w:tcW w:w="1309" w:type="dxa"/>
          </w:tcPr>
          <w:p w14:paraId="3E791258" w14:textId="77777777" w:rsidR="00285EF0" w:rsidRPr="00410EF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410EFF">
              <w:rPr>
                <w:rFonts w:cs="Arial"/>
                <w:sz w:val="18"/>
                <w:szCs w:val="18"/>
              </w:rPr>
              <w:t>ON</w:t>
            </w:r>
          </w:p>
        </w:tc>
        <w:tc>
          <w:tcPr>
            <w:tcW w:w="1165" w:type="dxa"/>
          </w:tcPr>
          <w:p w14:paraId="45C17F0D" w14:textId="77777777" w:rsidR="00285EF0" w:rsidRPr="00410EF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410EFF">
              <w:rPr>
                <w:rFonts w:cs="Arial"/>
                <w:sz w:val="18"/>
                <w:szCs w:val="18"/>
              </w:rPr>
              <w:t>6.6</w:t>
            </w:r>
          </w:p>
        </w:tc>
        <w:tc>
          <w:tcPr>
            <w:tcW w:w="2562" w:type="dxa"/>
          </w:tcPr>
          <w:p w14:paraId="2B3401B2"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t>85ppm</w:t>
            </w:r>
          </w:p>
        </w:tc>
        <w:tc>
          <w:tcPr>
            <w:tcW w:w="1162" w:type="dxa"/>
          </w:tcPr>
          <w:p w14:paraId="0531D9B1"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w:t>
            </w:r>
          </w:p>
        </w:tc>
        <w:tc>
          <w:tcPr>
            <w:tcW w:w="1229" w:type="dxa"/>
          </w:tcPr>
          <w:p w14:paraId="64790E7A"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t>4.2</w:t>
            </w:r>
          </w:p>
        </w:tc>
        <w:tc>
          <w:tcPr>
            <w:tcW w:w="2851" w:type="dxa"/>
          </w:tcPr>
          <w:p w14:paraId="132D3A7C" w14:textId="77777777" w:rsidR="00285EF0" w:rsidRPr="00410EF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410EFF">
              <w:rPr>
                <w:rFonts w:cs="Arial"/>
                <w:sz w:val="18"/>
                <w:szCs w:val="18"/>
              </w:rPr>
              <w:fldChar w:fldCharType="begin"/>
            </w:r>
            <w:r w:rsidRPr="00410EFF">
              <w:rPr>
                <w:rFonts w:cs="Arial"/>
                <w:sz w:val="18"/>
                <w:szCs w:val="18"/>
              </w:rPr>
              <w:instrText>ADDIN CITAVI.PLACEHOLDER 5e5df9af-3abf-4ac6-89a0-77ba137c0a70 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pbmdoIGV0IGFsLjwvVGV4dD4NCiAgICA8L1RleHRVbml0Pg0KICA8L1RleHRVbml0cz4NCjwvUGxhY2Vob2xkZXI+</w:instrText>
            </w:r>
            <w:r w:rsidRPr="00410EFF">
              <w:rPr>
                <w:rFonts w:cs="Arial"/>
                <w:sz w:val="18"/>
                <w:szCs w:val="18"/>
              </w:rPr>
              <w:fldChar w:fldCharType="separate"/>
            </w:r>
            <w:bookmarkStart w:id="1406" w:name="_CTVP0015e5df9af3abf4ac689a077ba137c0a70"/>
            <w:r w:rsidRPr="00410EFF">
              <w:rPr>
                <w:rFonts w:cs="Arial"/>
                <w:sz w:val="18"/>
                <w:szCs w:val="18"/>
              </w:rPr>
              <w:t>Singh et al.</w:t>
            </w:r>
            <w:bookmarkEnd w:id="1406"/>
            <w:r w:rsidRPr="00410EFF">
              <w:rPr>
                <w:rFonts w:cs="Arial"/>
                <w:sz w:val="18"/>
                <w:szCs w:val="18"/>
              </w:rPr>
              <w:fldChar w:fldCharType="end"/>
            </w:r>
            <w:r w:rsidRPr="00410EFF">
              <w:rPr>
                <w:rFonts w:cs="Arial"/>
                <w:sz w:val="18"/>
                <w:szCs w:val="18"/>
              </w:rPr>
              <w:t xml:space="preserve"> </w:t>
            </w:r>
            <w:r w:rsidRPr="00410EFF">
              <w:rPr>
                <w:rFonts w:cs="Arial"/>
                <w:sz w:val="18"/>
                <w:szCs w:val="18"/>
              </w:rPr>
              <w:fldChar w:fldCharType="begin"/>
            </w:r>
            <w:r w:rsidRPr="00410EFF">
              <w:rPr>
                <w:rFonts w:cs="Arial"/>
                <w:sz w:val="18"/>
                <w:szCs w:val="18"/>
              </w:rPr>
              <w:instrText>ADDIN CITAVI.PLACEHOLDER 316e66b8-029e-4009-b49d-c4079e4ccf66 PFBsYWNlaG9sZGVyPg0KICA8QWRkSW5WZXJzaW9uPjUuNS4wLjE8L0FkZEluVmVyc2lvbj4NCiAgPElkPjMxNmU2NmI4LTAyOWUtNDAwOS1iNDlkLWM0MDc5ZTRjY2Y2NjwvSWQ+DQogIDxBc3NvY2lhdGVXaXRoUGxhY2Vob2xkZXJJZD40NzE4NGI5Yy1mZTgyLTQ4NDgtYjBmNi1hOWQ2YmM3NDAyZGQ8L0Fzc29jaWF0ZVdpdGhQbGFjZWhvbGRlcklkPg0KICA8RW50cmllcz4NCiAgICA8RW50cnk+DQogICAgICA8SWQ+NWM3ZWY4NjItNmQ5YS00NGQyLTk3ZWEtOTI3Y2ZhNTlhY2Y1PC9JZD4NCiAgICAgIDxSZWZlcmVuY2VJZD4zZTAwY2RiOC1mZTc5LTQ2NGYtOTRlMy1kYzkwNWM1OWMzMmM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hiKTwvVGV4dD4NCiAgICA8L1RleHRVbml0Pg0KICA8L1RleHRVbml0cz4NCjwvUGxhY2Vob2xkZXI+</w:instrText>
            </w:r>
            <w:r w:rsidRPr="00410EFF">
              <w:rPr>
                <w:rFonts w:cs="Arial"/>
                <w:sz w:val="18"/>
                <w:szCs w:val="18"/>
              </w:rPr>
              <w:fldChar w:fldCharType="separate"/>
            </w:r>
            <w:bookmarkStart w:id="1407" w:name="_CTVP001316e66b8029e4009b49dc4079e4ccf66"/>
            <w:r w:rsidRPr="00410EFF">
              <w:rPr>
                <w:rFonts w:cs="Arial"/>
                <w:sz w:val="18"/>
                <w:szCs w:val="18"/>
              </w:rPr>
              <w:t>(2018b)</w:t>
            </w:r>
            <w:bookmarkEnd w:id="1407"/>
            <w:r w:rsidRPr="00410EFF">
              <w:rPr>
                <w:rFonts w:cs="Arial"/>
                <w:sz w:val="18"/>
                <w:szCs w:val="18"/>
              </w:rPr>
              <w:fldChar w:fldCharType="end"/>
            </w:r>
          </w:p>
        </w:tc>
      </w:tr>
      <w:tr w:rsidR="00285EF0" w:rsidRPr="00BE211F" w14:paraId="0D0E05D9"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54E9BCAD" w14:textId="77777777" w:rsidR="00285EF0" w:rsidRPr="00BE211F" w:rsidRDefault="00285EF0" w:rsidP="00285EF0">
            <w:pPr>
              <w:rPr>
                <w:rFonts w:cs="Arial"/>
                <w:b w:val="0"/>
                <w:sz w:val="18"/>
                <w:szCs w:val="18"/>
              </w:rPr>
            </w:pPr>
            <w:r w:rsidRPr="00BE211F">
              <w:rPr>
                <w:rFonts w:cs="Arial"/>
                <w:b w:val="0"/>
                <w:color w:val="000000" w:themeColor="text1"/>
                <w:sz w:val="18"/>
                <w:szCs w:val="18"/>
              </w:rPr>
              <w:t>Rockmelon</w:t>
            </w:r>
          </w:p>
        </w:tc>
        <w:tc>
          <w:tcPr>
            <w:tcW w:w="1764" w:type="dxa"/>
          </w:tcPr>
          <w:p w14:paraId="25F812B0"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BE211F">
              <w:rPr>
                <w:rFonts w:cs="Arial"/>
                <w:i/>
                <w:iCs/>
                <w:sz w:val="18"/>
                <w:szCs w:val="18"/>
              </w:rPr>
              <w:t>S. Typhimurium </w:t>
            </w:r>
          </w:p>
        </w:tc>
        <w:tc>
          <w:tcPr>
            <w:tcW w:w="1309" w:type="dxa"/>
          </w:tcPr>
          <w:p w14:paraId="38F1BB9C" w14:textId="77777777" w:rsidR="00285EF0" w:rsidRPr="00410EF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410EFF">
              <w:rPr>
                <w:rFonts w:cs="Arial"/>
                <w:sz w:val="18"/>
                <w:szCs w:val="18"/>
              </w:rPr>
              <w:t>ON</w:t>
            </w:r>
          </w:p>
        </w:tc>
        <w:tc>
          <w:tcPr>
            <w:tcW w:w="1165" w:type="dxa"/>
          </w:tcPr>
          <w:p w14:paraId="2CB72910" w14:textId="77777777" w:rsidR="00285EF0" w:rsidRPr="00410EF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410EFF">
              <w:rPr>
                <w:rFonts w:cs="Arial"/>
                <w:sz w:val="18"/>
                <w:szCs w:val="18"/>
              </w:rPr>
              <w:t>6.6</w:t>
            </w:r>
          </w:p>
        </w:tc>
        <w:tc>
          <w:tcPr>
            <w:tcW w:w="2562" w:type="dxa"/>
          </w:tcPr>
          <w:p w14:paraId="09AF190B" w14:textId="77777777" w:rsidR="00285EF0" w:rsidRPr="00BE211F"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sz w:val="18"/>
                <w:szCs w:val="18"/>
              </w:rPr>
              <w:t>45ppm</w:t>
            </w:r>
          </w:p>
        </w:tc>
        <w:tc>
          <w:tcPr>
            <w:tcW w:w="1162" w:type="dxa"/>
          </w:tcPr>
          <w:p w14:paraId="1D606063"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c>
          <w:tcPr>
            <w:tcW w:w="1229" w:type="dxa"/>
          </w:tcPr>
          <w:p w14:paraId="155E81F2" w14:textId="77777777" w:rsidR="00285EF0" w:rsidRPr="00BE211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sz w:val="18"/>
                <w:szCs w:val="18"/>
              </w:rPr>
              <w:t>3.6</w:t>
            </w:r>
          </w:p>
        </w:tc>
        <w:tc>
          <w:tcPr>
            <w:tcW w:w="2851" w:type="dxa"/>
          </w:tcPr>
          <w:p w14:paraId="65ABDB6E" w14:textId="77777777" w:rsidR="00285EF0" w:rsidRPr="00410EFF"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410EFF">
              <w:rPr>
                <w:rFonts w:cs="Arial"/>
                <w:sz w:val="18"/>
                <w:szCs w:val="18"/>
              </w:rPr>
              <w:fldChar w:fldCharType="begin"/>
            </w:r>
            <w:r w:rsidRPr="00410EFF">
              <w:rPr>
                <w:rFonts w:cs="Arial"/>
                <w:sz w:val="18"/>
                <w:szCs w:val="18"/>
              </w:rPr>
              <w:instrText>ADDIN CITAVI.PLACEHOLDER c4bbeb37-737c-414d-8e9b-a90bde4a8b0e 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pbmdoIGV0IGFsLjwvVGV4dD4NCiAgICA8L1RleHRVbml0Pg0KICA8L1RleHRVbml0cz4NCjwvUGxhY2Vob2xkZXI+</w:instrText>
            </w:r>
            <w:r w:rsidRPr="00410EFF">
              <w:rPr>
                <w:rFonts w:cs="Arial"/>
                <w:sz w:val="18"/>
                <w:szCs w:val="18"/>
              </w:rPr>
              <w:fldChar w:fldCharType="separate"/>
            </w:r>
            <w:bookmarkStart w:id="1408" w:name="_CTVP001c4bbeb37737c414d8e9ba90bde4a8b0e"/>
            <w:r w:rsidRPr="00410EFF">
              <w:rPr>
                <w:rFonts w:cs="Arial"/>
                <w:sz w:val="18"/>
                <w:szCs w:val="18"/>
              </w:rPr>
              <w:t>Singh et al.</w:t>
            </w:r>
            <w:bookmarkEnd w:id="1408"/>
            <w:r w:rsidRPr="00410EFF">
              <w:rPr>
                <w:rFonts w:cs="Arial"/>
                <w:sz w:val="18"/>
                <w:szCs w:val="18"/>
              </w:rPr>
              <w:fldChar w:fldCharType="end"/>
            </w:r>
            <w:r w:rsidRPr="00410EFF">
              <w:rPr>
                <w:rFonts w:cs="Arial"/>
                <w:sz w:val="18"/>
                <w:szCs w:val="18"/>
              </w:rPr>
              <w:t xml:space="preserve"> </w:t>
            </w:r>
            <w:r w:rsidRPr="00410EFF">
              <w:rPr>
                <w:rFonts w:cs="Arial"/>
                <w:sz w:val="18"/>
                <w:szCs w:val="18"/>
              </w:rPr>
              <w:fldChar w:fldCharType="begin"/>
            </w:r>
            <w:r w:rsidRPr="00410EFF">
              <w:rPr>
                <w:rFonts w:cs="Arial"/>
                <w:sz w:val="18"/>
                <w:szCs w:val="18"/>
              </w:rPr>
              <w:instrText>ADDIN CITAVI.PLACEHOLDER 4d87f67b-7102-4448-871a-507396bf9899 PFBsYWNlaG9sZGVyPg0KICA8QWRkSW5WZXJzaW9uPjUuNS4wLjE8L0FkZEluVmVyc2lvbj4NCiAgPElkPjRkODdmNjdiLTcxMDItNDQ0OC04NzFhLTUwNzM5NmJmOTg5OTwvSWQ+DQogIDxBc3NvY2lhdGVXaXRoUGxhY2Vob2xkZXJJZD40NzE4NGI5Yy1mZTgyLTQ4NDgtYjBmNi1hOWQ2YmM3NDAyZGQ8L0Fzc29jaWF0ZVdpdGhQbGFjZWhvbGRlcklkPg0KICA8RW50cmllcz4NCiAgICA8RW50cnk+DQogICAgICA8SWQ+NWM3ZWY4NjItNmQ5YS00NGQyLTk3ZWEtOTI3Y2ZhNTlhY2Y1PC9JZD4NCiAgICAgIDxSZWZlcmVuY2VJZD4zZTAwY2RiOC1mZTc5LTQ2NGYtOTRlMy1kYzkwNWM1OWMzMmM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hiKTwvVGV4dD4NCiAgICA8L1RleHRVbml0Pg0KICA8L1RleHRVbml0cz4NCjwvUGxhY2Vob2xkZXI+</w:instrText>
            </w:r>
            <w:r w:rsidRPr="00410EFF">
              <w:rPr>
                <w:rFonts w:cs="Arial"/>
                <w:sz w:val="18"/>
                <w:szCs w:val="18"/>
              </w:rPr>
              <w:fldChar w:fldCharType="separate"/>
            </w:r>
            <w:bookmarkStart w:id="1409" w:name="_CTVP0014d87f67b71024448871a507396bf9899"/>
            <w:r w:rsidRPr="00410EFF">
              <w:rPr>
                <w:rFonts w:cs="Arial"/>
                <w:sz w:val="18"/>
                <w:szCs w:val="18"/>
              </w:rPr>
              <w:t>(2018b)</w:t>
            </w:r>
            <w:bookmarkEnd w:id="1409"/>
            <w:r w:rsidRPr="00410EFF">
              <w:rPr>
                <w:rFonts w:cs="Arial"/>
                <w:sz w:val="18"/>
                <w:szCs w:val="18"/>
              </w:rPr>
              <w:fldChar w:fldCharType="end"/>
            </w:r>
          </w:p>
        </w:tc>
      </w:tr>
      <w:tr w:rsidR="00285EF0" w:rsidRPr="00BE211F" w14:paraId="5B8D7F2C"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6E03051C" w14:textId="77777777" w:rsidR="00285EF0" w:rsidRPr="00BE211F" w:rsidRDefault="00285EF0" w:rsidP="00285EF0">
            <w:pPr>
              <w:rPr>
                <w:rFonts w:cs="Arial"/>
                <w:b w:val="0"/>
                <w:sz w:val="18"/>
                <w:szCs w:val="18"/>
              </w:rPr>
            </w:pPr>
            <w:r w:rsidRPr="00BE211F">
              <w:rPr>
                <w:rFonts w:cs="Arial"/>
                <w:b w:val="0"/>
                <w:color w:val="000000" w:themeColor="text1"/>
                <w:sz w:val="18"/>
                <w:szCs w:val="18"/>
              </w:rPr>
              <w:t>Rockmelon</w:t>
            </w:r>
          </w:p>
        </w:tc>
        <w:tc>
          <w:tcPr>
            <w:tcW w:w="1764" w:type="dxa"/>
          </w:tcPr>
          <w:p w14:paraId="04E7F49E" w14:textId="77777777" w:rsidR="00285EF0" w:rsidRPr="00EC7F3C"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i/>
                <w:iCs/>
                <w:sz w:val="18"/>
                <w:szCs w:val="18"/>
              </w:rPr>
              <w:t>Salmonella</w:t>
            </w:r>
            <w:r>
              <w:rPr>
                <w:rFonts w:cs="Arial"/>
                <w:i/>
                <w:iCs/>
                <w:sz w:val="18"/>
                <w:szCs w:val="18"/>
              </w:rPr>
              <w:t xml:space="preserve"> </w:t>
            </w:r>
            <w:r>
              <w:rPr>
                <w:rFonts w:cs="Arial"/>
                <w:iCs/>
                <w:sz w:val="18"/>
                <w:szCs w:val="18"/>
              </w:rPr>
              <w:t>spp.</w:t>
            </w:r>
          </w:p>
        </w:tc>
        <w:tc>
          <w:tcPr>
            <w:tcW w:w="1309" w:type="dxa"/>
          </w:tcPr>
          <w:p w14:paraId="51A0052C" w14:textId="77777777" w:rsidR="00285EF0" w:rsidRPr="00410EF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410EFF">
              <w:rPr>
                <w:rFonts w:cs="Arial"/>
                <w:sz w:val="18"/>
                <w:szCs w:val="18"/>
              </w:rPr>
              <w:t>76h</w:t>
            </w:r>
          </w:p>
        </w:tc>
        <w:tc>
          <w:tcPr>
            <w:tcW w:w="1165" w:type="dxa"/>
          </w:tcPr>
          <w:p w14:paraId="02F35689" w14:textId="77777777" w:rsidR="00285EF0" w:rsidRPr="00410EF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410EFF">
              <w:rPr>
                <w:rFonts w:cs="Arial"/>
                <w:sz w:val="18"/>
                <w:szCs w:val="18"/>
              </w:rPr>
              <w:t>3.5</w:t>
            </w:r>
          </w:p>
        </w:tc>
        <w:tc>
          <w:tcPr>
            <w:tcW w:w="2562" w:type="dxa"/>
          </w:tcPr>
          <w:p w14:paraId="4C4B6850" w14:textId="77777777" w:rsidR="00285EF0" w:rsidRPr="00BE211F"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t>30ppm</w:t>
            </w:r>
          </w:p>
        </w:tc>
        <w:tc>
          <w:tcPr>
            <w:tcW w:w="1162" w:type="dxa"/>
          </w:tcPr>
          <w:p w14:paraId="03ED94CB"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t>1 s</w:t>
            </w:r>
          </w:p>
        </w:tc>
        <w:tc>
          <w:tcPr>
            <w:tcW w:w="1229" w:type="dxa"/>
          </w:tcPr>
          <w:p w14:paraId="4C71DE0D" w14:textId="77777777" w:rsidR="00285EF0" w:rsidRPr="00BE211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sz w:val="18"/>
                <w:szCs w:val="18"/>
              </w:rPr>
              <w:t>2.1</w:t>
            </w:r>
          </w:p>
        </w:tc>
        <w:tc>
          <w:tcPr>
            <w:tcW w:w="2851" w:type="dxa"/>
          </w:tcPr>
          <w:p w14:paraId="47607C4D" w14:textId="77777777" w:rsidR="00285EF0" w:rsidRPr="00410EFF"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410EFF">
              <w:rPr>
                <w:rFonts w:cs="Arial"/>
                <w:sz w:val="18"/>
                <w:szCs w:val="18"/>
              </w:rPr>
              <w:t>Suslow and Callejas (2015)</w:t>
            </w:r>
          </w:p>
        </w:tc>
      </w:tr>
      <w:tr w:rsidR="00285EF0" w:rsidRPr="00BE211F" w14:paraId="55EA6D9A"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5E5495B9" w14:textId="77777777" w:rsidR="00285EF0" w:rsidRPr="007B134A" w:rsidRDefault="00285EF0" w:rsidP="00285EF0">
            <w:pPr>
              <w:rPr>
                <w:rFonts w:cs="Arial"/>
                <w:b w:val="0"/>
                <w:sz w:val="18"/>
                <w:szCs w:val="18"/>
              </w:rPr>
            </w:pPr>
            <w:r w:rsidRPr="007B134A">
              <w:rPr>
                <w:rFonts w:cs="Arial"/>
                <w:b w:val="0"/>
                <w:sz w:val="18"/>
                <w:szCs w:val="18"/>
              </w:rPr>
              <w:t>Lettuce</w:t>
            </w:r>
          </w:p>
        </w:tc>
        <w:tc>
          <w:tcPr>
            <w:tcW w:w="1764" w:type="dxa"/>
            <w:vAlign w:val="center"/>
          </w:tcPr>
          <w:p w14:paraId="6E00B2C5" w14:textId="77777777" w:rsidR="00285EF0" w:rsidRPr="007B134A" w:rsidRDefault="00285EF0" w:rsidP="00285EF0">
            <w:pPr>
              <w:cnfStyle w:val="000000100000" w:firstRow="0" w:lastRow="0" w:firstColumn="0" w:lastColumn="0" w:oddVBand="0" w:evenVBand="0" w:oddHBand="1" w:evenHBand="0" w:firstRowFirstColumn="0" w:firstRowLastColumn="0" w:lastRowFirstColumn="0" w:lastRowLastColumn="0"/>
              <w:rPr>
                <w:rFonts w:cs="Arial"/>
                <w:i/>
                <w:sz w:val="18"/>
                <w:szCs w:val="18"/>
              </w:rPr>
            </w:pPr>
            <w:r w:rsidRPr="007B134A">
              <w:rPr>
                <w:rFonts w:cs="Arial"/>
                <w:i/>
                <w:iCs/>
                <w:sz w:val="18"/>
                <w:szCs w:val="18"/>
              </w:rPr>
              <w:t>E. coli</w:t>
            </w:r>
            <w:r w:rsidRPr="007B134A">
              <w:rPr>
                <w:rFonts w:cs="Arial"/>
                <w:sz w:val="18"/>
                <w:szCs w:val="18"/>
              </w:rPr>
              <w:t xml:space="preserve"> O157:H7</w:t>
            </w:r>
          </w:p>
        </w:tc>
        <w:tc>
          <w:tcPr>
            <w:tcW w:w="1309" w:type="dxa"/>
            <w:vAlign w:val="center"/>
          </w:tcPr>
          <w:p w14:paraId="2BD7243B" w14:textId="77777777" w:rsidR="00285EF0" w:rsidRPr="00410EF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10EFF">
              <w:rPr>
                <w:rFonts w:cs="Arial"/>
                <w:sz w:val="18"/>
                <w:szCs w:val="18"/>
              </w:rPr>
              <w:t>24h</w:t>
            </w:r>
          </w:p>
        </w:tc>
        <w:tc>
          <w:tcPr>
            <w:tcW w:w="1165" w:type="dxa"/>
            <w:vAlign w:val="center"/>
          </w:tcPr>
          <w:p w14:paraId="7795BE3A" w14:textId="77777777" w:rsidR="00285EF0" w:rsidRPr="00410EF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10EFF">
              <w:rPr>
                <w:rFonts w:cs="Arial"/>
                <w:sz w:val="18"/>
                <w:szCs w:val="18"/>
              </w:rPr>
              <w:sym w:font="Symbol" w:char="F07E"/>
            </w:r>
            <w:r w:rsidRPr="00410EFF">
              <w:rPr>
                <w:rFonts w:cs="Arial"/>
                <w:sz w:val="18"/>
                <w:szCs w:val="18"/>
              </w:rPr>
              <w:sym w:font="Symbol" w:char="F036"/>
            </w:r>
            <w:r w:rsidRPr="00410EFF">
              <w:rPr>
                <w:rFonts w:cs="Arial"/>
                <w:sz w:val="18"/>
                <w:szCs w:val="18"/>
              </w:rPr>
              <w:sym w:font="Symbol" w:char="F02E"/>
            </w:r>
            <w:r w:rsidRPr="00410EFF">
              <w:rPr>
                <w:rFonts w:cs="Arial"/>
                <w:sz w:val="18"/>
                <w:szCs w:val="18"/>
              </w:rPr>
              <w:sym w:font="Symbol" w:char="F030"/>
            </w:r>
          </w:p>
        </w:tc>
        <w:tc>
          <w:tcPr>
            <w:tcW w:w="2562" w:type="dxa"/>
            <w:vAlign w:val="center"/>
          </w:tcPr>
          <w:p w14:paraId="46AFAC42" w14:textId="77777777" w:rsidR="00285EF0" w:rsidRPr="007B134A"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50ppm</w:t>
            </w:r>
          </w:p>
        </w:tc>
        <w:tc>
          <w:tcPr>
            <w:tcW w:w="1162" w:type="dxa"/>
            <w:vAlign w:val="center"/>
          </w:tcPr>
          <w:p w14:paraId="5C703D1C" w14:textId="77777777" w:rsidR="00285EF0" w:rsidRPr="007B134A"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1.5</w:t>
            </w:r>
          </w:p>
        </w:tc>
        <w:tc>
          <w:tcPr>
            <w:tcW w:w="1229" w:type="dxa"/>
            <w:vAlign w:val="center"/>
          </w:tcPr>
          <w:p w14:paraId="58E552E8" w14:textId="77777777" w:rsidR="00285EF0" w:rsidRPr="007B134A"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1.7</w:t>
            </w:r>
          </w:p>
        </w:tc>
        <w:tc>
          <w:tcPr>
            <w:tcW w:w="2851" w:type="dxa"/>
            <w:vAlign w:val="center"/>
          </w:tcPr>
          <w:p w14:paraId="70AA7228" w14:textId="77777777" w:rsidR="00285EF0" w:rsidRPr="007B134A"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Davidson et al. (2017)</w:t>
            </w:r>
          </w:p>
        </w:tc>
      </w:tr>
      <w:tr w:rsidR="00285EF0" w:rsidRPr="00BE211F" w14:paraId="53A8E33F"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1D7B9D91" w14:textId="77777777" w:rsidR="00285EF0" w:rsidRPr="007B134A" w:rsidRDefault="00285EF0" w:rsidP="00285EF0">
            <w:pPr>
              <w:rPr>
                <w:rFonts w:cs="Arial"/>
                <w:b w:val="0"/>
                <w:sz w:val="18"/>
                <w:szCs w:val="18"/>
              </w:rPr>
            </w:pPr>
            <w:r w:rsidRPr="007B134A">
              <w:rPr>
                <w:rFonts w:cs="Arial"/>
                <w:b w:val="0"/>
                <w:sz w:val="18"/>
                <w:szCs w:val="18"/>
              </w:rPr>
              <w:t>Lettuce</w:t>
            </w:r>
          </w:p>
        </w:tc>
        <w:tc>
          <w:tcPr>
            <w:tcW w:w="1764" w:type="dxa"/>
            <w:vAlign w:val="center"/>
          </w:tcPr>
          <w:p w14:paraId="2A587761" w14:textId="77777777" w:rsidR="00285EF0" w:rsidRPr="007B134A"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i/>
                <w:iCs/>
                <w:sz w:val="18"/>
                <w:szCs w:val="18"/>
              </w:rPr>
              <w:t xml:space="preserve">E. coli </w:t>
            </w:r>
            <w:r w:rsidRPr="007B134A">
              <w:rPr>
                <w:rFonts w:cs="Arial"/>
                <w:sz w:val="18"/>
                <w:szCs w:val="18"/>
              </w:rPr>
              <w:t>O157:H7</w:t>
            </w:r>
          </w:p>
        </w:tc>
        <w:tc>
          <w:tcPr>
            <w:tcW w:w="1309" w:type="dxa"/>
            <w:vAlign w:val="center"/>
          </w:tcPr>
          <w:p w14:paraId="1EE88474" w14:textId="77777777" w:rsidR="00285EF0" w:rsidRPr="00410EF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10EFF">
              <w:rPr>
                <w:rFonts w:cs="Arial"/>
                <w:sz w:val="18"/>
                <w:szCs w:val="18"/>
              </w:rPr>
              <w:t>0.5 - 1h</w:t>
            </w:r>
          </w:p>
        </w:tc>
        <w:tc>
          <w:tcPr>
            <w:tcW w:w="1165" w:type="dxa"/>
            <w:vAlign w:val="center"/>
          </w:tcPr>
          <w:p w14:paraId="592E232A" w14:textId="77777777" w:rsidR="00285EF0" w:rsidRPr="00410EF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10EFF">
              <w:rPr>
                <w:rFonts w:cs="Arial"/>
                <w:sz w:val="18"/>
                <w:szCs w:val="18"/>
              </w:rPr>
              <w:sym w:font="Symbol" w:char="F07E"/>
            </w:r>
            <w:r w:rsidRPr="00410EFF">
              <w:rPr>
                <w:rFonts w:cs="Arial"/>
                <w:sz w:val="18"/>
                <w:szCs w:val="18"/>
              </w:rPr>
              <w:sym w:font="Symbol" w:char="F033"/>
            </w:r>
            <w:r w:rsidRPr="00410EFF">
              <w:rPr>
                <w:rFonts w:cs="Arial"/>
                <w:sz w:val="18"/>
                <w:szCs w:val="18"/>
              </w:rPr>
              <w:sym w:font="Symbol" w:char="F02E"/>
            </w:r>
            <w:r w:rsidRPr="00410EFF">
              <w:rPr>
                <w:rFonts w:cs="Arial"/>
                <w:sz w:val="18"/>
                <w:szCs w:val="18"/>
              </w:rPr>
              <w:sym w:font="Symbol" w:char="F030"/>
            </w:r>
          </w:p>
        </w:tc>
        <w:tc>
          <w:tcPr>
            <w:tcW w:w="2562" w:type="dxa"/>
            <w:vAlign w:val="center"/>
          </w:tcPr>
          <w:p w14:paraId="5A07F7F8" w14:textId="77777777" w:rsidR="00285EF0" w:rsidRPr="007B134A"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t>40ppm + Lactic Acid (1143 mg/L)</w:t>
            </w:r>
          </w:p>
        </w:tc>
        <w:tc>
          <w:tcPr>
            <w:tcW w:w="1162" w:type="dxa"/>
            <w:vAlign w:val="center"/>
          </w:tcPr>
          <w:p w14:paraId="7EC0CCA4" w14:textId="77777777" w:rsidR="00285EF0" w:rsidRPr="007B134A"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w:t>
            </w:r>
          </w:p>
        </w:tc>
        <w:tc>
          <w:tcPr>
            <w:tcW w:w="1229" w:type="dxa"/>
            <w:vAlign w:val="center"/>
          </w:tcPr>
          <w:p w14:paraId="4577B0D4" w14:textId="77777777" w:rsidR="00285EF0" w:rsidRPr="007B134A"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t>&lt; 0.5</w:t>
            </w:r>
          </w:p>
        </w:tc>
        <w:tc>
          <w:tcPr>
            <w:tcW w:w="2851" w:type="dxa"/>
            <w:vAlign w:val="center"/>
          </w:tcPr>
          <w:p w14:paraId="1BC79B98" w14:textId="77777777" w:rsidR="00285EF0" w:rsidRPr="007B134A"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t>van der Linden et al. (2016)</w:t>
            </w:r>
          </w:p>
        </w:tc>
      </w:tr>
      <w:tr w:rsidR="00285EF0" w:rsidRPr="00BE211F" w14:paraId="4BE76B5F"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1122B73D" w14:textId="77777777" w:rsidR="00285EF0" w:rsidRPr="007B134A" w:rsidRDefault="00285EF0" w:rsidP="00285EF0">
            <w:pPr>
              <w:rPr>
                <w:rFonts w:cs="Arial"/>
                <w:b w:val="0"/>
                <w:sz w:val="18"/>
                <w:szCs w:val="18"/>
              </w:rPr>
            </w:pPr>
            <w:r w:rsidRPr="007B134A">
              <w:rPr>
                <w:rFonts w:cs="Arial"/>
                <w:b w:val="0"/>
                <w:sz w:val="18"/>
                <w:szCs w:val="18"/>
              </w:rPr>
              <w:t xml:space="preserve">Lettuce </w:t>
            </w:r>
          </w:p>
        </w:tc>
        <w:tc>
          <w:tcPr>
            <w:tcW w:w="1764" w:type="dxa"/>
            <w:vAlign w:val="center"/>
          </w:tcPr>
          <w:p w14:paraId="7BDC6058" w14:textId="77777777" w:rsidR="00285EF0" w:rsidRPr="007B134A" w:rsidRDefault="00285EF0" w:rsidP="00285EF0">
            <w:pPr>
              <w:cnfStyle w:val="000000100000" w:firstRow="0" w:lastRow="0" w:firstColumn="0" w:lastColumn="0" w:oddVBand="0" w:evenVBand="0" w:oddHBand="1" w:evenHBand="0" w:firstRowFirstColumn="0" w:firstRowLastColumn="0" w:lastRowFirstColumn="0" w:lastRowLastColumn="0"/>
              <w:rPr>
                <w:rFonts w:cs="Arial"/>
                <w:i/>
                <w:iCs/>
                <w:sz w:val="18"/>
                <w:szCs w:val="18"/>
              </w:rPr>
            </w:pPr>
            <w:r w:rsidRPr="007B134A">
              <w:rPr>
                <w:rFonts w:cs="Arial"/>
                <w:i/>
                <w:iCs/>
                <w:sz w:val="18"/>
                <w:szCs w:val="18"/>
              </w:rPr>
              <w:t>E. coli</w:t>
            </w:r>
            <w:r w:rsidRPr="007B134A">
              <w:rPr>
                <w:rFonts w:cs="Arial"/>
                <w:sz w:val="18"/>
                <w:szCs w:val="18"/>
              </w:rPr>
              <w:t xml:space="preserve"> O157:H7</w:t>
            </w:r>
          </w:p>
        </w:tc>
        <w:tc>
          <w:tcPr>
            <w:tcW w:w="1309" w:type="dxa"/>
            <w:vAlign w:val="center"/>
          </w:tcPr>
          <w:p w14:paraId="50691138" w14:textId="77777777" w:rsidR="00285EF0" w:rsidRPr="00410EF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10EFF">
              <w:rPr>
                <w:rFonts w:cs="Arial"/>
                <w:sz w:val="18"/>
                <w:szCs w:val="18"/>
              </w:rPr>
              <w:t>ON</w:t>
            </w:r>
          </w:p>
        </w:tc>
        <w:tc>
          <w:tcPr>
            <w:tcW w:w="1165" w:type="dxa"/>
            <w:vAlign w:val="center"/>
          </w:tcPr>
          <w:p w14:paraId="69C677EB" w14:textId="77777777" w:rsidR="00285EF0" w:rsidRPr="00410EF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10EFF">
              <w:rPr>
                <w:rFonts w:cs="Arial"/>
                <w:sz w:val="18"/>
                <w:szCs w:val="18"/>
              </w:rPr>
              <w:t>6.9</w:t>
            </w:r>
          </w:p>
        </w:tc>
        <w:tc>
          <w:tcPr>
            <w:tcW w:w="2562" w:type="dxa"/>
            <w:vAlign w:val="center"/>
          </w:tcPr>
          <w:p w14:paraId="7DF365C2" w14:textId="77777777" w:rsidR="00285EF0" w:rsidRPr="007B134A"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45 – 100ppm</w:t>
            </w:r>
          </w:p>
        </w:tc>
        <w:tc>
          <w:tcPr>
            <w:tcW w:w="1162" w:type="dxa"/>
            <w:vAlign w:val="center"/>
          </w:tcPr>
          <w:p w14:paraId="7D93B92F" w14:textId="77777777" w:rsidR="00285EF0"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5</w:t>
            </w:r>
          </w:p>
        </w:tc>
        <w:tc>
          <w:tcPr>
            <w:tcW w:w="1229" w:type="dxa"/>
            <w:vAlign w:val="center"/>
          </w:tcPr>
          <w:p w14:paraId="27344E11" w14:textId="77777777" w:rsidR="00285EF0" w:rsidRPr="007B134A"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1.8 -</w:t>
            </w:r>
            <w:r w:rsidRPr="007B134A">
              <w:rPr>
                <w:rFonts w:cs="Arial"/>
                <w:sz w:val="18"/>
                <w:szCs w:val="18"/>
              </w:rPr>
              <w:t xml:space="preserve"> 2.2</w:t>
            </w:r>
          </w:p>
        </w:tc>
        <w:tc>
          <w:tcPr>
            <w:tcW w:w="2851" w:type="dxa"/>
            <w:vAlign w:val="center"/>
          </w:tcPr>
          <w:p w14:paraId="1CA39DBF" w14:textId="77777777" w:rsidR="00285EF0" w:rsidRPr="007B134A"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Singh et al. (2018b)</w:t>
            </w:r>
          </w:p>
        </w:tc>
      </w:tr>
      <w:tr w:rsidR="00285EF0" w:rsidRPr="00BE211F" w14:paraId="289D9DF1"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080F0431" w14:textId="77777777" w:rsidR="00285EF0" w:rsidRDefault="00285EF0" w:rsidP="00285EF0">
            <w:pPr>
              <w:rPr>
                <w:rFonts w:cs="Arial"/>
                <w:b w:val="0"/>
                <w:sz w:val="18"/>
                <w:szCs w:val="18"/>
              </w:rPr>
            </w:pPr>
            <w:r w:rsidRPr="007B134A">
              <w:rPr>
                <w:rFonts w:cs="Arial"/>
                <w:b w:val="0"/>
                <w:sz w:val="18"/>
                <w:szCs w:val="18"/>
              </w:rPr>
              <w:t xml:space="preserve">Lettuce </w:t>
            </w:r>
          </w:p>
        </w:tc>
        <w:tc>
          <w:tcPr>
            <w:tcW w:w="1764" w:type="dxa"/>
            <w:vAlign w:val="center"/>
          </w:tcPr>
          <w:p w14:paraId="432075C3" w14:textId="77777777" w:rsidR="00285EF0" w:rsidRPr="007B134A" w:rsidRDefault="00285EF0" w:rsidP="00285EF0">
            <w:pP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7B134A">
              <w:rPr>
                <w:rFonts w:cs="Arial"/>
                <w:i/>
                <w:iCs/>
                <w:sz w:val="18"/>
                <w:szCs w:val="18"/>
              </w:rPr>
              <w:t>L. monocytogenes</w:t>
            </w:r>
          </w:p>
        </w:tc>
        <w:tc>
          <w:tcPr>
            <w:tcW w:w="1309" w:type="dxa"/>
            <w:vAlign w:val="center"/>
          </w:tcPr>
          <w:p w14:paraId="4F5288E3" w14:textId="77777777" w:rsidR="00285EF0" w:rsidRPr="00410EF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10EFF">
              <w:rPr>
                <w:rFonts w:cs="Arial"/>
                <w:sz w:val="18"/>
                <w:szCs w:val="18"/>
              </w:rPr>
              <w:t>ON</w:t>
            </w:r>
          </w:p>
        </w:tc>
        <w:tc>
          <w:tcPr>
            <w:tcW w:w="1165" w:type="dxa"/>
            <w:vAlign w:val="center"/>
          </w:tcPr>
          <w:p w14:paraId="2C5A5E82" w14:textId="77777777" w:rsidR="00285EF0" w:rsidRPr="00410EF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10EFF">
              <w:rPr>
                <w:rFonts w:cs="Arial"/>
                <w:sz w:val="18"/>
                <w:szCs w:val="18"/>
              </w:rPr>
              <w:t>7.7</w:t>
            </w:r>
          </w:p>
        </w:tc>
        <w:tc>
          <w:tcPr>
            <w:tcW w:w="2562" w:type="dxa"/>
            <w:vAlign w:val="center"/>
          </w:tcPr>
          <w:p w14:paraId="21E8663D" w14:textId="77777777" w:rsidR="00285EF0" w:rsidRPr="007B134A"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t>45 – 100ppm</w:t>
            </w:r>
          </w:p>
        </w:tc>
        <w:tc>
          <w:tcPr>
            <w:tcW w:w="1162" w:type="dxa"/>
            <w:vAlign w:val="center"/>
          </w:tcPr>
          <w:p w14:paraId="6BA6F0CC" w14:textId="77777777" w:rsidR="00285EF0" w:rsidRPr="007B134A"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t>5</w:t>
            </w:r>
          </w:p>
        </w:tc>
        <w:tc>
          <w:tcPr>
            <w:tcW w:w="1229" w:type="dxa"/>
            <w:vAlign w:val="center"/>
          </w:tcPr>
          <w:p w14:paraId="7E70BC9D" w14:textId="77777777" w:rsidR="00285EF0" w:rsidRPr="007B134A"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2.0 -</w:t>
            </w:r>
            <w:r w:rsidRPr="007B134A">
              <w:rPr>
                <w:rFonts w:cs="Arial"/>
                <w:sz w:val="18"/>
                <w:szCs w:val="18"/>
              </w:rPr>
              <w:t xml:space="preserve"> 2.4</w:t>
            </w:r>
          </w:p>
        </w:tc>
        <w:tc>
          <w:tcPr>
            <w:tcW w:w="2851" w:type="dxa"/>
            <w:vAlign w:val="center"/>
          </w:tcPr>
          <w:p w14:paraId="4600D2A3" w14:textId="77777777" w:rsidR="00285EF0" w:rsidRPr="007B134A"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t>Singh et al. (2018b)</w:t>
            </w:r>
          </w:p>
        </w:tc>
      </w:tr>
      <w:tr w:rsidR="00285EF0" w:rsidRPr="00BE211F" w14:paraId="3B3C442D"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41C10184" w14:textId="77777777" w:rsidR="00285EF0" w:rsidRPr="007B134A" w:rsidRDefault="00285EF0" w:rsidP="00285EF0">
            <w:pPr>
              <w:rPr>
                <w:rFonts w:cs="Arial"/>
                <w:b w:val="0"/>
                <w:sz w:val="18"/>
                <w:szCs w:val="18"/>
              </w:rPr>
            </w:pPr>
            <w:r w:rsidRPr="007B134A">
              <w:rPr>
                <w:rFonts w:cs="Arial"/>
                <w:b w:val="0"/>
                <w:sz w:val="18"/>
                <w:szCs w:val="18"/>
              </w:rPr>
              <w:t>Lettuce</w:t>
            </w:r>
          </w:p>
        </w:tc>
        <w:tc>
          <w:tcPr>
            <w:tcW w:w="1764" w:type="dxa"/>
            <w:vAlign w:val="center"/>
          </w:tcPr>
          <w:p w14:paraId="2463EC10" w14:textId="77777777" w:rsidR="00285EF0" w:rsidRPr="007B134A"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i/>
                <w:iCs/>
                <w:sz w:val="18"/>
                <w:szCs w:val="18"/>
              </w:rPr>
              <w:t>S</w:t>
            </w:r>
            <w:r w:rsidRPr="007B134A">
              <w:rPr>
                <w:rFonts w:cs="Arial"/>
                <w:sz w:val="18"/>
                <w:szCs w:val="18"/>
              </w:rPr>
              <w:t>. Typhimurium</w:t>
            </w:r>
          </w:p>
        </w:tc>
        <w:tc>
          <w:tcPr>
            <w:tcW w:w="1309" w:type="dxa"/>
            <w:vAlign w:val="center"/>
          </w:tcPr>
          <w:p w14:paraId="2863E3C0" w14:textId="77777777" w:rsidR="00285EF0" w:rsidRPr="00410EF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10EFF">
              <w:rPr>
                <w:rFonts w:cs="Arial"/>
                <w:sz w:val="18"/>
                <w:szCs w:val="18"/>
              </w:rPr>
              <w:t>0.5 - 1h</w:t>
            </w:r>
          </w:p>
        </w:tc>
        <w:tc>
          <w:tcPr>
            <w:tcW w:w="1165" w:type="dxa"/>
            <w:vAlign w:val="center"/>
          </w:tcPr>
          <w:p w14:paraId="1B251099" w14:textId="77777777" w:rsidR="00285EF0" w:rsidRPr="00410EF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color w:val="000000"/>
                <w:sz w:val="18"/>
                <w:szCs w:val="18"/>
              </w:rPr>
              <w:sym w:font="Symbol" w:char="F07E"/>
            </w:r>
            <w:r>
              <w:rPr>
                <w:rFonts w:cs="Arial"/>
                <w:color w:val="000000"/>
                <w:sz w:val="18"/>
                <w:szCs w:val="18"/>
              </w:rPr>
              <w:t>3</w:t>
            </w:r>
            <w:r w:rsidRPr="00BE211F">
              <w:rPr>
                <w:rFonts w:cs="Arial"/>
                <w:color w:val="000000"/>
                <w:sz w:val="18"/>
                <w:szCs w:val="18"/>
              </w:rPr>
              <w:t>.0</w:t>
            </w:r>
          </w:p>
        </w:tc>
        <w:tc>
          <w:tcPr>
            <w:tcW w:w="2562" w:type="dxa"/>
            <w:vAlign w:val="center"/>
          </w:tcPr>
          <w:p w14:paraId="77FA7ADF" w14:textId="77777777" w:rsidR="00285EF0" w:rsidRPr="007B134A"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40ppm + Lactic Acid (1143 mg/L)</w:t>
            </w:r>
          </w:p>
        </w:tc>
        <w:tc>
          <w:tcPr>
            <w:tcW w:w="1162" w:type="dxa"/>
            <w:vAlign w:val="center"/>
          </w:tcPr>
          <w:p w14:paraId="5F48AD2E" w14:textId="77777777" w:rsidR="00285EF0" w:rsidRPr="007B134A"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c>
          <w:tcPr>
            <w:tcW w:w="1229" w:type="dxa"/>
            <w:vAlign w:val="center"/>
          </w:tcPr>
          <w:p w14:paraId="02289468" w14:textId="77777777" w:rsidR="00285EF0" w:rsidRPr="007B134A"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&lt; 0.5</w:t>
            </w:r>
          </w:p>
        </w:tc>
        <w:tc>
          <w:tcPr>
            <w:tcW w:w="2851" w:type="dxa"/>
            <w:vAlign w:val="center"/>
          </w:tcPr>
          <w:p w14:paraId="69D21353" w14:textId="77777777" w:rsidR="00285EF0" w:rsidRPr="007B134A"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van der Linden et al. (2016)</w:t>
            </w:r>
          </w:p>
        </w:tc>
      </w:tr>
      <w:tr w:rsidR="00285EF0" w:rsidRPr="00BE211F" w14:paraId="52371E56"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121047D8" w14:textId="77777777" w:rsidR="00285EF0" w:rsidRPr="007B134A" w:rsidRDefault="00285EF0" w:rsidP="00285EF0">
            <w:pPr>
              <w:rPr>
                <w:rFonts w:cs="Arial"/>
                <w:b w:val="0"/>
                <w:sz w:val="18"/>
                <w:szCs w:val="18"/>
              </w:rPr>
            </w:pPr>
            <w:r w:rsidRPr="007B134A">
              <w:rPr>
                <w:rFonts w:cs="Arial"/>
                <w:b w:val="0"/>
                <w:sz w:val="18"/>
                <w:szCs w:val="18"/>
              </w:rPr>
              <w:t>Lettuce</w:t>
            </w:r>
          </w:p>
        </w:tc>
        <w:tc>
          <w:tcPr>
            <w:tcW w:w="1764" w:type="dxa"/>
            <w:vAlign w:val="center"/>
          </w:tcPr>
          <w:p w14:paraId="15A0E69D" w14:textId="77777777" w:rsidR="00285EF0" w:rsidRPr="007B134A" w:rsidRDefault="00285EF0" w:rsidP="00285EF0">
            <w:pPr>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i/>
                <w:iCs/>
                <w:sz w:val="18"/>
                <w:szCs w:val="18"/>
              </w:rPr>
              <w:t xml:space="preserve">S. </w:t>
            </w:r>
            <w:r w:rsidRPr="007B134A">
              <w:rPr>
                <w:rFonts w:cs="Arial"/>
                <w:sz w:val="18"/>
                <w:szCs w:val="18"/>
              </w:rPr>
              <w:t>Typhimurium</w:t>
            </w:r>
          </w:p>
        </w:tc>
        <w:tc>
          <w:tcPr>
            <w:tcW w:w="1309" w:type="dxa"/>
            <w:vAlign w:val="center"/>
          </w:tcPr>
          <w:p w14:paraId="58BBD0E7" w14:textId="77777777" w:rsidR="00285EF0" w:rsidRPr="00410EF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0.5</w:t>
            </w:r>
          </w:p>
        </w:tc>
        <w:tc>
          <w:tcPr>
            <w:tcW w:w="1165" w:type="dxa"/>
            <w:vAlign w:val="center"/>
          </w:tcPr>
          <w:p w14:paraId="384A0CC7" w14:textId="77777777" w:rsidR="00285EF0" w:rsidRPr="00410EF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7.5</w:t>
            </w:r>
          </w:p>
        </w:tc>
        <w:tc>
          <w:tcPr>
            <w:tcW w:w="2562" w:type="dxa"/>
            <w:vAlign w:val="center"/>
          </w:tcPr>
          <w:p w14:paraId="0BD9067D" w14:textId="77777777" w:rsidR="00285EF0" w:rsidRPr="007B134A"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50ppm</w:t>
            </w:r>
            <w:r w:rsidRPr="007B134A">
              <w:rPr>
                <w:rFonts w:cs="Arial"/>
                <w:sz w:val="18"/>
                <w:szCs w:val="18"/>
              </w:rPr>
              <w:t> </w:t>
            </w:r>
          </w:p>
        </w:tc>
        <w:tc>
          <w:tcPr>
            <w:tcW w:w="1162" w:type="dxa"/>
            <w:vAlign w:val="center"/>
          </w:tcPr>
          <w:p w14:paraId="1FDA94DF" w14:textId="77777777" w:rsidR="00285EF0" w:rsidRPr="007B134A"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w:t>
            </w:r>
            <w:r w:rsidRPr="007B134A">
              <w:rPr>
                <w:rFonts w:cs="Arial"/>
                <w:sz w:val="18"/>
                <w:szCs w:val="18"/>
              </w:rPr>
              <w:t> </w:t>
            </w:r>
          </w:p>
        </w:tc>
        <w:tc>
          <w:tcPr>
            <w:tcW w:w="1229" w:type="dxa"/>
            <w:vAlign w:val="center"/>
          </w:tcPr>
          <w:p w14:paraId="1F8DEFFA" w14:textId="77777777" w:rsidR="00285EF0" w:rsidRPr="007B134A"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t> </w:t>
            </w:r>
            <w:r>
              <w:rPr>
                <w:rFonts w:cs="Arial"/>
                <w:sz w:val="18"/>
                <w:szCs w:val="18"/>
              </w:rPr>
              <w:t>2.4</w:t>
            </w:r>
          </w:p>
        </w:tc>
        <w:tc>
          <w:tcPr>
            <w:tcW w:w="2851" w:type="dxa"/>
            <w:vAlign w:val="center"/>
          </w:tcPr>
          <w:p w14:paraId="233C0FCE" w14:textId="77777777" w:rsidR="00285EF0" w:rsidRPr="007B134A"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t>Silveira et al. (2018)</w:t>
            </w:r>
          </w:p>
        </w:tc>
      </w:tr>
      <w:tr w:rsidR="00285EF0" w:rsidRPr="00BE211F" w14:paraId="4D5DF357"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2793B48B" w14:textId="77777777" w:rsidR="00285EF0" w:rsidRPr="007B134A" w:rsidRDefault="00285EF0" w:rsidP="00285EF0">
            <w:pPr>
              <w:rPr>
                <w:rFonts w:cs="Arial"/>
                <w:b w:val="0"/>
                <w:sz w:val="18"/>
                <w:szCs w:val="18"/>
              </w:rPr>
            </w:pPr>
            <w:r w:rsidRPr="007B134A">
              <w:rPr>
                <w:rFonts w:cs="Arial"/>
                <w:b w:val="0"/>
                <w:sz w:val="18"/>
                <w:szCs w:val="18"/>
              </w:rPr>
              <w:t xml:space="preserve">Lettuce </w:t>
            </w:r>
          </w:p>
        </w:tc>
        <w:tc>
          <w:tcPr>
            <w:tcW w:w="1764" w:type="dxa"/>
            <w:vAlign w:val="center"/>
          </w:tcPr>
          <w:p w14:paraId="6881F02A" w14:textId="77777777" w:rsidR="00285EF0" w:rsidRPr="007B134A" w:rsidRDefault="00285EF0" w:rsidP="00285EF0">
            <w:pPr>
              <w:cnfStyle w:val="000000100000" w:firstRow="0" w:lastRow="0" w:firstColumn="0" w:lastColumn="0" w:oddVBand="0" w:evenVBand="0" w:oddHBand="1" w:evenHBand="0" w:firstRowFirstColumn="0" w:firstRowLastColumn="0" w:lastRowFirstColumn="0" w:lastRowLastColumn="0"/>
              <w:rPr>
                <w:rFonts w:cs="Arial"/>
                <w:i/>
                <w:sz w:val="18"/>
                <w:szCs w:val="18"/>
              </w:rPr>
            </w:pPr>
            <w:r w:rsidRPr="007B134A">
              <w:rPr>
                <w:rFonts w:cs="Arial"/>
                <w:i/>
                <w:iCs/>
                <w:sz w:val="18"/>
                <w:szCs w:val="18"/>
              </w:rPr>
              <w:t xml:space="preserve">Salmonella </w:t>
            </w:r>
            <w:r w:rsidRPr="007B134A">
              <w:rPr>
                <w:rFonts w:cs="Arial"/>
                <w:sz w:val="18"/>
                <w:szCs w:val="18"/>
              </w:rPr>
              <w:t>spp.</w:t>
            </w:r>
          </w:p>
        </w:tc>
        <w:tc>
          <w:tcPr>
            <w:tcW w:w="1309" w:type="dxa"/>
            <w:vAlign w:val="center"/>
          </w:tcPr>
          <w:p w14:paraId="5BE779E3" w14:textId="77777777" w:rsidR="00285EF0" w:rsidRPr="00410EF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10EFF">
              <w:rPr>
                <w:rFonts w:cs="Arial"/>
                <w:sz w:val="18"/>
                <w:szCs w:val="18"/>
              </w:rPr>
              <w:t>24h</w:t>
            </w:r>
          </w:p>
        </w:tc>
        <w:tc>
          <w:tcPr>
            <w:tcW w:w="1165" w:type="dxa"/>
            <w:vAlign w:val="center"/>
          </w:tcPr>
          <w:p w14:paraId="5A3BD241" w14:textId="77777777" w:rsidR="00285EF0" w:rsidRPr="00410EF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color w:val="000000"/>
                <w:sz w:val="18"/>
                <w:szCs w:val="18"/>
              </w:rPr>
              <w:sym w:font="Symbol" w:char="F07E"/>
            </w:r>
            <w:r>
              <w:rPr>
                <w:rFonts w:cs="Arial"/>
                <w:color w:val="000000"/>
                <w:sz w:val="18"/>
                <w:szCs w:val="18"/>
              </w:rPr>
              <w:t>7</w:t>
            </w:r>
            <w:r w:rsidRPr="00BE211F">
              <w:rPr>
                <w:rFonts w:cs="Arial"/>
                <w:color w:val="000000"/>
                <w:sz w:val="18"/>
                <w:szCs w:val="18"/>
              </w:rPr>
              <w:t>.0</w:t>
            </w:r>
          </w:p>
        </w:tc>
        <w:tc>
          <w:tcPr>
            <w:tcW w:w="2562" w:type="dxa"/>
            <w:vAlign w:val="center"/>
          </w:tcPr>
          <w:p w14:paraId="43FDEAD2" w14:textId="77777777" w:rsidR="00285EF0" w:rsidRPr="007B134A"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40 – 80ppm</w:t>
            </w:r>
          </w:p>
        </w:tc>
        <w:tc>
          <w:tcPr>
            <w:tcW w:w="1162" w:type="dxa"/>
            <w:vAlign w:val="center"/>
          </w:tcPr>
          <w:p w14:paraId="7F2640A5" w14:textId="77777777" w:rsidR="00285EF0" w:rsidRPr="007B134A"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2</w:t>
            </w:r>
          </w:p>
        </w:tc>
        <w:tc>
          <w:tcPr>
            <w:tcW w:w="1229" w:type="dxa"/>
            <w:vAlign w:val="center"/>
          </w:tcPr>
          <w:p w14:paraId="798AE948" w14:textId="77777777" w:rsidR="00285EF0" w:rsidRPr="007B134A"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1.3 – 1.5</w:t>
            </w:r>
          </w:p>
        </w:tc>
        <w:tc>
          <w:tcPr>
            <w:tcW w:w="2851" w:type="dxa"/>
            <w:vAlign w:val="center"/>
          </w:tcPr>
          <w:p w14:paraId="61246C5C" w14:textId="77777777" w:rsidR="00285EF0" w:rsidRPr="007B134A"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Lippman et al. (2020)</w:t>
            </w:r>
          </w:p>
        </w:tc>
      </w:tr>
      <w:tr w:rsidR="00285EF0" w:rsidRPr="00BE211F" w14:paraId="1F0599B2"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284D3C5B" w14:textId="77777777" w:rsidR="00285EF0" w:rsidRPr="007B134A" w:rsidRDefault="00285EF0" w:rsidP="00285EF0">
            <w:pPr>
              <w:rPr>
                <w:rFonts w:cs="Arial"/>
                <w:b w:val="0"/>
                <w:sz w:val="18"/>
                <w:szCs w:val="18"/>
              </w:rPr>
            </w:pPr>
            <w:r w:rsidRPr="007B134A">
              <w:rPr>
                <w:rFonts w:cs="Arial"/>
                <w:b w:val="0"/>
                <w:sz w:val="18"/>
                <w:szCs w:val="18"/>
              </w:rPr>
              <w:t>Spinach</w:t>
            </w:r>
          </w:p>
        </w:tc>
        <w:tc>
          <w:tcPr>
            <w:tcW w:w="1764" w:type="dxa"/>
            <w:vAlign w:val="center"/>
          </w:tcPr>
          <w:p w14:paraId="36112A2E" w14:textId="77777777" w:rsidR="00285EF0" w:rsidRPr="007B134A" w:rsidRDefault="00285EF0" w:rsidP="00285EF0">
            <w:pPr>
              <w:cnfStyle w:val="000000000000" w:firstRow="0" w:lastRow="0" w:firstColumn="0" w:lastColumn="0" w:oddVBand="0" w:evenVBand="0" w:oddHBand="0" w:evenHBand="0" w:firstRowFirstColumn="0" w:firstRowLastColumn="0" w:lastRowFirstColumn="0" w:lastRowLastColumn="0"/>
              <w:rPr>
                <w:rFonts w:cs="Arial"/>
                <w:i/>
                <w:sz w:val="18"/>
                <w:szCs w:val="18"/>
              </w:rPr>
            </w:pPr>
            <w:r w:rsidRPr="007B134A">
              <w:rPr>
                <w:rFonts w:cs="Arial"/>
                <w:i/>
                <w:iCs/>
                <w:sz w:val="18"/>
                <w:szCs w:val="18"/>
              </w:rPr>
              <w:t>E. coli</w:t>
            </w:r>
            <w:r w:rsidRPr="007B134A">
              <w:rPr>
                <w:rFonts w:cs="Arial"/>
                <w:sz w:val="18"/>
                <w:szCs w:val="18"/>
              </w:rPr>
              <w:t xml:space="preserve"> O157:H7</w:t>
            </w:r>
          </w:p>
        </w:tc>
        <w:tc>
          <w:tcPr>
            <w:tcW w:w="1309" w:type="dxa"/>
            <w:vAlign w:val="center"/>
          </w:tcPr>
          <w:p w14:paraId="4B8BE640" w14:textId="77777777" w:rsidR="00285EF0" w:rsidRPr="00410EF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10EFF">
              <w:rPr>
                <w:rFonts w:cs="Arial"/>
                <w:sz w:val="18"/>
                <w:szCs w:val="18"/>
              </w:rPr>
              <w:t>1h</w:t>
            </w:r>
          </w:p>
        </w:tc>
        <w:tc>
          <w:tcPr>
            <w:tcW w:w="1165" w:type="dxa"/>
            <w:vAlign w:val="center"/>
          </w:tcPr>
          <w:p w14:paraId="510D004A" w14:textId="77777777" w:rsidR="00285EF0" w:rsidRPr="00410EFF"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10EFF">
              <w:rPr>
                <w:rFonts w:cs="Arial"/>
                <w:sz w:val="18"/>
                <w:szCs w:val="18"/>
              </w:rPr>
              <w:t>7.1</w:t>
            </w:r>
          </w:p>
        </w:tc>
        <w:tc>
          <w:tcPr>
            <w:tcW w:w="2562" w:type="dxa"/>
            <w:vAlign w:val="center"/>
          </w:tcPr>
          <w:p w14:paraId="7AD0E4F4" w14:textId="77777777" w:rsidR="00285EF0" w:rsidRPr="007B134A"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t>80 ppm</w:t>
            </w:r>
          </w:p>
        </w:tc>
        <w:tc>
          <w:tcPr>
            <w:tcW w:w="1162" w:type="dxa"/>
            <w:vAlign w:val="center"/>
          </w:tcPr>
          <w:p w14:paraId="3AEC6F2F" w14:textId="77777777" w:rsidR="00285EF0" w:rsidRPr="007B134A"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t>2</w:t>
            </w:r>
          </w:p>
        </w:tc>
        <w:tc>
          <w:tcPr>
            <w:tcW w:w="1229" w:type="dxa"/>
            <w:vAlign w:val="center"/>
          </w:tcPr>
          <w:p w14:paraId="1B72325F" w14:textId="77777777" w:rsidR="00285EF0" w:rsidRPr="007B134A"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t>2.2</w:t>
            </w:r>
          </w:p>
        </w:tc>
        <w:tc>
          <w:tcPr>
            <w:tcW w:w="2851" w:type="dxa"/>
            <w:vAlign w:val="center"/>
          </w:tcPr>
          <w:p w14:paraId="07032741" w14:textId="77777777" w:rsidR="00285EF0" w:rsidRPr="007B134A"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t>Zhou et al. (2009)</w:t>
            </w:r>
          </w:p>
        </w:tc>
      </w:tr>
      <w:tr w:rsidR="00285EF0" w:rsidRPr="00BE211F" w14:paraId="124CA4C5"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34E5F42B" w14:textId="77777777" w:rsidR="00285EF0" w:rsidRPr="007B134A" w:rsidRDefault="00285EF0" w:rsidP="00285EF0">
            <w:pPr>
              <w:rPr>
                <w:rFonts w:cs="Arial"/>
                <w:b w:val="0"/>
                <w:sz w:val="18"/>
                <w:szCs w:val="18"/>
              </w:rPr>
            </w:pPr>
            <w:r w:rsidRPr="007B134A">
              <w:rPr>
                <w:rFonts w:cs="Arial"/>
                <w:b w:val="0"/>
                <w:sz w:val="18"/>
                <w:szCs w:val="18"/>
              </w:rPr>
              <w:t xml:space="preserve">Spinach </w:t>
            </w:r>
          </w:p>
        </w:tc>
        <w:tc>
          <w:tcPr>
            <w:tcW w:w="1764" w:type="dxa"/>
            <w:vAlign w:val="center"/>
          </w:tcPr>
          <w:p w14:paraId="74D4D96E" w14:textId="77777777" w:rsidR="00285EF0" w:rsidRPr="007B134A" w:rsidRDefault="00285EF0" w:rsidP="00285EF0">
            <w:pPr>
              <w:cnfStyle w:val="000000100000" w:firstRow="0" w:lastRow="0" w:firstColumn="0" w:lastColumn="0" w:oddVBand="0" w:evenVBand="0" w:oddHBand="1" w:evenHBand="0" w:firstRowFirstColumn="0" w:firstRowLastColumn="0" w:lastRowFirstColumn="0" w:lastRowLastColumn="0"/>
              <w:rPr>
                <w:rFonts w:cs="Arial"/>
                <w:i/>
                <w:sz w:val="18"/>
                <w:szCs w:val="18"/>
              </w:rPr>
            </w:pPr>
            <w:r w:rsidRPr="007B134A">
              <w:rPr>
                <w:rFonts w:cs="Arial"/>
                <w:i/>
                <w:iCs/>
                <w:sz w:val="18"/>
                <w:szCs w:val="18"/>
              </w:rPr>
              <w:t>S</w:t>
            </w:r>
            <w:r w:rsidRPr="007B134A">
              <w:rPr>
                <w:rFonts w:cs="Arial"/>
                <w:sz w:val="18"/>
                <w:szCs w:val="18"/>
              </w:rPr>
              <w:t xml:space="preserve">. Typhimurium </w:t>
            </w:r>
          </w:p>
        </w:tc>
        <w:tc>
          <w:tcPr>
            <w:tcW w:w="1309" w:type="dxa"/>
            <w:vAlign w:val="center"/>
          </w:tcPr>
          <w:p w14:paraId="24A63990" w14:textId="77777777" w:rsidR="00285EF0" w:rsidRPr="00410EF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10EFF">
              <w:rPr>
                <w:rFonts w:cs="Arial"/>
                <w:sz w:val="18"/>
                <w:szCs w:val="18"/>
              </w:rPr>
              <w:t>NR</w:t>
            </w:r>
          </w:p>
        </w:tc>
        <w:tc>
          <w:tcPr>
            <w:tcW w:w="1165" w:type="dxa"/>
            <w:vAlign w:val="center"/>
          </w:tcPr>
          <w:p w14:paraId="17FB12AC" w14:textId="77777777" w:rsidR="00285EF0" w:rsidRPr="00410EFF"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10EFF">
              <w:rPr>
                <w:rFonts w:cs="Arial"/>
                <w:sz w:val="18"/>
                <w:szCs w:val="18"/>
              </w:rPr>
              <w:t>4.9</w:t>
            </w:r>
          </w:p>
        </w:tc>
        <w:tc>
          <w:tcPr>
            <w:tcW w:w="2562" w:type="dxa"/>
            <w:vAlign w:val="center"/>
          </w:tcPr>
          <w:p w14:paraId="1607FD4B" w14:textId="77777777" w:rsidR="00285EF0" w:rsidRPr="007B134A"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50</w:t>
            </w:r>
            <w:r>
              <w:rPr>
                <w:rFonts w:cs="Arial"/>
                <w:sz w:val="18"/>
                <w:szCs w:val="18"/>
              </w:rPr>
              <w:t xml:space="preserve"> - 75 </w:t>
            </w:r>
            <w:r w:rsidRPr="007B134A">
              <w:rPr>
                <w:rFonts w:cs="Arial"/>
                <w:sz w:val="18"/>
                <w:szCs w:val="18"/>
              </w:rPr>
              <w:t>ppm</w:t>
            </w:r>
          </w:p>
        </w:tc>
        <w:tc>
          <w:tcPr>
            <w:tcW w:w="1162" w:type="dxa"/>
            <w:vAlign w:val="center"/>
          </w:tcPr>
          <w:p w14:paraId="4B8CF18C" w14:textId="77777777" w:rsidR="00285EF0" w:rsidRPr="007B134A"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1</w:t>
            </w:r>
          </w:p>
        </w:tc>
        <w:tc>
          <w:tcPr>
            <w:tcW w:w="1229" w:type="dxa"/>
            <w:vAlign w:val="center"/>
          </w:tcPr>
          <w:p w14:paraId="791B76C0" w14:textId="77777777" w:rsidR="00285EF0" w:rsidRPr="007B134A"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1</w:t>
            </w:r>
          </w:p>
        </w:tc>
        <w:tc>
          <w:tcPr>
            <w:tcW w:w="2851" w:type="dxa"/>
            <w:vAlign w:val="center"/>
          </w:tcPr>
          <w:p w14:paraId="2DA79D5C" w14:textId="77777777" w:rsidR="00285EF0" w:rsidRPr="007B134A"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Thi-Van et al. (2019)</w:t>
            </w:r>
          </w:p>
        </w:tc>
      </w:tr>
      <w:tr w:rsidR="00285EF0" w:rsidRPr="00BE211F" w14:paraId="10B0E76B"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3887" w:type="dxa"/>
            <w:gridSpan w:val="8"/>
            <w:vAlign w:val="center"/>
          </w:tcPr>
          <w:p w14:paraId="2159E4F2" w14:textId="77777777" w:rsidR="00285EF0" w:rsidRPr="00BE211F" w:rsidRDefault="00285EF0" w:rsidP="00285EF0">
            <w:pPr>
              <w:widowControl/>
              <w:rPr>
                <w:rFonts w:cs="Arial"/>
                <w:color w:val="000000" w:themeColor="text1"/>
                <w:sz w:val="18"/>
                <w:szCs w:val="18"/>
              </w:rPr>
            </w:pPr>
          </w:p>
        </w:tc>
      </w:tr>
      <w:tr w:rsidR="00285EF0" w:rsidRPr="00BE211F" w14:paraId="4547C57F"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3887" w:type="dxa"/>
            <w:gridSpan w:val="8"/>
            <w:tcBorders>
              <w:right w:val="none" w:sz="0" w:space="0" w:color="auto"/>
            </w:tcBorders>
            <w:shd w:val="clear" w:color="auto" w:fill="C6D9F1" w:themeFill="text2" w:themeFillTint="33"/>
          </w:tcPr>
          <w:p w14:paraId="6DAA9CA1" w14:textId="77777777" w:rsidR="00285EF0" w:rsidRPr="00BE211F" w:rsidRDefault="00285EF0" w:rsidP="00285EF0">
            <w:pPr>
              <w:rPr>
                <w:rFonts w:cs="Arial"/>
                <w:b w:val="0"/>
                <w:sz w:val="18"/>
                <w:szCs w:val="18"/>
              </w:rPr>
            </w:pPr>
            <w:r w:rsidRPr="00BE211F">
              <w:rPr>
                <w:rFonts w:cs="Arial"/>
                <w:sz w:val="18"/>
                <w:szCs w:val="18"/>
              </w:rPr>
              <w:t>Aqueous ozone</w:t>
            </w:r>
          </w:p>
        </w:tc>
      </w:tr>
      <w:tr w:rsidR="00285EF0" w:rsidRPr="00BE211F" w14:paraId="066CC650"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tcPr>
          <w:p w14:paraId="6D708076" w14:textId="77777777" w:rsidR="00285EF0" w:rsidRPr="00BE211F" w:rsidRDefault="00285EF0" w:rsidP="00285EF0">
            <w:pPr>
              <w:widowControl/>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0FFD1B37"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rPr>
            </w:pPr>
            <w:r w:rsidRPr="00BE211F">
              <w:rPr>
                <w:rFonts w:cs="Arial"/>
                <w:i/>
                <w:color w:val="000000" w:themeColor="text1"/>
                <w:sz w:val="18"/>
                <w:szCs w:val="18"/>
              </w:rPr>
              <w:t>L. monocytogenes</w:t>
            </w:r>
          </w:p>
        </w:tc>
        <w:tc>
          <w:tcPr>
            <w:tcW w:w="1309" w:type="dxa"/>
          </w:tcPr>
          <w:p w14:paraId="7C09D9A1"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18h</w:t>
            </w:r>
          </w:p>
        </w:tc>
        <w:tc>
          <w:tcPr>
            <w:tcW w:w="1165" w:type="dxa"/>
          </w:tcPr>
          <w:p w14:paraId="20EEEEB9"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6.0</w:t>
            </w:r>
          </w:p>
        </w:tc>
        <w:tc>
          <w:tcPr>
            <w:tcW w:w="2562" w:type="dxa"/>
          </w:tcPr>
          <w:p w14:paraId="09490527" w14:textId="77777777" w:rsidR="00285EF0" w:rsidRPr="00BE211F"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3ppm</w:t>
            </w:r>
          </w:p>
        </w:tc>
        <w:tc>
          <w:tcPr>
            <w:tcW w:w="1162" w:type="dxa"/>
          </w:tcPr>
          <w:p w14:paraId="515769C1"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2 to 5</w:t>
            </w:r>
          </w:p>
        </w:tc>
        <w:tc>
          <w:tcPr>
            <w:tcW w:w="1229" w:type="dxa"/>
          </w:tcPr>
          <w:p w14:paraId="218100FC" w14:textId="77777777" w:rsidR="00285EF0" w:rsidRPr="00BE211F"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t>3.0 to &gt;5</w:t>
            </w:r>
          </w:p>
        </w:tc>
        <w:tc>
          <w:tcPr>
            <w:tcW w:w="2851" w:type="dxa"/>
          </w:tcPr>
          <w:p w14:paraId="6D0F7E4A" w14:textId="77777777" w:rsidR="00285EF0" w:rsidRPr="00BE211F"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BE211F">
              <w:rPr>
                <w:rFonts w:cs="Arial"/>
                <w:color w:val="000000" w:themeColor="text1"/>
                <w:sz w:val="18"/>
                <w:szCs w:val="18"/>
              </w:rPr>
              <w:fldChar w:fldCharType="begin"/>
            </w:r>
            <w:r w:rsidRPr="00BE211F">
              <w:rPr>
                <w:rFonts w:cs="Arial"/>
                <w:color w:val="000000" w:themeColor="text1"/>
                <w:sz w:val="18"/>
                <w:szCs w:val="18"/>
              </w:rPr>
              <w:instrText>ADDIN CITAVI.PLACEHOLDER fbc050e4-cabc-4480-bea9-b1da374b536c 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m9kZ2VycyBldCBhbC48L1RleHQ+DQogICAgPC9UZXh0VW5pdD4NCiAgPC9UZXh0VW5pdHM+DQo8L1BsYWNlaG9sZGVyPg==</w:instrText>
            </w:r>
            <w:r w:rsidRPr="00BE211F">
              <w:rPr>
                <w:rFonts w:cs="Arial"/>
                <w:color w:val="000000" w:themeColor="text1"/>
                <w:sz w:val="18"/>
                <w:szCs w:val="18"/>
              </w:rPr>
              <w:fldChar w:fldCharType="separate"/>
            </w:r>
            <w:bookmarkStart w:id="1410" w:name="_CTVP001fbc050e4cabc4480bea9b1da374b536c"/>
            <w:r w:rsidRPr="00BE211F">
              <w:rPr>
                <w:rFonts w:cs="Arial"/>
                <w:color w:val="000000" w:themeColor="text1"/>
                <w:sz w:val="18"/>
                <w:szCs w:val="18"/>
              </w:rPr>
              <w:t>Rodgers et al.</w:t>
            </w:r>
            <w:bookmarkEnd w:id="1410"/>
            <w:r w:rsidRPr="00BE211F">
              <w:rPr>
                <w:rFonts w:cs="Arial"/>
                <w:color w:val="000000" w:themeColor="text1"/>
                <w:sz w:val="18"/>
                <w:szCs w:val="18"/>
              </w:rPr>
              <w:fldChar w:fldCharType="end"/>
            </w:r>
            <w:r w:rsidRPr="00BE211F">
              <w:rPr>
                <w:rFonts w:cs="Arial"/>
                <w:color w:val="000000" w:themeColor="text1"/>
                <w:sz w:val="18"/>
                <w:szCs w:val="18"/>
              </w:rPr>
              <w:t xml:space="preserve"> </w:t>
            </w:r>
            <w:r w:rsidRPr="00BE211F">
              <w:rPr>
                <w:rFonts w:cs="Arial"/>
                <w:color w:val="000000" w:themeColor="text1"/>
                <w:sz w:val="18"/>
                <w:szCs w:val="18"/>
              </w:rPr>
              <w:fldChar w:fldCharType="begin"/>
            </w:r>
            <w:r w:rsidRPr="00BE211F">
              <w:rPr>
                <w:rFonts w:cs="Arial"/>
                <w:color w:val="000000" w:themeColor="text1"/>
                <w:sz w:val="18"/>
                <w:szCs w:val="18"/>
              </w:rPr>
              <w:instrText>ADDIN CITAVI.PLACEHOLDER 42378f71-9485-4374-b9e3-c13cd3bf3a66 PFBsYWNlaG9sZGVyPg0KICA8QWRkSW5WZXJzaW9uPjUuNS4wLjE8L0FkZEluVmVyc2lvbj4NCiAgPElkPjQyMzc4ZjcxLTk0ODUtNDM3NC1iOWUzLWMxM2NkM2JmM2E2NjwvSWQ+DQogIDxBc3NvY2lhdGVXaXRoUGxhY2Vob2xkZXJJZD5mYmMwNTBlNC1jYWJjLTQ0ODAtYmVhOS1iMWRhMzc0YjUzNmM8L0Fzc29jaWF0ZVdpdGhQbGFjZWhvbGRlcklkPg0KICA8RW50cmllcz4NCiAgICA8RW50cnk+DQogICAgICA8SWQ+ZmNlNGRiZTAtOGY2YS00MTU1LTg4OTgtMjY2MmY3NThhY2Q2PC9JZD4NCiAgICAgIDxSZWZlcmVuY2VJZD5lNWE1MWZhYy1mYzNiLTQ0OGEtYTliOC03NDRlZWEwYTc2YW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NCk8L1RleHQ+DQogICAgPC9UZXh0VW5pdD4NCiAgPC9UZXh0VW5pdHM+DQo8L1BsYWNlaG9sZGVyPg==</w:instrText>
            </w:r>
            <w:r w:rsidRPr="00BE211F">
              <w:rPr>
                <w:rFonts w:cs="Arial"/>
                <w:color w:val="000000" w:themeColor="text1"/>
                <w:sz w:val="18"/>
                <w:szCs w:val="18"/>
              </w:rPr>
              <w:fldChar w:fldCharType="separate"/>
            </w:r>
            <w:bookmarkStart w:id="1411" w:name="_CTVP00142378f7194854374b9e3c13cd3bf3a66"/>
            <w:r w:rsidRPr="00BE211F">
              <w:rPr>
                <w:rFonts w:cs="Arial"/>
                <w:color w:val="000000" w:themeColor="text1"/>
                <w:sz w:val="18"/>
                <w:szCs w:val="18"/>
              </w:rPr>
              <w:t>(2004)</w:t>
            </w:r>
            <w:bookmarkEnd w:id="1411"/>
            <w:r w:rsidRPr="00BE211F">
              <w:rPr>
                <w:rFonts w:cs="Arial"/>
                <w:color w:val="000000" w:themeColor="text1"/>
                <w:sz w:val="18"/>
                <w:szCs w:val="18"/>
              </w:rPr>
              <w:fldChar w:fldCharType="end"/>
            </w:r>
            <w:r w:rsidRPr="00BE211F">
              <w:rPr>
                <w:rFonts w:cs="Arial"/>
                <w:color w:val="000000" w:themeColor="text1"/>
                <w:sz w:val="18"/>
                <w:szCs w:val="18"/>
              </w:rPr>
              <w:t xml:space="preserve"> </w:t>
            </w:r>
          </w:p>
        </w:tc>
      </w:tr>
      <w:tr w:rsidR="00285EF0" w:rsidRPr="00BE211F" w14:paraId="2E576DB1"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Pr>
          <w:p w14:paraId="16008E0F" w14:textId="77777777" w:rsidR="00285EF0" w:rsidRPr="00BE211F" w:rsidRDefault="00285EF0" w:rsidP="00285EF0">
            <w:pPr>
              <w:widowControl/>
              <w:rPr>
                <w:rFonts w:cs="Arial"/>
                <w:b w:val="0"/>
                <w:color w:val="000000" w:themeColor="text1"/>
                <w:sz w:val="18"/>
                <w:szCs w:val="18"/>
              </w:rPr>
            </w:pPr>
            <w:r w:rsidRPr="00BE211F">
              <w:rPr>
                <w:rFonts w:cs="Arial"/>
                <w:b w:val="0"/>
                <w:color w:val="000000" w:themeColor="text1"/>
                <w:sz w:val="18"/>
                <w:szCs w:val="18"/>
              </w:rPr>
              <w:t>Rockmelon</w:t>
            </w:r>
          </w:p>
        </w:tc>
        <w:tc>
          <w:tcPr>
            <w:tcW w:w="1764" w:type="dxa"/>
          </w:tcPr>
          <w:p w14:paraId="2E568242"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rPr>
            </w:pPr>
            <w:r w:rsidRPr="00BE211F">
              <w:rPr>
                <w:rFonts w:cs="Arial"/>
                <w:color w:val="000000" w:themeColor="text1"/>
                <w:sz w:val="18"/>
                <w:szCs w:val="18"/>
              </w:rPr>
              <w:t>S. Poona</w:t>
            </w:r>
          </w:p>
        </w:tc>
        <w:tc>
          <w:tcPr>
            <w:tcW w:w="1309" w:type="dxa"/>
          </w:tcPr>
          <w:p w14:paraId="47CFE948"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color w:val="000000" w:themeColor="text1"/>
                <w:sz w:val="18"/>
                <w:szCs w:val="18"/>
              </w:rPr>
              <w:t>12h</w:t>
            </w:r>
          </w:p>
        </w:tc>
        <w:tc>
          <w:tcPr>
            <w:tcW w:w="1165" w:type="dxa"/>
          </w:tcPr>
          <w:p w14:paraId="0E3537B1"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color w:val="000000" w:themeColor="text1"/>
                <w:sz w:val="18"/>
                <w:szCs w:val="18"/>
              </w:rPr>
              <w:t>4.8</w:t>
            </w:r>
          </w:p>
        </w:tc>
        <w:tc>
          <w:tcPr>
            <w:tcW w:w="2562" w:type="dxa"/>
          </w:tcPr>
          <w:p w14:paraId="2AA62E2F" w14:textId="77777777" w:rsidR="00285EF0" w:rsidRPr="00BE211F"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color w:val="000000" w:themeColor="text1"/>
                <w:sz w:val="18"/>
                <w:szCs w:val="18"/>
              </w:rPr>
              <w:t xml:space="preserve">3ppm </w:t>
            </w:r>
          </w:p>
        </w:tc>
        <w:tc>
          <w:tcPr>
            <w:tcW w:w="1162" w:type="dxa"/>
          </w:tcPr>
          <w:p w14:paraId="44469358"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color w:val="000000" w:themeColor="text1"/>
                <w:sz w:val="18"/>
                <w:szCs w:val="18"/>
              </w:rPr>
              <w:t>5.0</w:t>
            </w:r>
          </w:p>
        </w:tc>
        <w:tc>
          <w:tcPr>
            <w:tcW w:w="1229" w:type="dxa"/>
          </w:tcPr>
          <w:p w14:paraId="628F81BD" w14:textId="77777777" w:rsidR="00285EF0" w:rsidRPr="00BE211F"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color w:val="000000" w:themeColor="text1"/>
                <w:sz w:val="18"/>
                <w:szCs w:val="18"/>
              </w:rPr>
              <w:t>2.5</w:t>
            </w:r>
          </w:p>
        </w:tc>
        <w:tc>
          <w:tcPr>
            <w:tcW w:w="2851" w:type="dxa"/>
          </w:tcPr>
          <w:p w14:paraId="367129A5" w14:textId="77777777" w:rsidR="00285EF0" w:rsidRPr="00BE211F"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color w:val="000000" w:themeColor="text1"/>
                <w:sz w:val="18"/>
                <w:szCs w:val="18"/>
              </w:rPr>
              <w:t xml:space="preserve"> </w:t>
            </w:r>
            <w:r w:rsidRPr="00BE211F">
              <w:rPr>
                <w:rFonts w:cs="Arial"/>
                <w:color w:val="000000" w:themeColor="text1"/>
                <w:sz w:val="18"/>
                <w:szCs w:val="18"/>
              </w:rPr>
              <w:fldChar w:fldCharType="begin"/>
            </w:r>
            <w:r w:rsidRPr="00BE211F">
              <w:rPr>
                <w:rFonts w:cs="Arial"/>
                <w:color w:val="000000" w:themeColor="text1"/>
                <w:sz w:val="18"/>
                <w:szCs w:val="18"/>
              </w:rPr>
              <w:instrText>ADDIN CITAVI.PLACEHOLDER 8cc723ba-75b1-4fc7-89d3-169bebb2d0b5 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WYWRsYW11ZGkgZXQgYWwuPC9UZXh0Pg0KICAgIDwvVGV4dFVuaXQ+DQogIDwvVGV4dFVuaXRzPg0KPC9QbGFjZWhvbGRlcj4=</w:instrText>
            </w:r>
            <w:r w:rsidRPr="00BE211F">
              <w:rPr>
                <w:rFonts w:cs="Arial"/>
                <w:color w:val="000000" w:themeColor="text1"/>
                <w:sz w:val="18"/>
                <w:szCs w:val="18"/>
              </w:rPr>
              <w:fldChar w:fldCharType="separate"/>
            </w:r>
            <w:bookmarkStart w:id="1412" w:name="_CTVP0018cc723ba75b14fc789d3169bebb2d0b5"/>
            <w:r w:rsidRPr="00BE211F">
              <w:rPr>
                <w:rFonts w:cs="Arial"/>
                <w:color w:val="000000" w:themeColor="text1"/>
                <w:sz w:val="18"/>
                <w:szCs w:val="18"/>
              </w:rPr>
              <w:t>Vadlamudi et al.</w:t>
            </w:r>
            <w:bookmarkEnd w:id="1412"/>
            <w:r w:rsidRPr="00BE211F">
              <w:rPr>
                <w:rFonts w:cs="Arial"/>
                <w:color w:val="000000" w:themeColor="text1"/>
                <w:sz w:val="18"/>
                <w:szCs w:val="18"/>
              </w:rPr>
              <w:fldChar w:fldCharType="end"/>
            </w:r>
            <w:r w:rsidRPr="00BE211F">
              <w:rPr>
                <w:rFonts w:cs="Arial"/>
                <w:color w:val="000000" w:themeColor="text1"/>
                <w:sz w:val="18"/>
                <w:szCs w:val="18"/>
              </w:rPr>
              <w:t xml:space="preserve"> </w:t>
            </w:r>
            <w:r w:rsidRPr="00BE211F">
              <w:rPr>
                <w:rFonts w:cs="Arial"/>
                <w:color w:val="000000" w:themeColor="text1"/>
                <w:sz w:val="18"/>
                <w:szCs w:val="18"/>
              </w:rPr>
              <w:fldChar w:fldCharType="begin"/>
            </w:r>
            <w:r w:rsidRPr="00BE211F">
              <w:rPr>
                <w:rFonts w:cs="Arial"/>
                <w:color w:val="000000" w:themeColor="text1"/>
                <w:sz w:val="18"/>
                <w:szCs w:val="18"/>
              </w:rPr>
              <w:instrText>ADDIN CITAVI.PLACEHOLDER 96b44218-929e-42c7-a791-73e1deb80cb9 PFBsYWNlaG9sZGVyPg0KICA8QWRkSW5WZXJzaW9uPjUuNS4wLjE8L0FkZEluVmVyc2lvbj4NCiAgPElkPjk2YjQ0MjE4LTkyOWUtNDJjNy1hNzkxLTczZTFkZWI4MGNiOTwvSWQ+DQogIDxBc3NvY2lhdGVXaXRoUGxhY2Vob2xkZXJJZD44Y2M3MjNiYS03NWIxLTRmYzctODlkMy0xNjliZWJiMmQwYjU8L0Fzc29jaWF0ZVdpdGhQbGFjZWhvbGRlcklkPg0KICA8RW50cmllcz4NCiAgICA8RW50cnk+DQogICAgICA8SWQ+NTQ3NGY5ZDMtZjAzYS00ODBhLTkyOTktNDEwYmIxYzI4NjI0PC9JZD4NCiAgICAgIDxSZWZlcmVuY2VJZD41YTRjZDM1MC02ODBjLTRjNDctOWExNi04ZTEyMTBjNzcxMW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Mik8L1RleHQ+DQogICAgPC9UZXh0VW5pdD4NCiAgPC9UZXh0VW5pdHM+DQo8L1BsYWNlaG9sZGVyPg==</w:instrText>
            </w:r>
            <w:r w:rsidRPr="00BE211F">
              <w:rPr>
                <w:rFonts w:cs="Arial"/>
                <w:color w:val="000000" w:themeColor="text1"/>
                <w:sz w:val="18"/>
                <w:szCs w:val="18"/>
              </w:rPr>
              <w:fldChar w:fldCharType="separate"/>
            </w:r>
            <w:bookmarkStart w:id="1413" w:name="_CTVP00196b44218929e42c7a79173e1deb80cb9"/>
            <w:r w:rsidRPr="00BE211F">
              <w:rPr>
                <w:rFonts w:cs="Arial"/>
                <w:color w:val="000000" w:themeColor="text1"/>
                <w:sz w:val="18"/>
                <w:szCs w:val="18"/>
              </w:rPr>
              <w:t>(2012)</w:t>
            </w:r>
            <w:bookmarkEnd w:id="1413"/>
            <w:r w:rsidRPr="00BE211F">
              <w:rPr>
                <w:rFonts w:cs="Arial"/>
                <w:color w:val="000000" w:themeColor="text1"/>
                <w:sz w:val="18"/>
                <w:szCs w:val="18"/>
              </w:rPr>
              <w:fldChar w:fldCharType="end"/>
            </w:r>
          </w:p>
        </w:tc>
      </w:tr>
      <w:tr w:rsidR="00285EF0" w:rsidRPr="00BE211F" w14:paraId="29B26BE9"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6B17F577" w14:textId="77777777" w:rsidR="00285EF0" w:rsidRPr="00EC7F3C" w:rsidRDefault="00285EF0" w:rsidP="00285EF0">
            <w:pPr>
              <w:widowControl/>
              <w:rPr>
                <w:rFonts w:cs="Arial"/>
                <w:b w:val="0"/>
                <w:color w:val="000000" w:themeColor="text1"/>
                <w:sz w:val="18"/>
                <w:szCs w:val="18"/>
              </w:rPr>
            </w:pPr>
            <w:r w:rsidRPr="00EC7F3C">
              <w:rPr>
                <w:rFonts w:cs="Arial"/>
                <w:b w:val="0"/>
                <w:sz w:val="18"/>
                <w:szCs w:val="18"/>
              </w:rPr>
              <w:t>Lettuce</w:t>
            </w:r>
          </w:p>
        </w:tc>
        <w:tc>
          <w:tcPr>
            <w:tcW w:w="1764" w:type="dxa"/>
            <w:vAlign w:val="center"/>
          </w:tcPr>
          <w:p w14:paraId="1130D217" w14:textId="77777777" w:rsidR="00285EF0" w:rsidRPr="00EC7F3C"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bCs/>
                <w:i/>
                <w:iCs/>
                <w:sz w:val="18"/>
                <w:szCs w:val="18"/>
              </w:rPr>
              <w:t>E. coli</w:t>
            </w:r>
            <w:r w:rsidRPr="00EC7F3C">
              <w:rPr>
                <w:rFonts w:cs="Arial"/>
                <w:bCs/>
                <w:sz w:val="18"/>
                <w:szCs w:val="18"/>
              </w:rPr>
              <w:t xml:space="preserve"> O157:H7</w:t>
            </w:r>
          </w:p>
        </w:tc>
        <w:tc>
          <w:tcPr>
            <w:tcW w:w="1309" w:type="dxa"/>
            <w:vAlign w:val="center"/>
          </w:tcPr>
          <w:p w14:paraId="18F87993"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bCs/>
                <w:sz w:val="18"/>
                <w:szCs w:val="18"/>
              </w:rPr>
              <w:t>1h</w:t>
            </w:r>
          </w:p>
        </w:tc>
        <w:tc>
          <w:tcPr>
            <w:tcW w:w="1165" w:type="dxa"/>
            <w:vAlign w:val="center"/>
          </w:tcPr>
          <w:p w14:paraId="0F5CBF3E"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bCs/>
                <w:sz w:val="18"/>
                <w:szCs w:val="18"/>
              </w:rPr>
              <w:t>7.9</w:t>
            </w:r>
          </w:p>
        </w:tc>
        <w:tc>
          <w:tcPr>
            <w:tcW w:w="2562" w:type="dxa"/>
            <w:vAlign w:val="center"/>
          </w:tcPr>
          <w:p w14:paraId="742161E5" w14:textId="77777777" w:rsidR="00285EF0" w:rsidRPr="00EC7F3C"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bCs/>
                <w:sz w:val="18"/>
                <w:szCs w:val="18"/>
              </w:rPr>
              <w:t xml:space="preserve">10 ppm </w:t>
            </w:r>
          </w:p>
        </w:tc>
        <w:tc>
          <w:tcPr>
            <w:tcW w:w="1162" w:type="dxa"/>
            <w:vAlign w:val="center"/>
          </w:tcPr>
          <w:p w14:paraId="3FB58D1F"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bCs/>
                <w:sz w:val="18"/>
                <w:szCs w:val="18"/>
              </w:rPr>
              <w:t>5</w:t>
            </w:r>
          </w:p>
        </w:tc>
        <w:tc>
          <w:tcPr>
            <w:tcW w:w="1229" w:type="dxa"/>
            <w:vAlign w:val="center"/>
          </w:tcPr>
          <w:p w14:paraId="32F3ACB6"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bCs/>
                <w:sz w:val="18"/>
                <w:szCs w:val="18"/>
              </w:rPr>
              <w:t>1.1</w:t>
            </w:r>
          </w:p>
        </w:tc>
        <w:tc>
          <w:tcPr>
            <w:tcW w:w="2851" w:type="dxa"/>
            <w:vAlign w:val="center"/>
          </w:tcPr>
          <w:p w14:paraId="4935A2C6" w14:textId="77777777" w:rsidR="00285EF0" w:rsidRPr="00EC7F3C"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bCs/>
                <w:sz w:val="18"/>
                <w:szCs w:val="18"/>
              </w:rPr>
              <w:t xml:space="preserve">Singh et al. (2002) </w:t>
            </w:r>
          </w:p>
        </w:tc>
      </w:tr>
      <w:tr w:rsidR="00285EF0" w:rsidRPr="00BE211F" w14:paraId="726274E2"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3CE2854A" w14:textId="77777777" w:rsidR="00285EF0" w:rsidRPr="00EC7F3C" w:rsidRDefault="00285EF0" w:rsidP="00285EF0">
            <w:pPr>
              <w:widowControl/>
              <w:rPr>
                <w:rFonts w:cs="Arial"/>
                <w:b w:val="0"/>
                <w:color w:val="000000" w:themeColor="text1"/>
                <w:sz w:val="18"/>
                <w:szCs w:val="18"/>
              </w:rPr>
            </w:pPr>
            <w:r w:rsidRPr="00EC7F3C">
              <w:rPr>
                <w:rFonts w:cs="Arial"/>
                <w:b w:val="0"/>
                <w:color w:val="000000"/>
                <w:sz w:val="18"/>
                <w:szCs w:val="18"/>
              </w:rPr>
              <w:t>Lettuce</w:t>
            </w:r>
          </w:p>
        </w:tc>
        <w:tc>
          <w:tcPr>
            <w:tcW w:w="1764" w:type="dxa"/>
            <w:vAlign w:val="center"/>
          </w:tcPr>
          <w:p w14:paraId="592031D6" w14:textId="77777777" w:rsidR="00285EF0" w:rsidRPr="00EC7F3C"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color w:val="000000" w:themeColor="text1"/>
                <w:sz w:val="18"/>
                <w:szCs w:val="18"/>
              </w:rPr>
            </w:pPr>
            <w:r w:rsidRPr="00EC7F3C">
              <w:rPr>
                <w:rFonts w:cs="Arial"/>
                <w:i/>
                <w:iCs/>
                <w:color w:val="000000"/>
                <w:sz w:val="18"/>
                <w:szCs w:val="18"/>
                <w:lang w:val="en-AU"/>
              </w:rPr>
              <w:t>L. innocua</w:t>
            </w:r>
          </w:p>
        </w:tc>
        <w:tc>
          <w:tcPr>
            <w:tcW w:w="1309" w:type="dxa"/>
            <w:vAlign w:val="center"/>
          </w:tcPr>
          <w:p w14:paraId="4324C34C"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6h</w:t>
            </w:r>
          </w:p>
        </w:tc>
        <w:tc>
          <w:tcPr>
            <w:tcW w:w="1165" w:type="dxa"/>
            <w:vAlign w:val="center"/>
          </w:tcPr>
          <w:p w14:paraId="74650B4E"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6.5</w:t>
            </w:r>
          </w:p>
        </w:tc>
        <w:tc>
          <w:tcPr>
            <w:tcW w:w="2562" w:type="dxa"/>
            <w:vAlign w:val="center"/>
          </w:tcPr>
          <w:p w14:paraId="636FA13A" w14:textId="77777777" w:rsidR="00285EF0" w:rsidRPr="00EC7F3C"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 xml:space="preserve">12ppm </w:t>
            </w:r>
          </w:p>
        </w:tc>
        <w:tc>
          <w:tcPr>
            <w:tcW w:w="1162" w:type="dxa"/>
            <w:vAlign w:val="center"/>
          </w:tcPr>
          <w:p w14:paraId="4C890B81"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15min</w:t>
            </w:r>
          </w:p>
        </w:tc>
        <w:tc>
          <w:tcPr>
            <w:tcW w:w="1229" w:type="dxa"/>
            <w:vAlign w:val="center"/>
          </w:tcPr>
          <w:p w14:paraId="408B411C"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2.1</w:t>
            </w:r>
          </w:p>
        </w:tc>
        <w:tc>
          <w:tcPr>
            <w:tcW w:w="2851" w:type="dxa"/>
            <w:vAlign w:val="center"/>
          </w:tcPr>
          <w:p w14:paraId="394DA291" w14:textId="77777777" w:rsidR="00285EF0" w:rsidRPr="00EC7F3C"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Karaca and Velioglu (2014)</w:t>
            </w:r>
          </w:p>
        </w:tc>
      </w:tr>
      <w:tr w:rsidR="00285EF0" w:rsidRPr="00BE211F" w14:paraId="444FC246"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462AE4A2" w14:textId="77777777" w:rsidR="00285EF0" w:rsidRPr="007B134A" w:rsidRDefault="00285EF0" w:rsidP="00285EF0">
            <w:pPr>
              <w:widowControl/>
              <w:rPr>
                <w:rFonts w:cs="Arial"/>
                <w:b w:val="0"/>
                <w:color w:val="000000" w:themeColor="text1"/>
                <w:sz w:val="18"/>
                <w:szCs w:val="18"/>
              </w:rPr>
            </w:pPr>
            <w:r w:rsidRPr="007B134A">
              <w:rPr>
                <w:rFonts w:cs="Arial"/>
                <w:b w:val="0"/>
                <w:color w:val="000000"/>
                <w:sz w:val="18"/>
                <w:szCs w:val="18"/>
              </w:rPr>
              <w:t>Lettuce</w:t>
            </w:r>
          </w:p>
        </w:tc>
        <w:tc>
          <w:tcPr>
            <w:tcW w:w="1764" w:type="dxa"/>
            <w:vAlign w:val="center"/>
          </w:tcPr>
          <w:p w14:paraId="7691EF4B" w14:textId="77777777" w:rsidR="00285EF0" w:rsidRPr="007B134A"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color w:val="000000" w:themeColor="text1"/>
                <w:sz w:val="18"/>
                <w:szCs w:val="18"/>
              </w:rPr>
            </w:pPr>
            <w:r w:rsidRPr="007B134A">
              <w:rPr>
                <w:rFonts w:cs="Arial"/>
                <w:i/>
                <w:iCs/>
                <w:color w:val="000000"/>
                <w:sz w:val="18"/>
                <w:szCs w:val="18"/>
              </w:rPr>
              <w:t xml:space="preserve">Salmonella </w:t>
            </w:r>
            <w:r w:rsidRPr="007B134A">
              <w:rPr>
                <w:rFonts w:cs="Arial"/>
                <w:color w:val="000000"/>
                <w:sz w:val="18"/>
                <w:szCs w:val="18"/>
              </w:rPr>
              <w:t>spp.</w:t>
            </w:r>
          </w:p>
        </w:tc>
        <w:tc>
          <w:tcPr>
            <w:tcW w:w="1309" w:type="dxa"/>
            <w:vAlign w:val="center"/>
          </w:tcPr>
          <w:p w14:paraId="57960548" w14:textId="77777777" w:rsidR="00285EF0" w:rsidRPr="007B134A"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7B134A">
              <w:rPr>
                <w:rFonts w:cs="Arial"/>
                <w:color w:val="000000"/>
                <w:sz w:val="18"/>
                <w:szCs w:val="18"/>
              </w:rPr>
              <w:t>24h</w:t>
            </w:r>
          </w:p>
        </w:tc>
        <w:tc>
          <w:tcPr>
            <w:tcW w:w="1165" w:type="dxa"/>
            <w:vAlign w:val="center"/>
          </w:tcPr>
          <w:p w14:paraId="315590DF" w14:textId="77777777" w:rsidR="00285EF0" w:rsidRPr="007B134A"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7B134A">
              <w:rPr>
                <w:rFonts w:cs="Arial"/>
                <w:color w:val="000000"/>
                <w:sz w:val="18"/>
                <w:szCs w:val="18"/>
              </w:rPr>
              <w:t>6.4</w:t>
            </w:r>
          </w:p>
        </w:tc>
        <w:tc>
          <w:tcPr>
            <w:tcW w:w="2562" w:type="dxa"/>
            <w:vAlign w:val="center"/>
          </w:tcPr>
          <w:p w14:paraId="3AA37C33" w14:textId="77777777" w:rsidR="00285EF0" w:rsidRPr="007B134A"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7B134A">
              <w:rPr>
                <w:rFonts w:cs="Arial"/>
                <w:color w:val="000000"/>
                <w:sz w:val="18"/>
                <w:szCs w:val="18"/>
              </w:rPr>
              <w:t xml:space="preserve">0.5 – 1.5 ppm </w:t>
            </w:r>
          </w:p>
        </w:tc>
        <w:tc>
          <w:tcPr>
            <w:tcW w:w="1162" w:type="dxa"/>
            <w:vAlign w:val="center"/>
          </w:tcPr>
          <w:p w14:paraId="2CE08B6B" w14:textId="77777777" w:rsidR="00285EF0" w:rsidRPr="007B134A"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1A5849">
              <w:rPr>
                <w:rFonts w:cs="Arial"/>
                <w:color w:val="000000"/>
                <w:sz w:val="18"/>
                <w:szCs w:val="18"/>
              </w:rPr>
              <w:t>3 - 10</w:t>
            </w:r>
          </w:p>
        </w:tc>
        <w:tc>
          <w:tcPr>
            <w:tcW w:w="1229" w:type="dxa"/>
            <w:vAlign w:val="center"/>
          </w:tcPr>
          <w:p w14:paraId="3D514803" w14:textId="77777777" w:rsidR="00285EF0" w:rsidRPr="007B134A"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7B134A">
              <w:rPr>
                <w:rFonts w:cs="Arial"/>
                <w:color w:val="000000"/>
                <w:sz w:val="18"/>
                <w:szCs w:val="18"/>
              </w:rPr>
              <w:t>1.2 – 3.1</w:t>
            </w:r>
          </w:p>
        </w:tc>
        <w:tc>
          <w:tcPr>
            <w:tcW w:w="2851" w:type="dxa"/>
            <w:vAlign w:val="center"/>
          </w:tcPr>
          <w:p w14:paraId="72446125" w14:textId="77777777" w:rsidR="00285EF0" w:rsidRPr="007B134A"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7B134A">
              <w:rPr>
                <w:rFonts w:cs="Arial"/>
                <w:color w:val="000000"/>
                <w:sz w:val="18"/>
                <w:szCs w:val="18"/>
              </w:rPr>
              <w:t>Sengun (2013)</w:t>
            </w:r>
          </w:p>
        </w:tc>
      </w:tr>
      <w:tr w:rsidR="00285EF0" w:rsidRPr="00BE211F" w14:paraId="65580035"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42DCDEC2" w14:textId="77777777" w:rsidR="00285EF0" w:rsidRPr="007B134A" w:rsidRDefault="00285EF0" w:rsidP="00285EF0">
            <w:pPr>
              <w:widowControl/>
              <w:rPr>
                <w:rFonts w:cs="Arial"/>
                <w:b w:val="0"/>
                <w:color w:val="000000" w:themeColor="text1"/>
                <w:sz w:val="18"/>
                <w:szCs w:val="18"/>
              </w:rPr>
            </w:pPr>
            <w:r w:rsidRPr="007B134A">
              <w:rPr>
                <w:rFonts w:cs="Arial"/>
                <w:b w:val="0"/>
                <w:color w:val="000000"/>
                <w:sz w:val="18"/>
                <w:szCs w:val="18"/>
              </w:rPr>
              <w:t xml:space="preserve">Lettuce </w:t>
            </w:r>
          </w:p>
        </w:tc>
        <w:tc>
          <w:tcPr>
            <w:tcW w:w="1764" w:type="dxa"/>
            <w:vAlign w:val="center"/>
          </w:tcPr>
          <w:p w14:paraId="2E5A7E76" w14:textId="77777777" w:rsidR="00285EF0" w:rsidRPr="007B134A"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iCs/>
                <w:color w:val="000000" w:themeColor="text1"/>
                <w:sz w:val="18"/>
                <w:szCs w:val="18"/>
              </w:rPr>
            </w:pPr>
            <w:r w:rsidRPr="007B134A">
              <w:rPr>
                <w:rFonts w:cs="Arial"/>
                <w:i/>
                <w:iCs/>
                <w:color w:val="000000"/>
                <w:sz w:val="18"/>
                <w:szCs w:val="18"/>
              </w:rPr>
              <w:t>E. coli</w:t>
            </w:r>
          </w:p>
        </w:tc>
        <w:tc>
          <w:tcPr>
            <w:tcW w:w="1309" w:type="dxa"/>
            <w:vAlign w:val="center"/>
          </w:tcPr>
          <w:p w14:paraId="60B2415E" w14:textId="77777777" w:rsidR="00285EF0" w:rsidRPr="007B134A"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7B134A">
              <w:rPr>
                <w:rFonts w:cs="Arial"/>
                <w:color w:val="000000"/>
                <w:sz w:val="18"/>
                <w:szCs w:val="18"/>
              </w:rPr>
              <w:t>6h</w:t>
            </w:r>
          </w:p>
        </w:tc>
        <w:tc>
          <w:tcPr>
            <w:tcW w:w="1165" w:type="dxa"/>
            <w:vAlign w:val="center"/>
          </w:tcPr>
          <w:p w14:paraId="31829E72" w14:textId="77777777" w:rsidR="00285EF0" w:rsidRPr="007B134A"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7B134A">
              <w:rPr>
                <w:rFonts w:cs="Arial"/>
                <w:color w:val="000000"/>
                <w:sz w:val="18"/>
                <w:szCs w:val="18"/>
              </w:rPr>
              <w:t>6.4</w:t>
            </w:r>
          </w:p>
        </w:tc>
        <w:tc>
          <w:tcPr>
            <w:tcW w:w="2562" w:type="dxa"/>
            <w:vAlign w:val="center"/>
          </w:tcPr>
          <w:p w14:paraId="7B055972" w14:textId="77777777" w:rsidR="00285EF0" w:rsidRPr="007B134A"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7B134A">
              <w:rPr>
                <w:rFonts w:cs="Arial"/>
                <w:color w:val="000000"/>
                <w:sz w:val="18"/>
                <w:szCs w:val="18"/>
              </w:rPr>
              <w:t xml:space="preserve">12ppm </w:t>
            </w:r>
          </w:p>
        </w:tc>
        <w:tc>
          <w:tcPr>
            <w:tcW w:w="1162" w:type="dxa"/>
            <w:vAlign w:val="center"/>
          </w:tcPr>
          <w:p w14:paraId="1745690C" w14:textId="77777777" w:rsidR="00285EF0" w:rsidRPr="007B134A"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7B134A">
              <w:rPr>
                <w:rFonts w:cs="Arial"/>
                <w:color w:val="000000"/>
                <w:sz w:val="18"/>
                <w:szCs w:val="18"/>
              </w:rPr>
              <w:t>15min</w:t>
            </w:r>
          </w:p>
        </w:tc>
        <w:tc>
          <w:tcPr>
            <w:tcW w:w="1229" w:type="dxa"/>
            <w:vAlign w:val="center"/>
          </w:tcPr>
          <w:p w14:paraId="5CDBA3EF" w14:textId="77777777" w:rsidR="00285EF0" w:rsidRPr="007B134A"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7B134A">
              <w:rPr>
                <w:rFonts w:cs="Arial"/>
                <w:color w:val="000000"/>
                <w:sz w:val="18"/>
                <w:szCs w:val="18"/>
              </w:rPr>
              <w:t>2.1</w:t>
            </w:r>
          </w:p>
        </w:tc>
        <w:tc>
          <w:tcPr>
            <w:tcW w:w="2851" w:type="dxa"/>
            <w:vAlign w:val="center"/>
          </w:tcPr>
          <w:p w14:paraId="712CF8F7" w14:textId="77777777" w:rsidR="00285EF0" w:rsidRPr="007B134A"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7B134A">
              <w:rPr>
                <w:rFonts w:cs="Arial"/>
                <w:color w:val="000000"/>
                <w:sz w:val="18"/>
                <w:szCs w:val="18"/>
              </w:rPr>
              <w:t>Karaca and Velioglu (2014)</w:t>
            </w:r>
          </w:p>
        </w:tc>
      </w:tr>
      <w:tr w:rsidR="00285EF0" w:rsidRPr="00BE211F" w14:paraId="1CEE3E46"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7C0CE16B" w14:textId="77777777" w:rsidR="00285EF0" w:rsidRPr="00EC7F3C" w:rsidRDefault="00285EF0" w:rsidP="00285EF0">
            <w:pPr>
              <w:widowControl/>
              <w:rPr>
                <w:rFonts w:cs="Arial"/>
                <w:b w:val="0"/>
                <w:color w:val="000000" w:themeColor="text1"/>
                <w:sz w:val="18"/>
                <w:szCs w:val="18"/>
              </w:rPr>
            </w:pPr>
            <w:r w:rsidRPr="00EC7F3C">
              <w:rPr>
                <w:rFonts w:cs="Arial"/>
                <w:b w:val="0"/>
                <w:color w:val="000000"/>
                <w:sz w:val="18"/>
                <w:szCs w:val="18"/>
              </w:rPr>
              <w:t>Parsley</w:t>
            </w:r>
          </w:p>
        </w:tc>
        <w:tc>
          <w:tcPr>
            <w:tcW w:w="1764" w:type="dxa"/>
            <w:vAlign w:val="center"/>
          </w:tcPr>
          <w:p w14:paraId="1530C2DB" w14:textId="77777777" w:rsidR="00285EF0" w:rsidRPr="00EC7F3C"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iCs/>
                <w:color w:val="000000" w:themeColor="text1"/>
                <w:sz w:val="18"/>
                <w:szCs w:val="18"/>
              </w:rPr>
            </w:pPr>
            <w:r w:rsidRPr="00EC7F3C">
              <w:rPr>
                <w:rFonts w:cs="Arial"/>
                <w:i/>
                <w:iCs/>
                <w:color w:val="000000"/>
                <w:sz w:val="18"/>
                <w:szCs w:val="18"/>
              </w:rPr>
              <w:t>E. coli</w:t>
            </w:r>
          </w:p>
        </w:tc>
        <w:tc>
          <w:tcPr>
            <w:tcW w:w="1309" w:type="dxa"/>
            <w:vAlign w:val="center"/>
          </w:tcPr>
          <w:p w14:paraId="0AAFFE24"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6h</w:t>
            </w:r>
          </w:p>
        </w:tc>
        <w:tc>
          <w:tcPr>
            <w:tcW w:w="1165" w:type="dxa"/>
            <w:vAlign w:val="center"/>
          </w:tcPr>
          <w:p w14:paraId="1CB54F7F"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6.5</w:t>
            </w:r>
          </w:p>
        </w:tc>
        <w:tc>
          <w:tcPr>
            <w:tcW w:w="2562" w:type="dxa"/>
            <w:vAlign w:val="center"/>
          </w:tcPr>
          <w:p w14:paraId="72B77940" w14:textId="77777777" w:rsidR="00285EF0" w:rsidRPr="00EC7F3C"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 xml:space="preserve">12ppm </w:t>
            </w:r>
          </w:p>
        </w:tc>
        <w:tc>
          <w:tcPr>
            <w:tcW w:w="1162" w:type="dxa"/>
            <w:vAlign w:val="center"/>
          </w:tcPr>
          <w:p w14:paraId="03B37C59"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5</w:t>
            </w:r>
          </w:p>
        </w:tc>
        <w:tc>
          <w:tcPr>
            <w:tcW w:w="1229" w:type="dxa"/>
            <w:vAlign w:val="center"/>
          </w:tcPr>
          <w:p w14:paraId="17B60B9F"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2.2</w:t>
            </w:r>
          </w:p>
        </w:tc>
        <w:tc>
          <w:tcPr>
            <w:tcW w:w="2851" w:type="dxa"/>
            <w:vAlign w:val="center"/>
          </w:tcPr>
          <w:p w14:paraId="3DE88976" w14:textId="77777777" w:rsidR="00285EF0" w:rsidRPr="00EC7F3C"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Karaca and Velioglu (2020)</w:t>
            </w:r>
          </w:p>
        </w:tc>
      </w:tr>
      <w:tr w:rsidR="00285EF0" w:rsidRPr="00BE211F" w14:paraId="659CA303"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7AD7C510" w14:textId="77777777" w:rsidR="00285EF0" w:rsidRPr="00EC7F3C" w:rsidRDefault="00285EF0" w:rsidP="00285EF0">
            <w:pPr>
              <w:widowControl/>
              <w:rPr>
                <w:rFonts w:cs="Arial"/>
                <w:b w:val="0"/>
                <w:color w:val="000000"/>
                <w:sz w:val="18"/>
                <w:szCs w:val="18"/>
              </w:rPr>
            </w:pPr>
            <w:r w:rsidRPr="00EC7F3C">
              <w:rPr>
                <w:rFonts w:cs="Arial"/>
                <w:b w:val="0"/>
                <w:color w:val="000000"/>
                <w:sz w:val="18"/>
                <w:szCs w:val="18"/>
              </w:rPr>
              <w:t xml:space="preserve">Parsley </w:t>
            </w:r>
          </w:p>
        </w:tc>
        <w:tc>
          <w:tcPr>
            <w:tcW w:w="1764" w:type="dxa"/>
            <w:vAlign w:val="center"/>
          </w:tcPr>
          <w:p w14:paraId="42AFFB83" w14:textId="77777777" w:rsidR="00285EF0" w:rsidRPr="00EC7F3C"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iCs/>
                <w:color w:val="000000"/>
                <w:sz w:val="18"/>
                <w:szCs w:val="18"/>
              </w:rPr>
            </w:pPr>
            <w:r w:rsidRPr="00EC7F3C">
              <w:rPr>
                <w:rFonts w:cs="Arial"/>
                <w:i/>
                <w:iCs/>
                <w:color w:val="000000"/>
                <w:sz w:val="18"/>
                <w:szCs w:val="18"/>
              </w:rPr>
              <w:t>E. coli</w:t>
            </w:r>
          </w:p>
        </w:tc>
        <w:tc>
          <w:tcPr>
            <w:tcW w:w="1309" w:type="dxa"/>
            <w:vAlign w:val="center"/>
          </w:tcPr>
          <w:p w14:paraId="74509E70"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7F3C">
              <w:rPr>
                <w:rFonts w:cs="Arial"/>
                <w:color w:val="000000"/>
                <w:sz w:val="18"/>
                <w:szCs w:val="18"/>
              </w:rPr>
              <w:t>6h</w:t>
            </w:r>
          </w:p>
        </w:tc>
        <w:tc>
          <w:tcPr>
            <w:tcW w:w="1165" w:type="dxa"/>
            <w:vAlign w:val="center"/>
          </w:tcPr>
          <w:p w14:paraId="53DB2453"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7F3C">
              <w:rPr>
                <w:rFonts w:cs="Arial"/>
                <w:color w:val="000000"/>
                <w:sz w:val="18"/>
                <w:szCs w:val="18"/>
              </w:rPr>
              <w:t>6.6</w:t>
            </w:r>
          </w:p>
        </w:tc>
        <w:tc>
          <w:tcPr>
            <w:tcW w:w="2562" w:type="dxa"/>
            <w:vAlign w:val="center"/>
          </w:tcPr>
          <w:p w14:paraId="190D64E3" w14:textId="77777777" w:rsidR="00285EF0" w:rsidRPr="00EC7F3C"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7F3C">
              <w:rPr>
                <w:rFonts w:cs="Arial"/>
                <w:color w:val="000000"/>
                <w:sz w:val="18"/>
                <w:szCs w:val="18"/>
              </w:rPr>
              <w:t xml:space="preserve">12ppm </w:t>
            </w:r>
          </w:p>
        </w:tc>
        <w:tc>
          <w:tcPr>
            <w:tcW w:w="1162" w:type="dxa"/>
            <w:vAlign w:val="center"/>
          </w:tcPr>
          <w:p w14:paraId="31E41F0C"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7F3C">
              <w:rPr>
                <w:rFonts w:cs="Arial"/>
                <w:color w:val="000000"/>
                <w:sz w:val="18"/>
                <w:szCs w:val="18"/>
              </w:rPr>
              <w:t>15min</w:t>
            </w:r>
          </w:p>
        </w:tc>
        <w:tc>
          <w:tcPr>
            <w:tcW w:w="1229" w:type="dxa"/>
            <w:vAlign w:val="center"/>
          </w:tcPr>
          <w:p w14:paraId="1787ED3F"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7F3C">
              <w:rPr>
                <w:rFonts w:cs="Arial"/>
                <w:color w:val="000000"/>
                <w:sz w:val="18"/>
                <w:szCs w:val="18"/>
              </w:rPr>
              <w:t>2.2</w:t>
            </w:r>
          </w:p>
        </w:tc>
        <w:tc>
          <w:tcPr>
            <w:tcW w:w="2851" w:type="dxa"/>
            <w:vAlign w:val="center"/>
          </w:tcPr>
          <w:p w14:paraId="54A55437" w14:textId="77777777" w:rsidR="00285EF0" w:rsidRPr="00EC7F3C"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7F3C">
              <w:rPr>
                <w:rFonts w:cs="Arial"/>
                <w:color w:val="000000"/>
                <w:sz w:val="18"/>
                <w:szCs w:val="18"/>
              </w:rPr>
              <w:t>Karaca and Velioglu (2014)</w:t>
            </w:r>
          </w:p>
        </w:tc>
      </w:tr>
      <w:tr w:rsidR="00285EF0" w:rsidRPr="00BE211F" w14:paraId="0C0DC7DC"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45268C8C" w14:textId="77777777" w:rsidR="00285EF0" w:rsidRPr="00EC7F3C" w:rsidRDefault="00285EF0" w:rsidP="00285EF0">
            <w:pPr>
              <w:widowControl/>
              <w:rPr>
                <w:rFonts w:cs="Arial"/>
                <w:b w:val="0"/>
                <w:color w:val="000000" w:themeColor="text1"/>
                <w:sz w:val="18"/>
                <w:szCs w:val="18"/>
              </w:rPr>
            </w:pPr>
            <w:r w:rsidRPr="00EC7F3C">
              <w:rPr>
                <w:rFonts w:cs="Arial"/>
                <w:b w:val="0"/>
                <w:color w:val="000000"/>
                <w:sz w:val="18"/>
                <w:szCs w:val="18"/>
              </w:rPr>
              <w:t>Parsley</w:t>
            </w:r>
          </w:p>
        </w:tc>
        <w:tc>
          <w:tcPr>
            <w:tcW w:w="1764" w:type="dxa"/>
            <w:vAlign w:val="center"/>
          </w:tcPr>
          <w:p w14:paraId="72EAA442" w14:textId="77777777" w:rsidR="00285EF0" w:rsidRPr="00EC7F3C"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iCs/>
                <w:color w:val="000000" w:themeColor="text1"/>
                <w:sz w:val="18"/>
                <w:szCs w:val="18"/>
              </w:rPr>
            </w:pPr>
            <w:r w:rsidRPr="00EC7F3C">
              <w:rPr>
                <w:rFonts w:cs="Arial"/>
                <w:i/>
                <w:iCs/>
                <w:color w:val="000000"/>
                <w:sz w:val="18"/>
                <w:szCs w:val="18"/>
              </w:rPr>
              <w:t>L. innocua</w:t>
            </w:r>
          </w:p>
        </w:tc>
        <w:tc>
          <w:tcPr>
            <w:tcW w:w="1309" w:type="dxa"/>
            <w:vAlign w:val="center"/>
          </w:tcPr>
          <w:p w14:paraId="2EAC6A2B"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6h</w:t>
            </w:r>
          </w:p>
        </w:tc>
        <w:tc>
          <w:tcPr>
            <w:tcW w:w="1165" w:type="dxa"/>
            <w:vAlign w:val="center"/>
          </w:tcPr>
          <w:p w14:paraId="2771C692"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6.5</w:t>
            </w:r>
          </w:p>
        </w:tc>
        <w:tc>
          <w:tcPr>
            <w:tcW w:w="2562" w:type="dxa"/>
            <w:vAlign w:val="center"/>
          </w:tcPr>
          <w:p w14:paraId="52DB8570" w14:textId="77777777" w:rsidR="00285EF0" w:rsidRPr="00EC7F3C"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 xml:space="preserve">12ppm </w:t>
            </w:r>
          </w:p>
        </w:tc>
        <w:tc>
          <w:tcPr>
            <w:tcW w:w="1162" w:type="dxa"/>
            <w:vAlign w:val="center"/>
          </w:tcPr>
          <w:p w14:paraId="4A9AEE95"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5</w:t>
            </w:r>
          </w:p>
        </w:tc>
        <w:tc>
          <w:tcPr>
            <w:tcW w:w="1229" w:type="dxa"/>
            <w:vAlign w:val="center"/>
          </w:tcPr>
          <w:p w14:paraId="34BF9C40"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1.6</w:t>
            </w:r>
          </w:p>
        </w:tc>
        <w:tc>
          <w:tcPr>
            <w:tcW w:w="2851" w:type="dxa"/>
            <w:vAlign w:val="center"/>
          </w:tcPr>
          <w:p w14:paraId="35DA2016" w14:textId="77777777" w:rsidR="00285EF0" w:rsidRPr="00EC7F3C"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Karaca and Velioglu (2020)</w:t>
            </w:r>
          </w:p>
        </w:tc>
      </w:tr>
      <w:tr w:rsidR="00285EF0" w:rsidRPr="00BE211F" w14:paraId="5363F684"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07B8EA90" w14:textId="77777777" w:rsidR="00285EF0" w:rsidRPr="00EC7F3C" w:rsidRDefault="00285EF0" w:rsidP="00285EF0">
            <w:pPr>
              <w:widowControl/>
              <w:rPr>
                <w:rFonts w:cs="Arial"/>
                <w:b w:val="0"/>
                <w:color w:val="000000" w:themeColor="text1"/>
                <w:sz w:val="18"/>
                <w:szCs w:val="18"/>
              </w:rPr>
            </w:pPr>
            <w:r w:rsidRPr="00EC7F3C">
              <w:rPr>
                <w:rFonts w:cs="Arial"/>
                <w:b w:val="0"/>
                <w:color w:val="000000"/>
                <w:sz w:val="18"/>
                <w:szCs w:val="18"/>
              </w:rPr>
              <w:t>Parsley</w:t>
            </w:r>
          </w:p>
        </w:tc>
        <w:tc>
          <w:tcPr>
            <w:tcW w:w="1764" w:type="dxa"/>
            <w:vAlign w:val="center"/>
          </w:tcPr>
          <w:p w14:paraId="5C0B4D29" w14:textId="77777777" w:rsidR="00285EF0" w:rsidRPr="00EC7F3C"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iCs/>
                <w:color w:val="000000" w:themeColor="text1"/>
                <w:sz w:val="18"/>
                <w:szCs w:val="18"/>
              </w:rPr>
            </w:pPr>
            <w:r w:rsidRPr="00EC7F3C">
              <w:rPr>
                <w:rFonts w:cs="Arial"/>
                <w:i/>
                <w:iCs/>
                <w:color w:val="000000"/>
                <w:sz w:val="18"/>
                <w:szCs w:val="18"/>
                <w:lang w:val="en-AU"/>
              </w:rPr>
              <w:t>L. innocua</w:t>
            </w:r>
          </w:p>
        </w:tc>
        <w:tc>
          <w:tcPr>
            <w:tcW w:w="1309" w:type="dxa"/>
            <w:vAlign w:val="center"/>
          </w:tcPr>
          <w:p w14:paraId="389BF63C"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6h</w:t>
            </w:r>
          </w:p>
        </w:tc>
        <w:tc>
          <w:tcPr>
            <w:tcW w:w="1165" w:type="dxa"/>
            <w:vAlign w:val="center"/>
          </w:tcPr>
          <w:p w14:paraId="52423B8E"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6.6</w:t>
            </w:r>
          </w:p>
        </w:tc>
        <w:tc>
          <w:tcPr>
            <w:tcW w:w="2562" w:type="dxa"/>
            <w:vAlign w:val="center"/>
          </w:tcPr>
          <w:p w14:paraId="51F395AB" w14:textId="77777777" w:rsidR="00285EF0" w:rsidRPr="00EC7F3C"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 xml:space="preserve">12ppm </w:t>
            </w:r>
          </w:p>
        </w:tc>
        <w:tc>
          <w:tcPr>
            <w:tcW w:w="1162" w:type="dxa"/>
            <w:vAlign w:val="center"/>
          </w:tcPr>
          <w:p w14:paraId="08C1AE38"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15min</w:t>
            </w:r>
          </w:p>
        </w:tc>
        <w:tc>
          <w:tcPr>
            <w:tcW w:w="1229" w:type="dxa"/>
            <w:vAlign w:val="center"/>
          </w:tcPr>
          <w:p w14:paraId="09455FCE"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2.2</w:t>
            </w:r>
          </w:p>
        </w:tc>
        <w:tc>
          <w:tcPr>
            <w:tcW w:w="2851" w:type="dxa"/>
            <w:vAlign w:val="center"/>
          </w:tcPr>
          <w:p w14:paraId="457923EC" w14:textId="77777777" w:rsidR="00285EF0" w:rsidRPr="00EC7F3C"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Karaca and Velioglu (2014)</w:t>
            </w:r>
          </w:p>
        </w:tc>
      </w:tr>
      <w:tr w:rsidR="00285EF0" w:rsidRPr="00BE211F" w14:paraId="04C59C38"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3CF5015E" w14:textId="77777777" w:rsidR="00285EF0" w:rsidRPr="00EC7F3C" w:rsidRDefault="00285EF0" w:rsidP="00285EF0">
            <w:pPr>
              <w:widowControl/>
              <w:rPr>
                <w:rFonts w:cs="Arial"/>
                <w:b w:val="0"/>
                <w:color w:val="000000" w:themeColor="text1"/>
                <w:sz w:val="18"/>
                <w:szCs w:val="18"/>
              </w:rPr>
            </w:pPr>
            <w:r w:rsidRPr="00EC7F3C">
              <w:rPr>
                <w:rFonts w:cs="Arial"/>
                <w:b w:val="0"/>
                <w:color w:val="000000"/>
                <w:sz w:val="18"/>
                <w:szCs w:val="18"/>
              </w:rPr>
              <w:t>Parsley</w:t>
            </w:r>
          </w:p>
        </w:tc>
        <w:tc>
          <w:tcPr>
            <w:tcW w:w="1764" w:type="dxa"/>
            <w:vAlign w:val="center"/>
          </w:tcPr>
          <w:p w14:paraId="1E423DB4" w14:textId="77777777" w:rsidR="00285EF0" w:rsidRPr="00EC7F3C"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iCs/>
                <w:color w:val="000000" w:themeColor="text1"/>
                <w:sz w:val="18"/>
                <w:szCs w:val="18"/>
              </w:rPr>
            </w:pPr>
            <w:r w:rsidRPr="00EC7F3C">
              <w:rPr>
                <w:rFonts w:cs="Arial"/>
                <w:i/>
                <w:iCs/>
                <w:color w:val="000000"/>
                <w:sz w:val="18"/>
                <w:szCs w:val="18"/>
              </w:rPr>
              <w:t xml:space="preserve">Salmonella </w:t>
            </w:r>
            <w:r w:rsidRPr="00EC7F3C">
              <w:rPr>
                <w:rFonts w:cs="Arial"/>
                <w:color w:val="000000"/>
                <w:sz w:val="18"/>
                <w:szCs w:val="18"/>
              </w:rPr>
              <w:t>spp.</w:t>
            </w:r>
          </w:p>
        </w:tc>
        <w:tc>
          <w:tcPr>
            <w:tcW w:w="1309" w:type="dxa"/>
            <w:vAlign w:val="center"/>
          </w:tcPr>
          <w:p w14:paraId="6E45F1F6"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24h</w:t>
            </w:r>
          </w:p>
        </w:tc>
        <w:tc>
          <w:tcPr>
            <w:tcW w:w="1165" w:type="dxa"/>
            <w:vAlign w:val="center"/>
          </w:tcPr>
          <w:p w14:paraId="0C6066D4"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5.4</w:t>
            </w:r>
          </w:p>
        </w:tc>
        <w:tc>
          <w:tcPr>
            <w:tcW w:w="2562" w:type="dxa"/>
            <w:vAlign w:val="center"/>
          </w:tcPr>
          <w:p w14:paraId="69557B40" w14:textId="77777777" w:rsidR="00285EF0" w:rsidRPr="00EC7F3C"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 xml:space="preserve">0.5 – 1.5 ppm </w:t>
            </w:r>
          </w:p>
        </w:tc>
        <w:tc>
          <w:tcPr>
            <w:tcW w:w="1162" w:type="dxa"/>
            <w:vAlign w:val="center"/>
          </w:tcPr>
          <w:p w14:paraId="0F6634D9"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1A5849">
              <w:rPr>
                <w:rFonts w:cs="Arial"/>
                <w:color w:val="000000"/>
                <w:sz w:val="18"/>
                <w:szCs w:val="18"/>
              </w:rPr>
              <w:t>3 - 10</w:t>
            </w:r>
          </w:p>
        </w:tc>
        <w:tc>
          <w:tcPr>
            <w:tcW w:w="1229" w:type="dxa"/>
            <w:vAlign w:val="center"/>
          </w:tcPr>
          <w:p w14:paraId="5F062034"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0.3 – 2.6</w:t>
            </w:r>
          </w:p>
        </w:tc>
        <w:tc>
          <w:tcPr>
            <w:tcW w:w="2851" w:type="dxa"/>
            <w:vAlign w:val="center"/>
          </w:tcPr>
          <w:p w14:paraId="090E4DA6" w14:textId="77777777" w:rsidR="00285EF0" w:rsidRPr="00EC7F3C"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Sengun (2013)</w:t>
            </w:r>
          </w:p>
        </w:tc>
      </w:tr>
      <w:tr w:rsidR="00285EF0" w:rsidRPr="00BE211F" w14:paraId="53A15C44"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2C06CBB0" w14:textId="77777777" w:rsidR="00285EF0" w:rsidRPr="00EC7F3C" w:rsidRDefault="00285EF0" w:rsidP="00285EF0">
            <w:pPr>
              <w:widowControl/>
              <w:rPr>
                <w:rFonts w:cs="Arial"/>
                <w:b w:val="0"/>
                <w:color w:val="000000" w:themeColor="text1"/>
                <w:sz w:val="18"/>
                <w:szCs w:val="18"/>
              </w:rPr>
            </w:pPr>
            <w:r w:rsidRPr="00EC7F3C">
              <w:rPr>
                <w:rFonts w:cs="Arial"/>
                <w:b w:val="0"/>
                <w:color w:val="000000"/>
                <w:sz w:val="18"/>
                <w:szCs w:val="18"/>
              </w:rPr>
              <w:t>Spinach</w:t>
            </w:r>
          </w:p>
        </w:tc>
        <w:tc>
          <w:tcPr>
            <w:tcW w:w="1764" w:type="dxa"/>
            <w:vAlign w:val="center"/>
          </w:tcPr>
          <w:p w14:paraId="1BC0F362" w14:textId="77777777" w:rsidR="00285EF0" w:rsidRPr="00EC7F3C"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iCs/>
                <w:color w:val="000000" w:themeColor="text1"/>
                <w:sz w:val="18"/>
                <w:szCs w:val="18"/>
              </w:rPr>
            </w:pPr>
            <w:r w:rsidRPr="00EC7F3C">
              <w:rPr>
                <w:rFonts w:cs="Arial"/>
                <w:i/>
                <w:iCs/>
                <w:color w:val="000000"/>
                <w:sz w:val="18"/>
                <w:szCs w:val="18"/>
                <w:lang w:val="en-AU"/>
              </w:rPr>
              <w:t>L. innocua</w:t>
            </w:r>
          </w:p>
        </w:tc>
        <w:tc>
          <w:tcPr>
            <w:tcW w:w="1309" w:type="dxa"/>
            <w:vAlign w:val="center"/>
          </w:tcPr>
          <w:p w14:paraId="5445C546"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6h</w:t>
            </w:r>
          </w:p>
        </w:tc>
        <w:tc>
          <w:tcPr>
            <w:tcW w:w="1165" w:type="dxa"/>
            <w:vAlign w:val="center"/>
          </w:tcPr>
          <w:p w14:paraId="13AE03FF"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6.4</w:t>
            </w:r>
          </w:p>
        </w:tc>
        <w:tc>
          <w:tcPr>
            <w:tcW w:w="2562" w:type="dxa"/>
            <w:vAlign w:val="center"/>
          </w:tcPr>
          <w:p w14:paraId="15DC00E4" w14:textId="77777777" w:rsidR="00285EF0" w:rsidRPr="00EC7F3C"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 xml:space="preserve">12ppm </w:t>
            </w:r>
          </w:p>
        </w:tc>
        <w:tc>
          <w:tcPr>
            <w:tcW w:w="1162" w:type="dxa"/>
            <w:vAlign w:val="center"/>
          </w:tcPr>
          <w:p w14:paraId="341AE799"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15min</w:t>
            </w:r>
          </w:p>
        </w:tc>
        <w:tc>
          <w:tcPr>
            <w:tcW w:w="1229" w:type="dxa"/>
            <w:vAlign w:val="center"/>
          </w:tcPr>
          <w:p w14:paraId="073397FA" w14:textId="77777777" w:rsidR="00285EF0" w:rsidRPr="00EC7F3C"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2.1</w:t>
            </w:r>
          </w:p>
        </w:tc>
        <w:tc>
          <w:tcPr>
            <w:tcW w:w="2851" w:type="dxa"/>
            <w:vAlign w:val="center"/>
          </w:tcPr>
          <w:p w14:paraId="6159F88E" w14:textId="77777777" w:rsidR="00285EF0" w:rsidRPr="00EC7F3C"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EC7F3C">
              <w:rPr>
                <w:rFonts w:cs="Arial"/>
                <w:color w:val="000000"/>
                <w:sz w:val="18"/>
                <w:szCs w:val="18"/>
              </w:rPr>
              <w:t>Karaca and Velioglu (2014)</w:t>
            </w:r>
          </w:p>
        </w:tc>
      </w:tr>
      <w:tr w:rsidR="00285EF0" w:rsidRPr="00BE211F" w14:paraId="2813507A"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705D8021" w14:textId="77777777" w:rsidR="00285EF0" w:rsidRPr="00EC7F3C" w:rsidRDefault="00285EF0" w:rsidP="00285EF0">
            <w:pPr>
              <w:widowControl/>
              <w:rPr>
                <w:rFonts w:cs="Arial"/>
                <w:b w:val="0"/>
                <w:color w:val="000000" w:themeColor="text1"/>
                <w:sz w:val="18"/>
                <w:szCs w:val="18"/>
              </w:rPr>
            </w:pPr>
            <w:r w:rsidRPr="00EC7F3C">
              <w:rPr>
                <w:rFonts w:cs="Arial"/>
                <w:b w:val="0"/>
                <w:color w:val="000000"/>
                <w:sz w:val="18"/>
                <w:szCs w:val="18"/>
              </w:rPr>
              <w:t xml:space="preserve">Spinach </w:t>
            </w:r>
          </w:p>
        </w:tc>
        <w:tc>
          <w:tcPr>
            <w:tcW w:w="1764" w:type="dxa"/>
            <w:vAlign w:val="center"/>
          </w:tcPr>
          <w:p w14:paraId="4E09739D" w14:textId="77777777" w:rsidR="00285EF0" w:rsidRPr="00EC7F3C"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iCs/>
                <w:color w:val="000000" w:themeColor="text1"/>
                <w:sz w:val="18"/>
                <w:szCs w:val="18"/>
              </w:rPr>
            </w:pPr>
            <w:r w:rsidRPr="00EC7F3C">
              <w:rPr>
                <w:rFonts w:cs="Arial"/>
                <w:i/>
                <w:iCs/>
                <w:color w:val="000000"/>
                <w:sz w:val="18"/>
                <w:szCs w:val="18"/>
              </w:rPr>
              <w:t>E. coli</w:t>
            </w:r>
          </w:p>
        </w:tc>
        <w:tc>
          <w:tcPr>
            <w:tcW w:w="1309" w:type="dxa"/>
            <w:vAlign w:val="center"/>
          </w:tcPr>
          <w:p w14:paraId="5BA5312A"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6h</w:t>
            </w:r>
          </w:p>
        </w:tc>
        <w:tc>
          <w:tcPr>
            <w:tcW w:w="1165" w:type="dxa"/>
            <w:vAlign w:val="center"/>
          </w:tcPr>
          <w:p w14:paraId="6B5BFE02"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6.4</w:t>
            </w:r>
          </w:p>
        </w:tc>
        <w:tc>
          <w:tcPr>
            <w:tcW w:w="2562" w:type="dxa"/>
            <w:vAlign w:val="center"/>
          </w:tcPr>
          <w:p w14:paraId="432C8631" w14:textId="77777777" w:rsidR="00285EF0" w:rsidRPr="00EC7F3C"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 xml:space="preserve">12ppm </w:t>
            </w:r>
          </w:p>
        </w:tc>
        <w:tc>
          <w:tcPr>
            <w:tcW w:w="1162" w:type="dxa"/>
            <w:vAlign w:val="center"/>
          </w:tcPr>
          <w:p w14:paraId="1E24DC32"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15min</w:t>
            </w:r>
          </w:p>
        </w:tc>
        <w:tc>
          <w:tcPr>
            <w:tcW w:w="1229" w:type="dxa"/>
            <w:vAlign w:val="center"/>
          </w:tcPr>
          <w:p w14:paraId="07202E34" w14:textId="77777777" w:rsidR="00285EF0" w:rsidRPr="00EC7F3C"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1.7</w:t>
            </w:r>
          </w:p>
        </w:tc>
        <w:tc>
          <w:tcPr>
            <w:tcW w:w="2851" w:type="dxa"/>
            <w:vAlign w:val="center"/>
          </w:tcPr>
          <w:p w14:paraId="789931AA" w14:textId="77777777" w:rsidR="00285EF0" w:rsidRPr="00EC7F3C"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EC7F3C">
              <w:rPr>
                <w:rFonts w:cs="Arial"/>
                <w:color w:val="000000"/>
                <w:sz w:val="18"/>
                <w:szCs w:val="18"/>
              </w:rPr>
              <w:t>Karaca and Velioglu (2014)</w:t>
            </w:r>
          </w:p>
        </w:tc>
      </w:tr>
      <w:tr w:rsidR="00285EF0" w:rsidRPr="00BE211F" w14:paraId="7CD929E0"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3887" w:type="dxa"/>
            <w:gridSpan w:val="8"/>
            <w:vAlign w:val="center"/>
          </w:tcPr>
          <w:p w14:paraId="08032CC5" w14:textId="77777777" w:rsidR="00285EF0" w:rsidRPr="00BE211F" w:rsidRDefault="00285EF0" w:rsidP="00285EF0">
            <w:pPr>
              <w:widowControl/>
              <w:rPr>
                <w:rFonts w:cs="Arial"/>
                <w:color w:val="000000" w:themeColor="text1"/>
                <w:sz w:val="18"/>
                <w:szCs w:val="18"/>
              </w:rPr>
            </w:pPr>
          </w:p>
        </w:tc>
      </w:tr>
      <w:tr w:rsidR="00285EF0" w:rsidRPr="00BE211F" w14:paraId="53C1AFE0"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3887" w:type="dxa"/>
            <w:gridSpan w:val="8"/>
            <w:tcBorders>
              <w:right w:val="none" w:sz="0" w:space="0" w:color="auto"/>
            </w:tcBorders>
            <w:shd w:val="clear" w:color="auto" w:fill="C6D9F1" w:themeFill="text2" w:themeFillTint="33"/>
            <w:vAlign w:val="center"/>
          </w:tcPr>
          <w:p w14:paraId="32286BF0" w14:textId="77777777" w:rsidR="00285EF0" w:rsidRPr="00BE211F" w:rsidRDefault="00285EF0" w:rsidP="00285EF0">
            <w:pPr>
              <w:widowControl/>
              <w:rPr>
                <w:rFonts w:cs="Arial"/>
                <w:sz w:val="18"/>
                <w:szCs w:val="18"/>
              </w:rPr>
            </w:pPr>
            <w:r w:rsidRPr="00BE211F">
              <w:rPr>
                <w:rFonts w:cs="Arial"/>
                <w:color w:val="000000" w:themeColor="text1"/>
                <w:sz w:val="18"/>
                <w:szCs w:val="18"/>
              </w:rPr>
              <w:t>EOW</w:t>
            </w:r>
          </w:p>
        </w:tc>
      </w:tr>
      <w:tr w:rsidR="00285EF0" w:rsidRPr="00BE211F" w14:paraId="5F514108"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Pr>
          <w:p w14:paraId="48850E79" w14:textId="77777777" w:rsidR="00285EF0" w:rsidRPr="000078AD" w:rsidRDefault="00285EF0" w:rsidP="00285EF0">
            <w:pPr>
              <w:widowControl/>
              <w:rPr>
                <w:rFonts w:cs="Arial"/>
                <w:b w:val="0"/>
                <w:bCs w:val="0"/>
                <w:sz w:val="18"/>
                <w:szCs w:val="18"/>
              </w:rPr>
            </w:pPr>
            <w:r w:rsidRPr="000078AD">
              <w:rPr>
                <w:rFonts w:cs="Arial"/>
                <w:b w:val="0"/>
                <w:color w:val="000000" w:themeColor="text1"/>
                <w:sz w:val="18"/>
                <w:szCs w:val="18"/>
              </w:rPr>
              <w:t>Rockmelon</w:t>
            </w:r>
          </w:p>
        </w:tc>
        <w:tc>
          <w:tcPr>
            <w:tcW w:w="1764" w:type="dxa"/>
          </w:tcPr>
          <w:p w14:paraId="33891997"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iCs/>
                <w:sz w:val="18"/>
                <w:szCs w:val="18"/>
              </w:rPr>
            </w:pPr>
            <w:r w:rsidRPr="000078AD">
              <w:rPr>
                <w:rFonts w:cs="Arial"/>
                <w:i/>
                <w:sz w:val="18"/>
                <w:szCs w:val="18"/>
              </w:rPr>
              <w:t>L. monocytogenes</w:t>
            </w:r>
          </w:p>
        </w:tc>
        <w:tc>
          <w:tcPr>
            <w:tcW w:w="1309" w:type="dxa"/>
          </w:tcPr>
          <w:p w14:paraId="2DA78355"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ON</w:t>
            </w:r>
          </w:p>
        </w:tc>
        <w:tc>
          <w:tcPr>
            <w:tcW w:w="1165" w:type="dxa"/>
          </w:tcPr>
          <w:p w14:paraId="0E6626AE"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6.6</w:t>
            </w:r>
          </w:p>
        </w:tc>
        <w:tc>
          <w:tcPr>
            <w:tcW w:w="2562" w:type="dxa"/>
          </w:tcPr>
          <w:p w14:paraId="7FE689AB"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0078AD">
              <w:rPr>
                <w:rFonts w:cs="Arial"/>
                <w:sz w:val="18"/>
                <w:szCs w:val="18"/>
              </w:rPr>
              <w:t>AEW, pH 2.5, 100ppm chlorine</w:t>
            </w:r>
          </w:p>
        </w:tc>
        <w:tc>
          <w:tcPr>
            <w:tcW w:w="1162" w:type="dxa"/>
          </w:tcPr>
          <w:p w14:paraId="4A3C689F"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0078AD">
              <w:rPr>
                <w:rFonts w:cs="Arial"/>
                <w:sz w:val="18"/>
                <w:szCs w:val="18"/>
              </w:rPr>
              <w:t>5</w:t>
            </w:r>
          </w:p>
        </w:tc>
        <w:tc>
          <w:tcPr>
            <w:tcW w:w="1229" w:type="dxa"/>
          </w:tcPr>
          <w:p w14:paraId="0A866D36"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1.7</w:t>
            </w:r>
          </w:p>
        </w:tc>
        <w:tc>
          <w:tcPr>
            <w:tcW w:w="2851" w:type="dxa"/>
          </w:tcPr>
          <w:p w14:paraId="6218751A" w14:textId="77777777" w:rsidR="00285EF0" w:rsidRPr="000078AD"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fldChar w:fldCharType="begin"/>
            </w:r>
            <w:r w:rsidRPr="000078AD">
              <w:rPr>
                <w:rFonts w:cs="Arial"/>
                <w:sz w:val="18"/>
                <w:szCs w:val="18"/>
              </w:rPr>
              <w:instrText>ADDIN CITAVI.PLACEHOLDER dbf5ac1b-263d-4a4c-9a65-b569e35027ea 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pbmdoIGV0IGFsLjwvVGV4dD4NCiAgICA8L1RleHRVbml0Pg0KICA8L1RleHRVbml0cz4NCjwvUGxhY2Vob2xkZXI+</w:instrText>
            </w:r>
            <w:r w:rsidRPr="000078AD">
              <w:rPr>
                <w:rFonts w:cs="Arial"/>
                <w:sz w:val="18"/>
                <w:szCs w:val="18"/>
              </w:rPr>
              <w:fldChar w:fldCharType="separate"/>
            </w:r>
            <w:r w:rsidRPr="000078AD">
              <w:rPr>
                <w:rFonts w:cs="Arial"/>
                <w:sz w:val="18"/>
                <w:szCs w:val="18"/>
              </w:rPr>
              <w:t>Singh et al.</w:t>
            </w:r>
            <w:r w:rsidRPr="000078AD">
              <w:rPr>
                <w:rFonts w:cs="Arial"/>
                <w:sz w:val="18"/>
                <w:szCs w:val="18"/>
              </w:rPr>
              <w:fldChar w:fldCharType="end"/>
            </w:r>
            <w:r w:rsidRPr="000078AD">
              <w:rPr>
                <w:rFonts w:cs="Arial"/>
                <w:sz w:val="18"/>
                <w:szCs w:val="18"/>
              </w:rPr>
              <w:t xml:space="preserve"> </w:t>
            </w:r>
            <w:r w:rsidRPr="000078AD">
              <w:rPr>
                <w:rFonts w:cs="Arial"/>
                <w:sz w:val="18"/>
                <w:szCs w:val="18"/>
              </w:rPr>
              <w:fldChar w:fldCharType="begin"/>
            </w:r>
            <w:r w:rsidRPr="000078AD">
              <w:rPr>
                <w:rFonts w:cs="Arial"/>
                <w:sz w:val="18"/>
                <w:szCs w:val="18"/>
              </w:rPr>
              <w:instrText>ADDIN CITAVI.PLACEHOLDER dc8afbe8-6401-41e7-bb4a-af0712d35e19 PFBsYWNlaG9sZGVyPg0KICA8QWRkSW5WZXJzaW9uPjUuNy4xLjA8L0FkZEluVmVyc2lvbj4NCiAgPElkPmRjOGFmYmU4LTY0MDEtNDFlNy1iYjRhLWFmMDcxMmQzNWUxOTwvSWQ+DQogIDxBc3NvY2lhdGVXaXRoUGxhY2Vob2xkZXJJZD5kYmY1YWMxYi0yNjNkLTRhNGMtOWE2NS1iNTY5ZTM1MDI3ZWE8L0Fzc29jaWF0ZVdpdGhQbGFjZWhvbGRlcklkPg0KICA8RW50cmllcz4NCiAgICA8RW50cnk+DQogICAgICA8SWQ+NThhYzA2NjctMzNmMi00ODRjLTliOGYtNDk2MTY3NWY4MGY2PC9JZD4NCiAgICAgIDxSZWZlcmVuY2VJZD4zZTAwY2RiOC1mZTc5LTQ2NGYtOTRlMy1kYzkwNWM1OWMzMm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OCk8L1RleHQ+DQogICAgPC9UZXh0VW5pdD4NCiAgPC9UZXh0VW5pdHM+DQo8L1BsYWNlaG9sZGVyPg==</w:instrText>
            </w:r>
            <w:r w:rsidRPr="000078AD">
              <w:rPr>
                <w:rFonts w:cs="Arial"/>
                <w:sz w:val="18"/>
                <w:szCs w:val="18"/>
              </w:rPr>
              <w:fldChar w:fldCharType="separate"/>
            </w:r>
            <w:r w:rsidRPr="000078AD">
              <w:rPr>
                <w:rFonts w:cs="Arial"/>
                <w:sz w:val="18"/>
                <w:szCs w:val="18"/>
              </w:rPr>
              <w:t>(2018)</w:t>
            </w:r>
            <w:r w:rsidRPr="000078AD">
              <w:rPr>
                <w:rFonts w:cs="Arial"/>
                <w:sz w:val="18"/>
                <w:szCs w:val="18"/>
              </w:rPr>
              <w:fldChar w:fldCharType="end"/>
            </w:r>
          </w:p>
        </w:tc>
      </w:tr>
      <w:tr w:rsidR="00285EF0" w:rsidRPr="00BE211F" w14:paraId="186F0D14"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Pr>
          <w:p w14:paraId="4B38C0E6" w14:textId="77777777" w:rsidR="00285EF0" w:rsidRPr="000078AD" w:rsidRDefault="00285EF0" w:rsidP="00285EF0">
            <w:pPr>
              <w:widowControl/>
              <w:rPr>
                <w:rFonts w:cs="Arial"/>
                <w:b w:val="0"/>
                <w:bCs w:val="0"/>
                <w:sz w:val="18"/>
                <w:szCs w:val="18"/>
              </w:rPr>
            </w:pPr>
            <w:r w:rsidRPr="000078AD">
              <w:rPr>
                <w:rFonts w:cs="Arial"/>
                <w:b w:val="0"/>
                <w:color w:val="000000" w:themeColor="text1"/>
                <w:sz w:val="18"/>
                <w:szCs w:val="18"/>
              </w:rPr>
              <w:t>Rockmelon</w:t>
            </w:r>
          </w:p>
        </w:tc>
        <w:tc>
          <w:tcPr>
            <w:tcW w:w="1764" w:type="dxa"/>
          </w:tcPr>
          <w:p w14:paraId="5B4D0E18"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0078AD">
              <w:rPr>
                <w:rFonts w:cs="Arial"/>
                <w:i/>
                <w:color w:val="000000" w:themeColor="text1"/>
                <w:sz w:val="18"/>
                <w:szCs w:val="18"/>
              </w:rPr>
              <w:t>L. monocytogenes</w:t>
            </w:r>
          </w:p>
        </w:tc>
        <w:tc>
          <w:tcPr>
            <w:tcW w:w="1309" w:type="dxa"/>
          </w:tcPr>
          <w:p w14:paraId="3622A70E"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ON</w:t>
            </w:r>
          </w:p>
        </w:tc>
        <w:tc>
          <w:tcPr>
            <w:tcW w:w="1165" w:type="dxa"/>
          </w:tcPr>
          <w:p w14:paraId="6A6F92FC"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7.6</w:t>
            </w:r>
          </w:p>
        </w:tc>
        <w:tc>
          <w:tcPr>
            <w:tcW w:w="2562" w:type="dxa"/>
            <w:shd w:val="clear" w:color="auto" w:fill="auto"/>
          </w:tcPr>
          <w:p w14:paraId="5566B1A6"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sidRPr="000078AD">
              <w:rPr>
                <w:rFonts w:cs="Arial"/>
                <w:sz w:val="18"/>
                <w:szCs w:val="18"/>
              </w:rPr>
              <w:t>NNEW, pH 6.2, 100ppm chlorine</w:t>
            </w:r>
          </w:p>
        </w:tc>
        <w:tc>
          <w:tcPr>
            <w:tcW w:w="1162" w:type="dxa"/>
          </w:tcPr>
          <w:p w14:paraId="5FBA20EB"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sidRPr="000078AD">
              <w:rPr>
                <w:rFonts w:cs="Arial"/>
                <w:sz w:val="18"/>
                <w:szCs w:val="18"/>
              </w:rPr>
              <w:t>5</w:t>
            </w:r>
          </w:p>
        </w:tc>
        <w:tc>
          <w:tcPr>
            <w:tcW w:w="1229" w:type="dxa"/>
          </w:tcPr>
          <w:p w14:paraId="028DBBA1"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2.1</w:t>
            </w:r>
          </w:p>
        </w:tc>
        <w:tc>
          <w:tcPr>
            <w:tcW w:w="2851" w:type="dxa"/>
          </w:tcPr>
          <w:p w14:paraId="1263C451" w14:textId="77777777" w:rsidR="00285EF0" w:rsidRPr="000078AD"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fldChar w:fldCharType="begin"/>
            </w:r>
            <w:r w:rsidRPr="000078AD">
              <w:rPr>
                <w:rFonts w:cs="Arial"/>
                <w:sz w:val="18"/>
                <w:szCs w:val="18"/>
              </w:rPr>
              <w:instrText>ADDIN CITAVI.PLACEHOLDER 9c7cee8b-1e15-487c-9c5e-d5a860d39dd0 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pbmdoIGV0IGFsLjwvVGV4dD4NCiAgICA8L1RleHRVbml0Pg0KICA8L1RleHRVbml0cz4NCjwvUGxhY2Vob2xkZXI+</w:instrText>
            </w:r>
            <w:r w:rsidRPr="000078AD">
              <w:rPr>
                <w:rFonts w:cs="Arial"/>
                <w:sz w:val="18"/>
                <w:szCs w:val="18"/>
              </w:rPr>
              <w:fldChar w:fldCharType="separate"/>
            </w:r>
            <w:r w:rsidRPr="000078AD">
              <w:rPr>
                <w:rFonts w:cs="Arial"/>
                <w:sz w:val="18"/>
                <w:szCs w:val="18"/>
              </w:rPr>
              <w:t>Singh et al.</w:t>
            </w:r>
            <w:r w:rsidRPr="000078AD">
              <w:rPr>
                <w:rFonts w:cs="Arial"/>
                <w:sz w:val="18"/>
                <w:szCs w:val="18"/>
              </w:rPr>
              <w:fldChar w:fldCharType="end"/>
            </w:r>
            <w:r w:rsidRPr="000078AD">
              <w:rPr>
                <w:rFonts w:cs="Arial"/>
                <w:sz w:val="18"/>
                <w:szCs w:val="18"/>
              </w:rPr>
              <w:t xml:space="preserve"> </w:t>
            </w:r>
            <w:r w:rsidRPr="000078AD">
              <w:rPr>
                <w:rFonts w:cs="Arial"/>
                <w:sz w:val="18"/>
                <w:szCs w:val="18"/>
              </w:rPr>
              <w:fldChar w:fldCharType="begin"/>
            </w:r>
            <w:r w:rsidRPr="000078AD">
              <w:rPr>
                <w:rFonts w:cs="Arial"/>
                <w:sz w:val="18"/>
                <w:szCs w:val="18"/>
              </w:rPr>
              <w:instrText>ADDIN CITAVI.PLACEHOLDER 2b544874-f498-4014-81ef-b90607124365 PFBsYWNlaG9sZGVyPg0KICA8QWRkSW5WZXJzaW9uPjUuNy4xLjA8L0FkZEluVmVyc2lvbj4NCiAgPElkPjJiNTQ0ODc0LWY0OTgtNDAxNC04MWVmLWI5MDYwNzEyNDM2NTwvSWQ+DQogIDxBc3NvY2lhdGVXaXRoUGxhY2Vob2xkZXJJZD5kYmY1YWMxYi0yNjNkLTRhNGMtOWE2NS1iNTY5ZTM1MDI3ZWE8L0Fzc29jaWF0ZVdpdGhQbGFjZWhvbGRlcklkPg0KICA8RW50cmllcz4NCiAgICA8RW50cnk+DQogICAgICA8SWQ+NThhYzA2NjctMzNmMi00ODRjLTliOGYtNDk2MTY3NWY4MGY2PC9JZD4NCiAgICAgIDxSZWZlcmVuY2VJZD4zZTAwY2RiOC1mZTc5LTQ2NGYtOTRlMy1kYzkwNWM1OWMzMm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OCk8L1RleHQ+DQogICAgPC9UZXh0VW5pdD4NCiAgPC9UZXh0VW5pdHM+DQo8L1BsYWNlaG9sZGVyPg==</w:instrText>
            </w:r>
            <w:r w:rsidRPr="000078AD">
              <w:rPr>
                <w:rFonts w:cs="Arial"/>
                <w:sz w:val="18"/>
                <w:szCs w:val="18"/>
              </w:rPr>
              <w:fldChar w:fldCharType="separate"/>
            </w:r>
            <w:r w:rsidRPr="000078AD">
              <w:rPr>
                <w:rFonts w:cs="Arial"/>
                <w:sz w:val="18"/>
                <w:szCs w:val="18"/>
              </w:rPr>
              <w:t>(2018)</w:t>
            </w:r>
            <w:r w:rsidRPr="000078AD">
              <w:rPr>
                <w:rFonts w:cs="Arial"/>
                <w:sz w:val="18"/>
                <w:szCs w:val="18"/>
              </w:rPr>
              <w:fldChar w:fldCharType="end"/>
            </w:r>
          </w:p>
        </w:tc>
      </w:tr>
      <w:tr w:rsidR="00285EF0" w:rsidRPr="00BE211F" w14:paraId="64AB9D8B"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Pr>
          <w:p w14:paraId="775584D7" w14:textId="77777777" w:rsidR="00285EF0" w:rsidRPr="000078AD" w:rsidRDefault="00285EF0" w:rsidP="00285EF0">
            <w:pPr>
              <w:widowControl/>
              <w:rPr>
                <w:rFonts w:cs="Arial"/>
                <w:b w:val="0"/>
                <w:bCs w:val="0"/>
                <w:sz w:val="18"/>
                <w:szCs w:val="18"/>
              </w:rPr>
            </w:pPr>
            <w:r w:rsidRPr="000078AD">
              <w:rPr>
                <w:rFonts w:cs="Arial"/>
                <w:b w:val="0"/>
                <w:color w:val="000000" w:themeColor="text1"/>
                <w:sz w:val="18"/>
                <w:szCs w:val="18"/>
              </w:rPr>
              <w:t>Rockmelon</w:t>
            </w:r>
          </w:p>
        </w:tc>
        <w:tc>
          <w:tcPr>
            <w:tcW w:w="1764" w:type="dxa"/>
          </w:tcPr>
          <w:p w14:paraId="26D61E5F"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iCs/>
                <w:sz w:val="18"/>
                <w:szCs w:val="18"/>
              </w:rPr>
            </w:pPr>
            <w:r w:rsidRPr="000078AD">
              <w:rPr>
                <w:rFonts w:cs="Arial"/>
                <w:i/>
                <w:iCs/>
                <w:color w:val="000000"/>
                <w:sz w:val="18"/>
                <w:szCs w:val="18"/>
              </w:rPr>
              <w:t xml:space="preserve">S. </w:t>
            </w:r>
            <w:r w:rsidRPr="000078AD">
              <w:rPr>
                <w:rFonts w:cs="Arial"/>
                <w:iCs/>
                <w:color w:val="000000"/>
                <w:sz w:val="18"/>
                <w:szCs w:val="18"/>
              </w:rPr>
              <w:t>Typhimurium</w:t>
            </w:r>
          </w:p>
        </w:tc>
        <w:tc>
          <w:tcPr>
            <w:tcW w:w="1309" w:type="dxa"/>
          </w:tcPr>
          <w:p w14:paraId="7F57FC7F"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ON</w:t>
            </w:r>
          </w:p>
        </w:tc>
        <w:tc>
          <w:tcPr>
            <w:tcW w:w="1165" w:type="dxa"/>
          </w:tcPr>
          <w:p w14:paraId="6D7E9A1B"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6.6</w:t>
            </w:r>
          </w:p>
        </w:tc>
        <w:tc>
          <w:tcPr>
            <w:tcW w:w="2562" w:type="dxa"/>
          </w:tcPr>
          <w:p w14:paraId="2CEAF552"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0078AD">
              <w:rPr>
                <w:rFonts w:cs="Arial"/>
                <w:sz w:val="18"/>
                <w:szCs w:val="18"/>
              </w:rPr>
              <w:t>AEW, pH 2.5, 100ppm chlorine</w:t>
            </w:r>
          </w:p>
        </w:tc>
        <w:tc>
          <w:tcPr>
            <w:tcW w:w="1162" w:type="dxa"/>
          </w:tcPr>
          <w:p w14:paraId="4CD219D7"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sidRPr="000078AD">
              <w:rPr>
                <w:rFonts w:cs="Arial"/>
                <w:sz w:val="18"/>
                <w:szCs w:val="18"/>
              </w:rPr>
              <w:t>5</w:t>
            </w:r>
          </w:p>
        </w:tc>
        <w:tc>
          <w:tcPr>
            <w:tcW w:w="1229" w:type="dxa"/>
          </w:tcPr>
          <w:p w14:paraId="333618C9"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2.3</w:t>
            </w:r>
          </w:p>
        </w:tc>
        <w:tc>
          <w:tcPr>
            <w:tcW w:w="2851" w:type="dxa"/>
          </w:tcPr>
          <w:p w14:paraId="3D619C07" w14:textId="77777777" w:rsidR="00285EF0" w:rsidRPr="000078AD"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fldChar w:fldCharType="begin"/>
            </w:r>
            <w:r w:rsidRPr="000078AD">
              <w:rPr>
                <w:rFonts w:cs="Arial"/>
                <w:sz w:val="18"/>
                <w:szCs w:val="18"/>
              </w:rPr>
              <w:instrText>ADDIN CITAVI.PLACEHOLDER 93e76c29-7fae-4419-b757-526af131fa9a 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pbmdoIGV0IGFsLjwvVGV4dD4NCiAgICA8L1RleHRVbml0Pg0KICA8L1RleHRVbml0cz4NCjwvUGxhY2Vob2xkZXI+</w:instrText>
            </w:r>
            <w:r w:rsidRPr="000078AD">
              <w:rPr>
                <w:rFonts w:cs="Arial"/>
                <w:sz w:val="18"/>
                <w:szCs w:val="18"/>
              </w:rPr>
              <w:fldChar w:fldCharType="separate"/>
            </w:r>
            <w:r w:rsidRPr="000078AD">
              <w:rPr>
                <w:rFonts w:cs="Arial"/>
                <w:sz w:val="18"/>
                <w:szCs w:val="18"/>
              </w:rPr>
              <w:t>Singh et al.</w:t>
            </w:r>
            <w:r w:rsidRPr="000078AD">
              <w:rPr>
                <w:rFonts w:cs="Arial"/>
                <w:sz w:val="18"/>
                <w:szCs w:val="18"/>
              </w:rPr>
              <w:fldChar w:fldCharType="end"/>
            </w:r>
            <w:r w:rsidRPr="000078AD">
              <w:rPr>
                <w:rFonts w:cs="Arial"/>
                <w:sz w:val="18"/>
                <w:szCs w:val="18"/>
              </w:rPr>
              <w:t xml:space="preserve"> </w:t>
            </w:r>
            <w:r w:rsidRPr="000078AD">
              <w:rPr>
                <w:rFonts w:cs="Arial"/>
                <w:sz w:val="18"/>
                <w:szCs w:val="18"/>
              </w:rPr>
              <w:fldChar w:fldCharType="begin"/>
            </w:r>
            <w:r w:rsidRPr="000078AD">
              <w:rPr>
                <w:rFonts w:cs="Arial"/>
                <w:sz w:val="18"/>
                <w:szCs w:val="18"/>
              </w:rPr>
              <w:instrText>ADDIN CITAVI.PLACEHOLDER 3fa78236-2e06-4ebc-8fce-c75e66bab0e6 PFBsYWNlaG9sZGVyPg0KICA8QWRkSW5WZXJzaW9uPjUuNy4xLjA8L0FkZEluVmVyc2lvbj4NCiAgPElkPjNmYTc4MjM2LTJlMDYtNGViYy04ZmNlLWM3NWU2NmJhYjBlNjwvSWQ+DQogIDxBc3NvY2lhdGVXaXRoUGxhY2Vob2xkZXJJZD5kYmY1YWMxYi0yNjNkLTRhNGMtOWE2NS1iNTY5ZTM1MDI3ZWE8L0Fzc29jaWF0ZVdpdGhQbGFjZWhvbGRlcklkPg0KICA8RW50cmllcz4NCiAgICA8RW50cnk+DQogICAgICA8SWQ+NThhYzA2NjctMzNmMi00ODRjLTliOGYtNDk2MTY3NWY4MGY2PC9JZD4NCiAgICAgIDxSZWZlcmVuY2VJZD4zZTAwY2RiOC1mZTc5LTQ2NGYtOTRlMy1kYzkwNWM1OWMzMm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OCk8L1RleHQ+DQogICAgPC9UZXh0VW5pdD4NCiAgPC9UZXh0VW5pdHM+DQo8L1BsYWNlaG9sZGVyPg==</w:instrText>
            </w:r>
            <w:r w:rsidRPr="000078AD">
              <w:rPr>
                <w:rFonts w:cs="Arial"/>
                <w:sz w:val="18"/>
                <w:szCs w:val="18"/>
              </w:rPr>
              <w:fldChar w:fldCharType="separate"/>
            </w:r>
            <w:r w:rsidRPr="000078AD">
              <w:rPr>
                <w:rFonts w:cs="Arial"/>
                <w:sz w:val="18"/>
                <w:szCs w:val="18"/>
              </w:rPr>
              <w:t>(2018)</w:t>
            </w:r>
            <w:r w:rsidRPr="000078AD">
              <w:rPr>
                <w:rFonts w:cs="Arial"/>
                <w:sz w:val="18"/>
                <w:szCs w:val="18"/>
              </w:rPr>
              <w:fldChar w:fldCharType="end"/>
            </w:r>
          </w:p>
        </w:tc>
      </w:tr>
      <w:tr w:rsidR="00285EF0" w:rsidRPr="00BE211F" w14:paraId="6DF72F9C"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Pr>
          <w:p w14:paraId="26C7D801" w14:textId="77777777" w:rsidR="00285EF0" w:rsidRPr="000078AD" w:rsidRDefault="00285EF0" w:rsidP="00285EF0">
            <w:pPr>
              <w:widowControl/>
              <w:rPr>
                <w:rFonts w:cs="Arial"/>
                <w:b w:val="0"/>
                <w:bCs w:val="0"/>
                <w:sz w:val="18"/>
                <w:szCs w:val="18"/>
              </w:rPr>
            </w:pPr>
            <w:r w:rsidRPr="000078AD">
              <w:rPr>
                <w:rFonts w:cs="Arial"/>
                <w:b w:val="0"/>
                <w:color w:val="000000" w:themeColor="text1"/>
                <w:sz w:val="18"/>
                <w:szCs w:val="18"/>
              </w:rPr>
              <w:t>Rockmelon</w:t>
            </w:r>
          </w:p>
        </w:tc>
        <w:tc>
          <w:tcPr>
            <w:tcW w:w="1764" w:type="dxa"/>
          </w:tcPr>
          <w:p w14:paraId="5BB67787"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0078AD">
              <w:rPr>
                <w:rFonts w:cs="Arial"/>
                <w:sz w:val="18"/>
                <w:szCs w:val="18"/>
              </w:rPr>
              <w:t>S. Typhimurium</w:t>
            </w:r>
          </w:p>
        </w:tc>
        <w:tc>
          <w:tcPr>
            <w:tcW w:w="1309" w:type="dxa"/>
          </w:tcPr>
          <w:p w14:paraId="021455BB"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ON</w:t>
            </w:r>
          </w:p>
        </w:tc>
        <w:tc>
          <w:tcPr>
            <w:tcW w:w="1165" w:type="dxa"/>
          </w:tcPr>
          <w:p w14:paraId="612998AF"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7.6</w:t>
            </w:r>
          </w:p>
        </w:tc>
        <w:tc>
          <w:tcPr>
            <w:tcW w:w="2562" w:type="dxa"/>
          </w:tcPr>
          <w:p w14:paraId="13D362CC"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sidRPr="000078AD">
              <w:rPr>
                <w:rFonts w:cs="Arial"/>
                <w:sz w:val="18"/>
                <w:szCs w:val="18"/>
              </w:rPr>
              <w:t>NNEW, pH 6.2, 100ppm chlorine</w:t>
            </w:r>
          </w:p>
        </w:tc>
        <w:tc>
          <w:tcPr>
            <w:tcW w:w="1162" w:type="dxa"/>
          </w:tcPr>
          <w:p w14:paraId="2F81E1D6"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sidRPr="000078AD">
              <w:rPr>
                <w:rFonts w:cs="Arial"/>
                <w:sz w:val="18"/>
                <w:szCs w:val="18"/>
              </w:rPr>
              <w:t>5</w:t>
            </w:r>
          </w:p>
        </w:tc>
        <w:tc>
          <w:tcPr>
            <w:tcW w:w="1229" w:type="dxa"/>
          </w:tcPr>
          <w:p w14:paraId="24C18B49"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3.7</w:t>
            </w:r>
          </w:p>
        </w:tc>
        <w:tc>
          <w:tcPr>
            <w:tcW w:w="2851" w:type="dxa"/>
          </w:tcPr>
          <w:p w14:paraId="3009405E" w14:textId="77777777" w:rsidR="00285EF0" w:rsidRPr="000078AD"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fldChar w:fldCharType="begin"/>
            </w:r>
            <w:r w:rsidRPr="000078AD">
              <w:rPr>
                <w:rFonts w:cs="Arial"/>
                <w:sz w:val="18"/>
                <w:szCs w:val="18"/>
              </w:rPr>
              <w:instrText>ADDIN CITAVI.PLACEHOLDER ad2cf65c-d7a2-42bc-82d0-da026464c331 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pbmdoIGV0IGFsLjwvVGV4dD4NCiAgICA8L1RleHRVbml0Pg0KICA8L1RleHRVbml0cz4NCjwvUGxhY2Vob2xkZXI+</w:instrText>
            </w:r>
            <w:r w:rsidRPr="000078AD">
              <w:rPr>
                <w:rFonts w:cs="Arial"/>
                <w:sz w:val="18"/>
                <w:szCs w:val="18"/>
              </w:rPr>
              <w:fldChar w:fldCharType="separate"/>
            </w:r>
            <w:r w:rsidRPr="000078AD">
              <w:rPr>
                <w:rFonts w:cs="Arial"/>
                <w:sz w:val="18"/>
                <w:szCs w:val="18"/>
              </w:rPr>
              <w:t>Singh et al.</w:t>
            </w:r>
            <w:r w:rsidRPr="000078AD">
              <w:rPr>
                <w:rFonts w:cs="Arial"/>
                <w:sz w:val="18"/>
                <w:szCs w:val="18"/>
              </w:rPr>
              <w:fldChar w:fldCharType="end"/>
            </w:r>
            <w:r w:rsidRPr="000078AD">
              <w:rPr>
                <w:rFonts w:cs="Arial"/>
                <w:sz w:val="18"/>
                <w:szCs w:val="18"/>
              </w:rPr>
              <w:t xml:space="preserve"> </w:t>
            </w:r>
            <w:r w:rsidRPr="000078AD">
              <w:rPr>
                <w:rFonts w:cs="Arial"/>
                <w:sz w:val="18"/>
                <w:szCs w:val="18"/>
              </w:rPr>
              <w:fldChar w:fldCharType="begin"/>
            </w:r>
            <w:r w:rsidRPr="000078AD">
              <w:rPr>
                <w:rFonts w:cs="Arial"/>
                <w:sz w:val="18"/>
                <w:szCs w:val="18"/>
              </w:rPr>
              <w:instrText>ADDIN CITAVI.PLACEHOLDER 9f9a825c-a607-45e5-bc2d-b8cdb7c61761 PFBsYWNlaG9sZGVyPg0KICA8QWRkSW5WZXJzaW9uPjUuNy4xLjA8L0FkZEluVmVyc2lvbj4NCiAgPElkPjlmOWE4MjVjLWE2MDctNDVlNS1iYzJkLWI4Y2RiN2M2MTc2MTwvSWQ+DQogIDxBc3NvY2lhdGVXaXRoUGxhY2Vob2xkZXJJZD5kYmY1YWMxYi0yNjNkLTRhNGMtOWE2NS1iNTY5ZTM1MDI3ZWE8L0Fzc29jaWF0ZVdpdGhQbGFjZWhvbGRlcklkPg0KICA8RW50cmllcz4NCiAgICA8RW50cnk+DQogICAgICA8SWQ+NThhYzA2NjctMzNmMi00ODRjLTliOGYtNDk2MTY3NWY4MGY2PC9JZD4NCiAgICAgIDxSZWZlcmVuY2VJZD4zZTAwY2RiOC1mZTc5LTQ2NGYtOTRlMy1kYzkwNWM1OWMzMm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OCk8L1RleHQ+DQogICAgPC9UZXh0VW5pdD4NCiAgPC9UZXh0VW5pdHM+DQo8L1BsYWNlaG9sZGVyPg==</w:instrText>
            </w:r>
            <w:r w:rsidRPr="000078AD">
              <w:rPr>
                <w:rFonts w:cs="Arial"/>
                <w:sz w:val="18"/>
                <w:szCs w:val="18"/>
              </w:rPr>
              <w:fldChar w:fldCharType="separate"/>
            </w:r>
            <w:r w:rsidRPr="000078AD">
              <w:rPr>
                <w:rFonts w:cs="Arial"/>
                <w:sz w:val="18"/>
                <w:szCs w:val="18"/>
              </w:rPr>
              <w:t>(2018)</w:t>
            </w:r>
            <w:r w:rsidRPr="000078AD">
              <w:rPr>
                <w:rFonts w:cs="Arial"/>
                <w:sz w:val="18"/>
                <w:szCs w:val="18"/>
              </w:rPr>
              <w:fldChar w:fldCharType="end"/>
            </w:r>
          </w:p>
        </w:tc>
      </w:tr>
      <w:tr w:rsidR="00285EF0" w:rsidRPr="00BE211F" w14:paraId="25538121"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3EEA6F3B" w14:textId="77777777" w:rsidR="00285EF0" w:rsidRPr="000078AD" w:rsidRDefault="00285EF0" w:rsidP="00285EF0">
            <w:pPr>
              <w:widowControl/>
              <w:rPr>
                <w:rFonts w:cs="Arial"/>
                <w:b w:val="0"/>
                <w:color w:val="000000" w:themeColor="text1"/>
                <w:sz w:val="18"/>
                <w:szCs w:val="18"/>
              </w:rPr>
            </w:pPr>
            <w:r w:rsidRPr="000078AD">
              <w:rPr>
                <w:rFonts w:cs="Arial"/>
                <w:b w:val="0"/>
                <w:bCs w:val="0"/>
                <w:sz w:val="18"/>
                <w:szCs w:val="18"/>
              </w:rPr>
              <w:t>Lettuce</w:t>
            </w:r>
          </w:p>
        </w:tc>
        <w:tc>
          <w:tcPr>
            <w:tcW w:w="1764" w:type="dxa"/>
            <w:vAlign w:val="center"/>
          </w:tcPr>
          <w:p w14:paraId="42B9F224"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i/>
                <w:iCs/>
                <w:sz w:val="18"/>
                <w:szCs w:val="18"/>
              </w:rPr>
              <w:t>E. coli</w:t>
            </w:r>
            <w:r w:rsidRPr="000078AD">
              <w:rPr>
                <w:rFonts w:cs="Arial"/>
                <w:sz w:val="18"/>
                <w:szCs w:val="18"/>
              </w:rPr>
              <w:t xml:space="preserve"> O157:H7</w:t>
            </w:r>
          </w:p>
        </w:tc>
        <w:tc>
          <w:tcPr>
            <w:tcW w:w="1309" w:type="dxa"/>
            <w:vAlign w:val="center"/>
          </w:tcPr>
          <w:p w14:paraId="728B2265"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1h</w:t>
            </w:r>
          </w:p>
        </w:tc>
        <w:tc>
          <w:tcPr>
            <w:tcW w:w="1165" w:type="dxa"/>
            <w:vAlign w:val="center"/>
          </w:tcPr>
          <w:p w14:paraId="5EB37C4B"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7.1</w:t>
            </w:r>
          </w:p>
        </w:tc>
        <w:tc>
          <w:tcPr>
            <w:tcW w:w="2562" w:type="dxa"/>
            <w:vAlign w:val="center"/>
          </w:tcPr>
          <w:p w14:paraId="26B42FFA"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AEW, pH 2.5, 45ppm chlorine</w:t>
            </w:r>
          </w:p>
        </w:tc>
        <w:tc>
          <w:tcPr>
            <w:tcW w:w="1162" w:type="dxa"/>
            <w:vAlign w:val="center"/>
          </w:tcPr>
          <w:p w14:paraId="69A13E6B"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1 - 3</w:t>
            </w:r>
          </w:p>
        </w:tc>
        <w:tc>
          <w:tcPr>
            <w:tcW w:w="1229" w:type="dxa"/>
            <w:vAlign w:val="center"/>
          </w:tcPr>
          <w:p w14:paraId="69E47C57"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4.2</w:t>
            </w:r>
          </w:p>
        </w:tc>
        <w:tc>
          <w:tcPr>
            <w:tcW w:w="2851" w:type="dxa"/>
            <w:vAlign w:val="center"/>
          </w:tcPr>
          <w:p w14:paraId="7D82FDE7" w14:textId="77777777" w:rsidR="00285EF0" w:rsidRPr="000078AD"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Park et al. (2001)</w:t>
            </w:r>
          </w:p>
        </w:tc>
      </w:tr>
      <w:tr w:rsidR="00285EF0" w:rsidRPr="00BE211F" w14:paraId="5878FFD9"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0F8D8C5C" w14:textId="77777777" w:rsidR="00285EF0" w:rsidRPr="000078AD" w:rsidRDefault="00285EF0" w:rsidP="00285EF0">
            <w:pPr>
              <w:widowControl/>
              <w:rPr>
                <w:rFonts w:cs="Arial"/>
                <w:b w:val="0"/>
                <w:sz w:val="18"/>
                <w:szCs w:val="18"/>
              </w:rPr>
            </w:pPr>
            <w:r w:rsidRPr="000078AD">
              <w:rPr>
                <w:rFonts w:cs="Arial"/>
                <w:b w:val="0"/>
                <w:bCs w:val="0"/>
                <w:sz w:val="18"/>
                <w:szCs w:val="18"/>
              </w:rPr>
              <w:t>Lettuce</w:t>
            </w:r>
          </w:p>
        </w:tc>
        <w:tc>
          <w:tcPr>
            <w:tcW w:w="1764" w:type="dxa"/>
            <w:vAlign w:val="center"/>
          </w:tcPr>
          <w:p w14:paraId="444E4FD5"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sz w:val="18"/>
                <w:szCs w:val="18"/>
              </w:rPr>
            </w:pPr>
            <w:r w:rsidRPr="000078AD">
              <w:rPr>
                <w:rFonts w:cs="Arial"/>
                <w:i/>
                <w:iCs/>
                <w:sz w:val="18"/>
                <w:szCs w:val="18"/>
              </w:rPr>
              <w:t>E. coli</w:t>
            </w:r>
            <w:r w:rsidRPr="000078AD">
              <w:rPr>
                <w:rFonts w:cs="Arial"/>
                <w:sz w:val="18"/>
                <w:szCs w:val="18"/>
              </w:rPr>
              <w:t xml:space="preserve"> O157:H7</w:t>
            </w:r>
          </w:p>
        </w:tc>
        <w:tc>
          <w:tcPr>
            <w:tcW w:w="1309" w:type="dxa"/>
            <w:vAlign w:val="center"/>
          </w:tcPr>
          <w:p w14:paraId="0B5970E1"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ON</w:t>
            </w:r>
          </w:p>
        </w:tc>
        <w:tc>
          <w:tcPr>
            <w:tcW w:w="1165" w:type="dxa"/>
            <w:vAlign w:val="center"/>
          </w:tcPr>
          <w:p w14:paraId="014C1AB2"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0078AD">
              <w:rPr>
                <w:rFonts w:cs="Arial"/>
                <w:sz w:val="18"/>
                <w:szCs w:val="18"/>
              </w:rPr>
              <w:t>6.9</w:t>
            </w:r>
          </w:p>
        </w:tc>
        <w:tc>
          <w:tcPr>
            <w:tcW w:w="2562" w:type="dxa"/>
          </w:tcPr>
          <w:p w14:paraId="5FA8BF8E"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AEW, pH 2.5, 100ppm chlorine</w:t>
            </w:r>
          </w:p>
        </w:tc>
        <w:tc>
          <w:tcPr>
            <w:tcW w:w="1162" w:type="dxa"/>
            <w:vAlign w:val="center"/>
          </w:tcPr>
          <w:p w14:paraId="67C9A0D2"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5</w:t>
            </w:r>
          </w:p>
        </w:tc>
        <w:tc>
          <w:tcPr>
            <w:tcW w:w="1229" w:type="dxa"/>
            <w:vAlign w:val="center"/>
          </w:tcPr>
          <w:p w14:paraId="3D2B95B8"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2.1</w:t>
            </w:r>
          </w:p>
        </w:tc>
        <w:tc>
          <w:tcPr>
            <w:tcW w:w="2851" w:type="dxa"/>
            <w:vAlign w:val="center"/>
          </w:tcPr>
          <w:p w14:paraId="4C1B903B" w14:textId="77777777" w:rsidR="00285EF0" w:rsidRPr="000078AD"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Singh et al. (2018b)</w:t>
            </w:r>
          </w:p>
        </w:tc>
      </w:tr>
      <w:tr w:rsidR="00285EF0" w:rsidRPr="00BE211F" w14:paraId="292A36B2"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34FC0E8F" w14:textId="77777777" w:rsidR="00285EF0" w:rsidRPr="000078AD" w:rsidRDefault="00285EF0" w:rsidP="00285EF0">
            <w:pPr>
              <w:widowControl/>
              <w:rPr>
                <w:rFonts w:cs="Arial"/>
                <w:b w:val="0"/>
                <w:bCs w:val="0"/>
                <w:sz w:val="18"/>
                <w:szCs w:val="18"/>
              </w:rPr>
            </w:pPr>
            <w:r w:rsidRPr="000078AD">
              <w:rPr>
                <w:rFonts w:cs="Arial"/>
                <w:b w:val="0"/>
                <w:bCs w:val="0"/>
                <w:sz w:val="18"/>
                <w:szCs w:val="18"/>
              </w:rPr>
              <w:t>Lettuce</w:t>
            </w:r>
          </w:p>
        </w:tc>
        <w:tc>
          <w:tcPr>
            <w:tcW w:w="1764" w:type="dxa"/>
            <w:vAlign w:val="center"/>
          </w:tcPr>
          <w:p w14:paraId="44C75EEA"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iCs/>
                <w:sz w:val="18"/>
                <w:szCs w:val="18"/>
              </w:rPr>
            </w:pPr>
            <w:r w:rsidRPr="000078AD">
              <w:rPr>
                <w:rFonts w:cs="Arial"/>
                <w:i/>
                <w:iCs/>
                <w:sz w:val="18"/>
                <w:szCs w:val="18"/>
              </w:rPr>
              <w:t>E. coli</w:t>
            </w:r>
            <w:r w:rsidRPr="000078AD">
              <w:rPr>
                <w:rFonts w:cs="Arial"/>
                <w:sz w:val="18"/>
                <w:szCs w:val="18"/>
              </w:rPr>
              <w:t xml:space="preserve"> O157:H7</w:t>
            </w:r>
          </w:p>
        </w:tc>
        <w:tc>
          <w:tcPr>
            <w:tcW w:w="1309" w:type="dxa"/>
            <w:vAlign w:val="center"/>
          </w:tcPr>
          <w:p w14:paraId="2F90FE1E"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ON</w:t>
            </w:r>
          </w:p>
        </w:tc>
        <w:tc>
          <w:tcPr>
            <w:tcW w:w="1165" w:type="dxa"/>
            <w:vAlign w:val="center"/>
          </w:tcPr>
          <w:p w14:paraId="687186D5"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6.9</w:t>
            </w:r>
          </w:p>
        </w:tc>
        <w:tc>
          <w:tcPr>
            <w:tcW w:w="2562" w:type="dxa"/>
          </w:tcPr>
          <w:p w14:paraId="664E9396"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NNEW, pH 6.2, 100ppm chlorine</w:t>
            </w:r>
          </w:p>
        </w:tc>
        <w:tc>
          <w:tcPr>
            <w:tcW w:w="1162" w:type="dxa"/>
            <w:vAlign w:val="center"/>
          </w:tcPr>
          <w:p w14:paraId="6F80C525"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5</w:t>
            </w:r>
          </w:p>
        </w:tc>
        <w:tc>
          <w:tcPr>
            <w:tcW w:w="1229" w:type="dxa"/>
            <w:vAlign w:val="center"/>
          </w:tcPr>
          <w:p w14:paraId="3A180C9C"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2.3</w:t>
            </w:r>
          </w:p>
        </w:tc>
        <w:tc>
          <w:tcPr>
            <w:tcW w:w="2851" w:type="dxa"/>
            <w:vAlign w:val="center"/>
          </w:tcPr>
          <w:p w14:paraId="47A8935D" w14:textId="77777777" w:rsidR="00285EF0" w:rsidRPr="000078AD"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Singh et al. (2018b)</w:t>
            </w:r>
          </w:p>
        </w:tc>
      </w:tr>
      <w:tr w:rsidR="00285EF0" w:rsidRPr="00BE211F" w14:paraId="5C02C54F"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53811152" w14:textId="77777777" w:rsidR="00285EF0" w:rsidRPr="000078AD" w:rsidRDefault="00285EF0" w:rsidP="00285EF0">
            <w:pPr>
              <w:widowControl/>
              <w:rPr>
                <w:rFonts w:cs="Arial"/>
                <w:b w:val="0"/>
                <w:bCs w:val="0"/>
                <w:sz w:val="18"/>
                <w:szCs w:val="18"/>
              </w:rPr>
            </w:pPr>
            <w:r w:rsidRPr="000078AD">
              <w:rPr>
                <w:rFonts w:cs="Arial"/>
                <w:b w:val="0"/>
                <w:sz w:val="18"/>
                <w:szCs w:val="18"/>
              </w:rPr>
              <w:t>Lettuce</w:t>
            </w:r>
          </w:p>
        </w:tc>
        <w:tc>
          <w:tcPr>
            <w:tcW w:w="1764" w:type="dxa"/>
            <w:vAlign w:val="center"/>
          </w:tcPr>
          <w:p w14:paraId="19825BA5"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0078AD">
              <w:rPr>
                <w:rFonts w:cs="Arial"/>
                <w:bCs/>
                <w:i/>
                <w:iCs/>
                <w:sz w:val="18"/>
                <w:szCs w:val="18"/>
              </w:rPr>
              <w:t>E. coli</w:t>
            </w:r>
            <w:r w:rsidRPr="000078AD">
              <w:rPr>
                <w:rFonts w:cs="Arial"/>
                <w:bCs/>
                <w:sz w:val="18"/>
                <w:szCs w:val="18"/>
              </w:rPr>
              <w:t xml:space="preserve"> O157:H7</w:t>
            </w:r>
          </w:p>
        </w:tc>
        <w:tc>
          <w:tcPr>
            <w:tcW w:w="1309" w:type="dxa"/>
            <w:vAlign w:val="center"/>
          </w:tcPr>
          <w:p w14:paraId="39028F26"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bCs/>
                <w:sz w:val="18"/>
                <w:szCs w:val="18"/>
              </w:rPr>
              <w:t>18-24h</w:t>
            </w:r>
          </w:p>
        </w:tc>
        <w:tc>
          <w:tcPr>
            <w:tcW w:w="1165" w:type="dxa"/>
            <w:vAlign w:val="center"/>
          </w:tcPr>
          <w:p w14:paraId="323A8636"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bCs/>
                <w:sz w:val="18"/>
                <w:szCs w:val="18"/>
              </w:rPr>
              <w:t> 7.2</w:t>
            </w:r>
          </w:p>
        </w:tc>
        <w:tc>
          <w:tcPr>
            <w:tcW w:w="2562" w:type="dxa"/>
            <w:vAlign w:val="center"/>
          </w:tcPr>
          <w:p w14:paraId="0A3BA48E"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bCs/>
                <w:sz w:val="18"/>
                <w:szCs w:val="18"/>
              </w:rPr>
              <w:t>AEW, pH 2.6, 50ppm chlorine</w:t>
            </w:r>
          </w:p>
        </w:tc>
        <w:tc>
          <w:tcPr>
            <w:tcW w:w="1162" w:type="dxa"/>
            <w:vAlign w:val="center"/>
          </w:tcPr>
          <w:p w14:paraId="2D249462"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bCs/>
                <w:sz w:val="18"/>
                <w:szCs w:val="18"/>
              </w:rPr>
              <w:t>2 – 20min</w:t>
            </w:r>
          </w:p>
        </w:tc>
        <w:tc>
          <w:tcPr>
            <w:tcW w:w="1229" w:type="dxa"/>
            <w:vAlign w:val="center"/>
          </w:tcPr>
          <w:p w14:paraId="6F5D414D"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bCs/>
                <w:sz w:val="18"/>
                <w:szCs w:val="18"/>
              </w:rPr>
              <w:t>0. – 1.5</w:t>
            </w:r>
          </w:p>
        </w:tc>
        <w:tc>
          <w:tcPr>
            <w:tcW w:w="2851" w:type="dxa"/>
            <w:vAlign w:val="center"/>
          </w:tcPr>
          <w:p w14:paraId="679F0EAC" w14:textId="77777777" w:rsidR="00285EF0" w:rsidRPr="000078AD"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bCs/>
                <w:sz w:val="18"/>
                <w:szCs w:val="18"/>
              </w:rPr>
              <w:t xml:space="preserve">Keskinen et al. (2009) </w:t>
            </w:r>
          </w:p>
        </w:tc>
      </w:tr>
      <w:tr w:rsidR="00285EF0" w:rsidRPr="00BE211F" w14:paraId="45502271"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715845F5" w14:textId="77777777" w:rsidR="00285EF0" w:rsidRPr="000078AD" w:rsidRDefault="00285EF0" w:rsidP="00285EF0">
            <w:pPr>
              <w:widowControl/>
              <w:rPr>
                <w:rFonts w:cs="Arial"/>
                <w:b w:val="0"/>
                <w:sz w:val="18"/>
                <w:szCs w:val="18"/>
              </w:rPr>
            </w:pPr>
            <w:r w:rsidRPr="000078AD">
              <w:rPr>
                <w:rFonts w:cs="Arial"/>
                <w:b w:val="0"/>
                <w:sz w:val="18"/>
                <w:szCs w:val="18"/>
              </w:rPr>
              <w:t xml:space="preserve">Lettuce </w:t>
            </w:r>
          </w:p>
        </w:tc>
        <w:tc>
          <w:tcPr>
            <w:tcW w:w="1764" w:type="dxa"/>
            <w:vAlign w:val="center"/>
          </w:tcPr>
          <w:p w14:paraId="6280B52C"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bCs/>
                <w:i/>
                <w:iCs/>
                <w:sz w:val="18"/>
                <w:szCs w:val="18"/>
              </w:rPr>
            </w:pPr>
            <w:r w:rsidRPr="000078AD">
              <w:rPr>
                <w:rFonts w:cs="Arial"/>
                <w:bCs/>
                <w:i/>
                <w:iCs/>
                <w:sz w:val="18"/>
                <w:szCs w:val="18"/>
              </w:rPr>
              <w:t>E. coli</w:t>
            </w:r>
            <w:r w:rsidRPr="000078AD">
              <w:rPr>
                <w:rFonts w:cs="Arial"/>
                <w:bCs/>
                <w:sz w:val="18"/>
                <w:szCs w:val="18"/>
              </w:rPr>
              <w:t xml:space="preserve"> O157:H7</w:t>
            </w:r>
          </w:p>
        </w:tc>
        <w:tc>
          <w:tcPr>
            <w:tcW w:w="1309" w:type="dxa"/>
            <w:vAlign w:val="center"/>
          </w:tcPr>
          <w:p w14:paraId="7EB34BD9"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078AD">
              <w:rPr>
                <w:rFonts w:cs="Arial"/>
                <w:bCs/>
                <w:sz w:val="18"/>
                <w:szCs w:val="18"/>
              </w:rPr>
              <w:t>24h</w:t>
            </w:r>
          </w:p>
        </w:tc>
        <w:tc>
          <w:tcPr>
            <w:tcW w:w="1165" w:type="dxa"/>
            <w:vAlign w:val="center"/>
          </w:tcPr>
          <w:p w14:paraId="3F71AF21"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078AD">
              <w:rPr>
                <w:rFonts w:cs="Arial"/>
                <w:bCs/>
                <w:sz w:val="18"/>
                <w:szCs w:val="18"/>
              </w:rPr>
              <w:t>~6.0</w:t>
            </w:r>
          </w:p>
        </w:tc>
        <w:tc>
          <w:tcPr>
            <w:tcW w:w="2562" w:type="dxa"/>
          </w:tcPr>
          <w:p w14:paraId="07586307"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078AD">
              <w:rPr>
                <w:rFonts w:cs="Arial"/>
                <w:sz w:val="18"/>
                <w:szCs w:val="18"/>
              </w:rPr>
              <w:t>AEW and NNEW, pH 4 – 9, 300ppm chlorine</w:t>
            </w:r>
          </w:p>
        </w:tc>
        <w:tc>
          <w:tcPr>
            <w:tcW w:w="1162" w:type="dxa"/>
            <w:vAlign w:val="center"/>
          </w:tcPr>
          <w:p w14:paraId="64DBB571"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078AD">
              <w:rPr>
                <w:rFonts w:cs="Arial"/>
                <w:bCs/>
                <w:sz w:val="18"/>
                <w:szCs w:val="18"/>
              </w:rPr>
              <w:t>5</w:t>
            </w:r>
          </w:p>
        </w:tc>
        <w:tc>
          <w:tcPr>
            <w:tcW w:w="1229" w:type="dxa"/>
            <w:vAlign w:val="center"/>
          </w:tcPr>
          <w:p w14:paraId="5BCCAF34"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078AD">
              <w:rPr>
                <w:rFonts w:cs="Arial"/>
                <w:bCs/>
                <w:sz w:val="18"/>
                <w:szCs w:val="18"/>
              </w:rPr>
              <w:t>1.3 – 2.2</w:t>
            </w:r>
          </w:p>
        </w:tc>
        <w:tc>
          <w:tcPr>
            <w:tcW w:w="2851" w:type="dxa"/>
            <w:vAlign w:val="center"/>
          </w:tcPr>
          <w:p w14:paraId="566A4118" w14:textId="77777777" w:rsidR="00285EF0" w:rsidRPr="000078AD"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078AD">
              <w:rPr>
                <w:rFonts w:cs="Arial"/>
                <w:bCs/>
                <w:sz w:val="18"/>
                <w:szCs w:val="18"/>
              </w:rPr>
              <w:t>Yang et al. (2003)</w:t>
            </w:r>
          </w:p>
        </w:tc>
      </w:tr>
      <w:tr w:rsidR="00285EF0" w:rsidRPr="00BE211F" w14:paraId="7DB94B8D"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2E461208" w14:textId="77777777" w:rsidR="00285EF0" w:rsidRPr="000078AD" w:rsidRDefault="00285EF0" w:rsidP="00285EF0">
            <w:pPr>
              <w:widowControl/>
              <w:rPr>
                <w:rFonts w:cs="Arial"/>
                <w:b w:val="0"/>
                <w:sz w:val="18"/>
                <w:szCs w:val="18"/>
              </w:rPr>
            </w:pPr>
            <w:r w:rsidRPr="000078AD">
              <w:rPr>
                <w:rFonts w:cs="Arial"/>
                <w:b w:val="0"/>
                <w:bCs w:val="0"/>
                <w:sz w:val="18"/>
                <w:szCs w:val="18"/>
              </w:rPr>
              <w:t>Lettuce</w:t>
            </w:r>
          </w:p>
        </w:tc>
        <w:tc>
          <w:tcPr>
            <w:tcW w:w="1764" w:type="dxa"/>
            <w:vAlign w:val="center"/>
          </w:tcPr>
          <w:p w14:paraId="512E9399"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sz w:val="18"/>
                <w:szCs w:val="18"/>
              </w:rPr>
            </w:pPr>
            <w:r w:rsidRPr="000078AD">
              <w:rPr>
                <w:rFonts w:cs="Arial"/>
                <w:i/>
                <w:iCs/>
                <w:sz w:val="18"/>
                <w:szCs w:val="18"/>
              </w:rPr>
              <w:t>L. monocytogenes</w:t>
            </w:r>
          </w:p>
        </w:tc>
        <w:tc>
          <w:tcPr>
            <w:tcW w:w="1309" w:type="dxa"/>
            <w:vAlign w:val="center"/>
          </w:tcPr>
          <w:p w14:paraId="02E1347F"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1h</w:t>
            </w:r>
          </w:p>
        </w:tc>
        <w:tc>
          <w:tcPr>
            <w:tcW w:w="1165" w:type="dxa"/>
            <w:vAlign w:val="center"/>
          </w:tcPr>
          <w:p w14:paraId="14A78C6F"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7.0</w:t>
            </w:r>
          </w:p>
        </w:tc>
        <w:tc>
          <w:tcPr>
            <w:tcW w:w="2562" w:type="dxa"/>
            <w:vAlign w:val="center"/>
          </w:tcPr>
          <w:p w14:paraId="7AC33CD0"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AEW, pH 2.5, 45ppm chlorine</w:t>
            </w:r>
          </w:p>
        </w:tc>
        <w:tc>
          <w:tcPr>
            <w:tcW w:w="1162" w:type="dxa"/>
            <w:vAlign w:val="center"/>
          </w:tcPr>
          <w:p w14:paraId="2F00FB23"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1 - 3</w:t>
            </w:r>
          </w:p>
        </w:tc>
        <w:tc>
          <w:tcPr>
            <w:tcW w:w="1229" w:type="dxa"/>
            <w:vAlign w:val="center"/>
          </w:tcPr>
          <w:p w14:paraId="53AF460E"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3.9 – 4.4</w:t>
            </w:r>
          </w:p>
        </w:tc>
        <w:tc>
          <w:tcPr>
            <w:tcW w:w="2851" w:type="dxa"/>
            <w:vAlign w:val="center"/>
          </w:tcPr>
          <w:p w14:paraId="061F66D9" w14:textId="77777777" w:rsidR="00285EF0" w:rsidRPr="000078AD"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Park et al. (2001)</w:t>
            </w:r>
          </w:p>
        </w:tc>
      </w:tr>
      <w:tr w:rsidR="00285EF0" w:rsidRPr="00BE211F" w14:paraId="3EC1EA82"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48944D51" w14:textId="77777777" w:rsidR="00285EF0" w:rsidRPr="000078AD" w:rsidRDefault="00285EF0" w:rsidP="00285EF0">
            <w:pPr>
              <w:widowControl/>
              <w:rPr>
                <w:rFonts w:cs="Arial"/>
                <w:b w:val="0"/>
                <w:sz w:val="18"/>
                <w:szCs w:val="18"/>
              </w:rPr>
            </w:pPr>
            <w:r w:rsidRPr="000078AD">
              <w:rPr>
                <w:rFonts w:cs="Arial"/>
                <w:b w:val="0"/>
                <w:bCs w:val="0"/>
                <w:sz w:val="18"/>
                <w:szCs w:val="18"/>
              </w:rPr>
              <w:t xml:space="preserve">Lettuce </w:t>
            </w:r>
          </w:p>
        </w:tc>
        <w:tc>
          <w:tcPr>
            <w:tcW w:w="1764" w:type="dxa"/>
            <w:vAlign w:val="center"/>
          </w:tcPr>
          <w:p w14:paraId="7C67083F"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sz w:val="18"/>
                <w:szCs w:val="18"/>
              </w:rPr>
            </w:pPr>
            <w:r w:rsidRPr="000078AD">
              <w:rPr>
                <w:rFonts w:cs="Arial"/>
                <w:i/>
                <w:iCs/>
                <w:sz w:val="18"/>
                <w:szCs w:val="18"/>
              </w:rPr>
              <w:t>L. monocytogenes</w:t>
            </w:r>
          </w:p>
        </w:tc>
        <w:tc>
          <w:tcPr>
            <w:tcW w:w="1309" w:type="dxa"/>
            <w:vAlign w:val="center"/>
          </w:tcPr>
          <w:p w14:paraId="17B44157"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24h</w:t>
            </w:r>
          </w:p>
        </w:tc>
        <w:tc>
          <w:tcPr>
            <w:tcW w:w="1165" w:type="dxa"/>
            <w:vAlign w:val="center"/>
          </w:tcPr>
          <w:p w14:paraId="793B622C"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~6.0</w:t>
            </w:r>
          </w:p>
        </w:tc>
        <w:tc>
          <w:tcPr>
            <w:tcW w:w="2562" w:type="dxa"/>
          </w:tcPr>
          <w:p w14:paraId="76321B55"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AEW and NNEW, pH 4 – 9, 300ppm chlorine</w:t>
            </w:r>
          </w:p>
        </w:tc>
        <w:tc>
          <w:tcPr>
            <w:tcW w:w="1162" w:type="dxa"/>
            <w:vAlign w:val="center"/>
          </w:tcPr>
          <w:p w14:paraId="7B4F74B3"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5</w:t>
            </w:r>
          </w:p>
        </w:tc>
        <w:tc>
          <w:tcPr>
            <w:tcW w:w="1229" w:type="dxa"/>
            <w:vAlign w:val="center"/>
          </w:tcPr>
          <w:p w14:paraId="323CFBBA"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1.6 – 2.1</w:t>
            </w:r>
          </w:p>
        </w:tc>
        <w:tc>
          <w:tcPr>
            <w:tcW w:w="2851" w:type="dxa"/>
            <w:vAlign w:val="center"/>
          </w:tcPr>
          <w:p w14:paraId="6891DC6B" w14:textId="77777777" w:rsidR="00285EF0" w:rsidRPr="000078AD"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Yang et al. (2003)</w:t>
            </w:r>
          </w:p>
        </w:tc>
      </w:tr>
      <w:tr w:rsidR="00285EF0" w:rsidRPr="00BE211F" w14:paraId="4D57A7EB"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304E5DCF" w14:textId="77777777" w:rsidR="00285EF0" w:rsidRPr="000078AD" w:rsidRDefault="00285EF0" w:rsidP="00285EF0">
            <w:pPr>
              <w:widowControl/>
              <w:rPr>
                <w:rFonts w:cs="Arial"/>
                <w:b w:val="0"/>
                <w:sz w:val="18"/>
                <w:szCs w:val="18"/>
              </w:rPr>
            </w:pPr>
            <w:r w:rsidRPr="000078AD">
              <w:rPr>
                <w:rFonts w:cs="Arial"/>
                <w:b w:val="0"/>
                <w:bCs w:val="0"/>
                <w:sz w:val="18"/>
                <w:szCs w:val="18"/>
              </w:rPr>
              <w:t xml:space="preserve">Lettuce </w:t>
            </w:r>
          </w:p>
        </w:tc>
        <w:tc>
          <w:tcPr>
            <w:tcW w:w="1764" w:type="dxa"/>
            <w:vAlign w:val="center"/>
          </w:tcPr>
          <w:p w14:paraId="4971AD35"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sz w:val="18"/>
                <w:szCs w:val="18"/>
              </w:rPr>
            </w:pPr>
            <w:r w:rsidRPr="000078AD">
              <w:rPr>
                <w:rFonts w:cs="Arial"/>
                <w:i/>
                <w:iCs/>
                <w:sz w:val="18"/>
                <w:szCs w:val="18"/>
              </w:rPr>
              <w:t>L. monocytogenes</w:t>
            </w:r>
          </w:p>
        </w:tc>
        <w:tc>
          <w:tcPr>
            <w:tcW w:w="1309" w:type="dxa"/>
            <w:vAlign w:val="center"/>
          </w:tcPr>
          <w:p w14:paraId="290EB062"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ON</w:t>
            </w:r>
          </w:p>
        </w:tc>
        <w:tc>
          <w:tcPr>
            <w:tcW w:w="1165" w:type="dxa"/>
            <w:vAlign w:val="center"/>
          </w:tcPr>
          <w:p w14:paraId="3391692F"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7.7</w:t>
            </w:r>
          </w:p>
        </w:tc>
        <w:tc>
          <w:tcPr>
            <w:tcW w:w="2562" w:type="dxa"/>
          </w:tcPr>
          <w:p w14:paraId="6C7CF1C9"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AEW, pH 2.5, 100ppm chlorine</w:t>
            </w:r>
          </w:p>
        </w:tc>
        <w:tc>
          <w:tcPr>
            <w:tcW w:w="1162" w:type="dxa"/>
            <w:vAlign w:val="center"/>
          </w:tcPr>
          <w:p w14:paraId="10549153"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5</w:t>
            </w:r>
          </w:p>
        </w:tc>
        <w:tc>
          <w:tcPr>
            <w:tcW w:w="1229" w:type="dxa"/>
            <w:vAlign w:val="center"/>
          </w:tcPr>
          <w:p w14:paraId="1757E6CF"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1.7 – 2.0</w:t>
            </w:r>
          </w:p>
        </w:tc>
        <w:tc>
          <w:tcPr>
            <w:tcW w:w="2851" w:type="dxa"/>
            <w:vAlign w:val="center"/>
          </w:tcPr>
          <w:p w14:paraId="223E5BE2" w14:textId="77777777" w:rsidR="00285EF0" w:rsidRPr="000078AD"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Singh et al. (2018b)</w:t>
            </w:r>
          </w:p>
        </w:tc>
      </w:tr>
      <w:tr w:rsidR="00285EF0" w:rsidRPr="00BE211F" w14:paraId="7CBFE39A"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36D1D2C4" w14:textId="77777777" w:rsidR="00285EF0" w:rsidRPr="000078AD" w:rsidRDefault="00285EF0" w:rsidP="00285EF0">
            <w:pPr>
              <w:widowControl/>
              <w:rPr>
                <w:rFonts w:cs="Arial"/>
                <w:b w:val="0"/>
                <w:bCs w:val="0"/>
                <w:sz w:val="18"/>
                <w:szCs w:val="18"/>
              </w:rPr>
            </w:pPr>
            <w:r w:rsidRPr="000078AD">
              <w:rPr>
                <w:rFonts w:cs="Arial"/>
                <w:b w:val="0"/>
                <w:bCs w:val="0"/>
                <w:sz w:val="18"/>
                <w:szCs w:val="18"/>
              </w:rPr>
              <w:t xml:space="preserve">Lettuce </w:t>
            </w:r>
          </w:p>
        </w:tc>
        <w:tc>
          <w:tcPr>
            <w:tcW w:w="1764" w:type="dxa"/>
            <w:vAlign w:val="center"/>
          </w:tcPr>
          <w:p w14:paraId="2A8F6E5D"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iCs/>
                <w:sz w:val="18"/>
                <w:szCs w:val="18"/>
              </w:rPr>
            </w:pPr>
            <w:r w:rsidRPr="000078AD">
              <w:rPr>
                <w:rFonts w:cs="Arial"/>
                <w:i/>
                <w:iCs/>
                <w:sz w:val="18"/>
                <w:szCs w:val="18"/>
              </w:rPr>
              <w:t>L. monocytogenes</w:t>
            </w:r>
          </w:p>
        </w:tc>
        <w:tc>
          <w:tcPr>
            <w:tcW w:w="1309" w:type="dxa"/>
            <w:vAlign w:val="center"/>
          </w:tcPr>
          <w:p w14:paraId="5B89B25C"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ON</w:t>
            </w:r>
          </w:p>
        </w:tc>
        <w:tc>
          <w:tcPr>
            <w:tcW w:w="1165" w:type="dxa"/>
            <w:vAlign w:val="center"/>
          </w:tcPr>
          <w:p w14:paraId="4C8C65B0"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7.7</w:t>
            </w:r>
          </w:p>
        </w:tc>
        <w:tc>
          <w:tcPr>
            <w:tcW w:w="2562" w:type="dxa"/>
          </w:tcPr>
          <w:p w14:paraId="4125EADA"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NNEW, pH 6.2, 100ppm chlorine</w:t>
            </w:r>
          </w:p>
        </w:tc>
        <w:tc>
          <w:tcPr>
            <w:tcW w:w="1162" w:type="dxa"/>
            <w:vAlign w:val="center"/>
          </w:tcPr>
          <w:p w14:paraId="66AF85D5"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5</w:t>
            </w:r>
          </w:p>
        </w:tc>
        <w:tc>
          <w:tcPr>
            <w:tcW w:w="1229" w:type="dxa"/>
            <w:vAlign w:val="center"/>
          </w:tcPr>
          <w:p w14:paraId="76AE3802"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1.7 – 2.0</w:t>
            </w:r>
          </w:p>
        </w:tc>
        <w:tc>
          <w:tcPr>
            <w:tcW w:w="2851" w:type="dxa"/>
            <w:vAlign w:val="center"/>
          </w:tcPr>
          <w:p w14:paraId="14A799B1" w14:textId="77777777" w:rsidR="00285EF0" w:rsidRPr="000078AD"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Singh et al. (2018b)</w:t>
            </w:r>
          </w:p>
        </w:tc>
      </w:tr>
      <w:tr w:rsidR="00285EF0" w:rsidRPr="00BE211F" w14:paraId="38AA5787"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688B9603" w14:textId="77777777" w:rsidR="00285EF0" w:rsidRPr="000078AD" w:rsidRDefault="00285EF0" w:rsidP="00285EF0">
            <w:pPr>
              <w:widowControl/>
              <w:rPr>
                <w:rFonts w:cs="Arial"/>
                <w:b w:val="0"/>
                <w:bCs w:val="0"/>
                <w:sz w:val="18"/>
                <w:szCs w:val="18"/>
              </w:rPr>
            </w:pPr>
            <w:r w:rsidRPr="000078AD">
              <w:rPr>
                <w:rFonts w:cs="Arial"/>
                <w:b w:val="0"/>
                <w:bCs w:val="0"/>
                <w:sz w:val="18"/>
                <w:szCs w:val="18"/>
              </w:rPr>
              <w:t>Lettuce</w:t>
            </w:r>
          </w:p>
        </w:tc>
        <w:tc>
          <w:tcPr>
            <w:tcW w:w="1764" w:type="dxa"/>
            <w:vAlign w:val="center"/>
          </w:tcPr>
          <w:p w14:paraId="4E06CFB9"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0078AD">
              <w:rPr>
                <w:rFonts w:cs="Arial"/>
                <w:i/>
                <w:iCs/>
                <w:sz w:val="18"/>
                <w:szCs w:val="18"/>
              </w:rPr>
              <w:t>S.</w:t>
            </w:r>
            <w:r w:rsidRPr="000078AD">
              <w:rPr>
                <w:rFonts w:cs="Arial"/>
                <w:sz w:val="18"/>
                <w:szCs w:val="18"/>
              </w:rPr>
              <w:t xml:space="preserve"> Typhimurium</w:t>
            </w:r>
          </w:p>
        </w:tc>
        <w:tc>
          <w:tcPr>
            <w:tcW w:w="1309" w:type="dxa"/>
            <w:vAlign w:val="center"/>
          </w:tcPr>
          <w:p w14:paraId="765BD5DA"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24h</w:t>
            </w:r>
          </w:p>
        </w:tc>
        <w:tc>
          <w:tcPr>
            <w:tcW w:w="1165" w:type="dxa"/>
            <w:vAlign w:val="center"/>
          </w:tcPr>
          <w:p w14:paraId="3C2810BE"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~6.0</w:t>
            </w:r>
          </w:p>
        </w:tc>
        <w:tc>
          <w:tcPr>
            <w:tcW w:w="2562" w:type="dxa"/>
            <w:vAlign w:val="center"/>
          </w:tcPr>
          <w:p w14:paraId="68172F4C"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AEW and NNEW, pH 4 – 9, 300ppm chlorine</w:t>
            </w:r>
          </w:p>
        </w:tc>
        <w:tc>
          <w:tcPr>
            <w:tcW w:w="1162" w:type="dxa"/>
            <w:vAlign w:val="center"/>
          </w:tcPr>
          <w:p w14:paraId="5C7E747D"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5</w:t>
            </w:r>
          </w:p>
        </w:tc>
        <w:tc>
          <w:tcPr>
            <w:tcW w:w="1229" w:type="dxa"/>
            <w:vAlign w:val="center"/>
          </w:tcPr>
          <w:p w14:paraId="7A47BF3D"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1.5 – 2.0</w:t>
            </w:r>
          </w:p>
        </w:tc>
        <w:tc>
          <w:tcPr>
            <w:tcW w:w="2851" w:type="dxa"/>
            <w:vAlign w:val="center"/>
          </w:tcPr>
          <w:p w14:paraId="2D809394" w14:textId="77777777" w:rsidR="00285EF0" w:rsidRPr="000078AD"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Yang et al. (2003)</w:t>
            </w:r>
          </w:p>
        </w:tc>
      </w:tr>
      <w:tr w:rsidR="00285EF0" w:rsidRPr="00BE211F" w14:paraId="198E1C17"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45" w:type="dxa"/>
            <w:tcBorders>
              <w:right w:val="none" w:sz="0" w:space="0" w:color="auto"/>
            </w:tcBorders>
            <w:vAlign w:val="center"/>
          </w:tcPr>
          <w:p w14:paraId="79ECA9CF" w14:textId="77777777" w:rsidR="00285EF0" w:rsidRPr="000078AD" w:rsidRDefault="00285EF0" w:rsidP="00285EF0">
            <w:pPr>
              <w:widowControl/>
              <w:rPr>
                <w:rFonts w:cs="Arial"/>
                <w:b w:val="0"/>
                <w:sz w:val="18"/>
                <w:szCs w:val="18"/>
              </w:rPr>
            </w:pPr>
            <w:r w:rsidRPr="000078AD">
              <w:rPr>
                <w:rFonts w:cs="Arial"/>
                <w:b w:val="0"/>
                <w:bCs w:val="0"/>
                <w:sz w:val="18"/>
                <w:szCs w:val="18"/>
              </w:rPr>
              <w:t>Spinach</w:t>
            </w:r>
          </w:p>
        </w:tc>
        <w:tc>
          <w:tcPr>
            <w:tcW w:w="1764" w:type="dxa"/>
            <w:vAlign w:val="center"/>
          </w:tcPr>
          <w:p w14:paraId="073B6D41"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i/>
                <w:sz w:val="18"/>
                <w:szCs w:val="18"/>
              </w:rPr>
            </w:pPr>
            <w:r w:rsidRPr="000078AD">
              <w:rPr>
                <w:rFonts w:cs="Arial"/>
                <w:i/>
                <w:iCs/>
                <w:sz w:val="18"/>
                <w:szCs w:val="18"/>
              </w:rPr>
              <w:t>S</w:t>
            </w:r>
            <w:r w:rsidRPr="000078AD">
              <w:rPr>
                <w:rFonts w:cs="Arial"/>
                <w:sz w:val="18"/>
                <w:szCs w:val="18"/>
              </w:rPr>
              <w:t xml:space="preserve">. Typhimurium </w:t>
            </w:r>
          </w:p>
        </w:tc>
        <w:tc>
          <w:tcPr>
            <w:tcW w:w="1309" w:type="dxa"/>
            <w:vAlign w:val="center"/>
          </w:tcPr>
          <w:p w14:paraId="0DDAFE41"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NR</w:t>
            </w:r>
          </w:p>
        </w:tc>
        <w:tc>
          <w:tcPr>
            <w:tcW w:w="1165" w:type="dxa"/>
            <w:vAlign w:val="center"/>
          </w:tcPr>
          <w:p w14:paraId="2558BA76"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0078AD">
              <w:rPr>
                <w:rFonts w:cs="Arial"/>
                <w:sz w:val="18"/>
                <w:szCs w:val="18"/>
              </w:rPr>
              <w:t>4.9</w:t>
            </w:r>
          </w:p>
        </w:tc>
        <w:tc>
          <w:tcPr>
            <w:tcW w:w="2562" w:type="dxa"/>
            <w:vAlign w:val="center"/>
          </w:tcPr>
          <w:p w14:paraId="57F61935" w14:textId="77777777" w:rsidR="00285EF0" w:rsidRPr="000078AD" w:rsidRDefault="00285EF0" w:rsidP="00285EF0">
            <w:pPr>
              <w:widowControl/>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NNEW, pH 6.5 – 6.3, 20 – 60ppm chlorine</w:t>
            </w:r>
          </w:p>
        </w:tc>
        <w:tc>
          <w:tcPr>
            <w:tcW w:w="1162" w:type="dxa"/>
            <w:vAlign w:val="center"/>
          </w:tcPr>
          <w:p w14:paraId="1731E604"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1</w:t>
            </w:r>
          </w:p>
        </w:tc>
        <w:tc>
          <w:tcPr>
            <w:tcW w:w="1229" w:type="dxa"/>
            <w:vAlign w:val="center"/>
          </w:tcPr>
          <w:p w14:paraId="7051E02C" w14:textId="77777777" w:rsidR="00285EF0" w:rsidRPr="000078AD" w:rsidRDefault="00285EF0" w:rsidP="00285EF0">
            <w:pPr>
              <w:widowControl/>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0.9 – 1.0</w:t>
            </w:r>
          </w:p>
        </w:tc>
        <w:tc>
          <w:tcPr>
            <w:tcW w:w="2851" w:type="dxa"/>
            <w:vAlign w:val="center"/>
          </w:tcPr>
          <w:p w14:paraId="1011E515" w14:textId="77777777" w:rsidR="00285EF0" w:rsidRPr="000078AD" w:rsidRDefault="00285EF0" w:rsidP="00285EF0">
            <w:pPr>
              <w:widowControl/>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0078AD">
              <w:rPr>
                <w:rFonts w:cs="Arial"/>
                <w:sz w:val="18"/>
                <w:szCs w:val="18"/>
              </w:rPr>
              <w:t>Thi-Van et al. (2019)</w:t>
            </w:r>
          </w:p>
        </w:tc>
      </w:tr>
      <w:tr w:rsidR="00285EF0" w:rsidRPr="00BE211F" w14:paraId="1E06BE1D"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845" w:type="dxa"/>
            <w:tcBorders>
              <w:bottom w:val="single" w:sz="4" w:space="0" w:color="auto"/>
              <w:right w:val="none" w:sz="0" w:space="0" w:color="auto"/>
            </w:tcBorders>
            <w:vAlign w:val="center"/>
          </w:tcPr>
          <w:p w14:paraId="7BD86070" w14:textId="77777777" w:rsidR="00285EF0" w:rsidRPr="000078AD" w:rsidRDefault="00285EF0" w:rsidP="00285EF0">
            <w:pPr>
              <w:widowControl/>
              <w:rPr>
                <w:rFonts w:cs="Arial"/>
                <w:b w:val="0"/>
                <w:sz w:val="18"/>
                <w:szCs w:val="18"/>
              </w:rPr>
            </w:pPr>
            <w:r w:rsidRPr="000078AD">
              <w:rPr>
                <w:rFonts w:cs="Arial"/>
                <w:b w:val="0"/>
                <w:bCs w:val="0"/>
                <w:sz w:val="18"/>
                <w:szCs w:val="18"/>
              </w:rPr>
              <w:t xml:space="preserve">Spinach </w:t>
            </w:r>
          </w:p>
        </w:tc>
        <w:tc>
          <w:tcPr>
            <w:tcW w:w="1764" w:type="dxa"/>
            <w:tcBorders>
              <w:bottom w:val="single" w:sz="4" w:space="0" w:color="auto"/>
            </w:tcBorders>
            <w:vAlign w:val="center"/>
          </w:tcPr>
          <w:p w14:paraId="36F8B0D5"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i/>
                <w:sz w:val="18"/>
                <w:szCs w:val="18"/>
              </w:rPr>
            </w:pPr>
            <w:r w:rsidRPr="000078AD">
              <w:rPr>
                <w:rFonts w:cs="Arial"/>
                <w:i/>
                <w:iCs/>
                <w:sz w:val="18"/>
                <w:szCs w:val="18"/>
              </w:rPr>
              <w:t>E. coli</w:t>
            </w:r>
            <w:r w:rsidRPr="000078AD">
              <w:rPr>
                <w:rFonts w:cs="Arial"/>
                <w:sz w:val="18"/>
                <w:szCs w:val="18"/>
              </w:rPr>
              <w:t xml:space="preserve"> O157:H7</w:t>
            </w:r>
          </w:p>
        </w:tc>
        <w:tc>
          <w:tcPr>
            <w:tcW w:w="1309" w:type="dxa"/>
            <w:tcBorders>
              <w:bottom w:val="single" w:sz="4" w:space="0" w:color="auto"/>
            </w:tcBorders>
            <w:vAlign w:val="center"/>
          </w:tcPr>
          <w:p w14:paraId="7DA4B6DD"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1h</w:t>
            </w:r>
          </w:p>
        </w:tc>
        <w:tc>
          <w:tcPr>
            <w:tcW w:w="1165" w:type="dxa"/>
            <w:tcBorders>
              <w:bottom w:val="single" w:sz="4" w:space="0" w:color="auto"/>
            </w:tcBorders>
            <w:vAlign w:val="center"/>
          </w:tcPr>
          <w:p w14:paraId="3308342C"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7.1</w:t>
            </w:r>
          </w:p>
        </w:tc>
        <w:tc>
          <w:tcPr>
            <w:tcW w:w="2562" w:type="dxa"/>
            <w:tcBorders>
              <w:bottom w:val="single" w:sz="4" w:space="0" w:color="auto"/>
            </w:tcBorders>
            <w:vAlign w:val="center"/>
          </w:tcPr>
          <w:p w14:paraId="5CC64770" w14:textId="77777777" w:rsidR="00285EF0" w:rsidRPr="000078AD" w:rsidRDefault="00285EF0" w:rsidP="00285EF0">
            <w:pPr>
              <w:widowControl/>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AEW, pH 2.7, free chlorine 45ppm</w:t>
            </w:r>
          </w:p>
        </w:tc>
        <w:tc>
          <w:tcPr>
            <w:tcW w:w="1162" w:type="dxa"/>
            <w:tcBorders>
              <w:bottom w:val="single" w:sz="4" w:space="0" w:color="auto"/>
            </w:tcBorders>
            <w:vAlign w:val="center"/>
          </w:tcPr>
          <w:p w14:paraId="3DAF6A28"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2</w:t>
            </w:r>
          </w:p>
        </w:tc>
        <w:tc>
          <w:tcPr>
            <w:tcW w:w="1229" w:type="dxa"/>
            <w:tcBorders>
              <w:bottom w:val="single" w:sz="4" w:space="0" w:color="auto"/>
            </w:tcBorders>
            <w:vAlign w:val="center"/>
          </w:tcPr>
          <w:p w14:paraId="0D884B8A" w14:textId="77777777" w:rsidR="00285EF0" w:rsidRPr="000078AD" w:rsidRDefault="00285EF0" w:rsidP="00285EF0">
            <w:pPr>
              <w:widowControl/>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2.2</w:t>
            </w:r>
          </w:p>
        </w:tc>
        <w:tc>
          <w:tcPr>
            <w:tcW w:w="2851" w:type="dxa"/>
            <w:tcBorders>
              <w:bottom w:val="single" w:sz="4" w:space="0" w:color="auto"/>
            </w:tcBorders>
            <w:vAlign w:val="center"/>
          </w:tcPr>
          <w:p w14:paraId="40C699CA" w14:textId="77777777" w:rsidR="00285EF0" w:rsidRPr="000078AD" w:rsidRDefault="00285EF0" w:rsidP="00285EF0">
            <w:pPr>
              <w:widowControl/>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078AD">
              <w:rPr>
                <w:rFonts w:cs="Arial"/>
                <w:sz w:val="18"/>
                <w:szCs w:val="18"/>
              </w:rPr>
              <w:t xml:space="preserve">Zhou et al., </w:t>
            </w:r>
            <w:r>
              <w:rPr>
                <w:rFonts w:cs="Arial"/>
                <w:sz w:val="18"/>
                <w:szCs w:val="18"/>
              </w:rPr>
              <w:t>(</w:t>
            </w:r>
            <w:r w:rsidRPr="000078AD">
              <w:rPr>
                <w:rFonts w:cs="Arial"/>
                <w:sz w:val="18"/>
                <w:szCs w:val="18"/>
              </w:rPr>
              <w:t>2009</w:t>
            </w:r>
            <w:r>
              <w:rPr>
                <w:rFonts w:cs="Arial"/>
                <w:sz w:val="18"/>
                <w:szCs w:val="18"/>
              </w:rPr>
              <w:t>)</w:t>
            </w:r>
          </w:p>
        </w:tc>
      </w:tr>
    </w:tbl>
    <w:p w14:paraId="03B82F50" w14:textId="77777777" w:rsidR="00285EF0" w:rsidRDefault="00285EF0" w:rsidP="00285EF0">
      <w:pPr>
        <w:rPr>
          <w:rFonts w:cs="Arial"/>
          <w:b/>
          <w:sz w:val="18"/>
          <w:szCs w:val="18"/>
        </w:rPr>
      </w:pPr>
    </w:p>
    <w:p w14:paraId="4BFBBC32" w14:textId="77777777" w:rsidR="00285EF0" w:rsidRPr="00410EFF" w:rsidRDefault="00285EF0" w:rsidP="00285EF0">
      <w:pPr>
        <w:rPr>
          <w:rFonts w:cs="Arial"/>
          <w:sz w:val="18"/>
          <w:szCs w:val="18"/>
        </w:rPr>
      </w:pPr>
      <w:r w:rsidRPr="00410EFF">
        <w:rPr>
          <w:rFonts w:cs="Arial"/>
          <w:sz w:val="18"/>
          <w:szCs w:val="18"/>
        </w:rPr>
        <w:t>TC = Total chlorine</w:t>
      </w:r>
    </w:p>
    <w:p w14:paraId="136FA37B" w14:textId="77777777" w:rsidR="00285EF0" w:rsidRPr="00410EFF" w:rsidRDefault="00285EF0" w:rsidP="00285EF0">
      <w:pPr>
        <w:rPr>
          <w:rFonts w:cs="Arial"/>
          <w:sz w:val="18"/>
          <w:szCs w:val="18"/>
        </w:rPr>
      </w:pPr>
      <w:r w:rsidRPr="00410EFF">
        <w:rPr>
          <w:rFonts w:cs="Arial"/>
          <w:sz w:val="18"/>
          <w:szCs w:val="18"/>
        </w:rPr>
        <w:t>FC = Free chlorine</w:t>
      </w:r>
    </w:p>
    <w:p w14:paraId="3CDF6CF1" w14:textId="77777777" w:rsidR="00285EF0" w:rsidRPr="00410EFF" w:rsidRDefault="00285EF0" w:rsidP="00285EF0">
      <w:pPr>
        <w:rPr>
          <w:rFonts w:cs="Arial"/>
          <w:sz w:val="18"/>
          <w:szCs w:val="18"/>
        </w:rPr>
      </w:pPr>
      <w:r w:rsidRPr="00410EFF">
        <w:rPr>
          <w:rFonts w:cs="Arial"/>
          <w:sz w:val="18"/>
          <w:szCs w:val="18"/>
        </w:rPr>
        <w:t>ON = Overnight</w:t>
      </w:r>
    </w:p>
    <w:p w14:paraId="6263296C" w14:textId="358D00FD" w:rsidR="00285EF0" w:rsidRDefault="006B32C8" w:rsidP="00285EF0">
      <w:pPr>
        <w:rPr>
          <w:rFonts w:cs="Arial"/>
          <w:sz w:val="18"/>
          <w:szCs w:val="18"/>
        </w:rPr>
      </w:pPr>
      <w:r>
        <w:rPr>
          <w:rFonts w:cs="Arial"/>
          <w:sz w:val="18"/>
          <w:szCs w:val="18"/>
        </w:rPr>
        <w:t>NR</w:t>
      </w:r>
      <w:r w:rsidR="00285EF0" w:rsidRPr="00410EFF">
        <w:rPr>
          <w:rFonts w:cs="Arial"/>
          <w:sz w:val="18"/>
          <w:szCs w:val="18"/>
        </w:rPr>
        <w:t xml:space="preserve"> = Not reported</w:t>
      </w:r>
    </w:p>
    <w:p w14:paraId="11390634" w14:textId="77777777" w:rsidR="00285EF0" w:rsidRDefault="00285EF0" w:rsidP="00285EF0">
      <w:pPr>
        <w:rPr>
          <w:rFonts w:cs="Arial"/>
          <w:sz w:val="18"/>
          <w:szCs w:val="18"/>
        </w:rPr>
      </w:pPr>
      <w:r>
        <w:rPr>
          <w:rFonts w:cs="Arial"/>
          <w:sz w:val="18"/>
          <w:szCs w:val="18"/>
        </w:rPr>
        <w:t>NA = Not available</w:t>
      </w:r>
    </w:p>
    <w:p w14:paraId="53AFB6EE" w14:textId="77777777" w:rsidR="00285EF0" w:rsidRDefault="00285EF0" w:rsidP="00285EF0">
      <w:pPr>
        <w:rPr>
          <w:rFonts w:cs="Arial"/>
          <w:bCs/>
          <w:sz w:val="18"/>
          <w:szCs w:val="18"/>
        </w:rPr>
      </w:pPr>
      <w:r>
        <w:rPr>
          <w:rFonts w:cs="Arial"/>
          <w:bCs/>
          <w:sz w:val="18"/>
          <w:szCs w:val="18"/>
        </w:rPr>
        <w:t>AEW = Acidic electrolysed water</w:t>
      </w:r>
    </w:p>
    <w:p w14:paraId="1709B197" w14:textId="77777777" w:rsidR="00285EF0" w:rsidRPr="00931F61" w:rsidRDefault="00285EF0" w:rsidP="00285EF0">
      <w:pPr>
        <w:rPr>
          <w:rFonts w:cs="Arial"/>
          <w:bCs/>
          <w:sz w:val="18"/>
          <w:szCs w:val="18"/>
        </w:rPr>
      </w:pPr>
      <w:r>
        <w:rPr>
          <w:rFonts w:cs="Arial"/>
          <w:bCs/>
          <w:sz w:val="18"/>
          <w:szCs w:val="18"/>
        </w:rPr>
        <w:t>NNEW = Near neutral electrolysed water</w:t>
      </w:r>
    </w:p>
    <w:p w14:paraId="69EE9B43" w14:textId="77777777" w:rsidR="00285EF0" w:rsidRPr="00B1023C" w:rsidRDefault="00285EF0" w:rsidP="00285EF0">
      <w:pPr>
        <w:rPr>
          <w:rFonts w:cs="Arial"/>
          <w:sz w:val="18"/>
          <w:szCs w:val="18"/>
        </w:rPr>
      </w:pPr>
    </w:p>
    <w:p w14:paraId="01C73608" w14:textId="77777777" w:rsidR="00285EF0" w:rsidRDefault="00285EF0" w:rsidP="00285EF0">
      <w:pPr>
        <w:widowControl/>
        <w:rPr>
          <w:rFonts w:cs="Arial"/>
        </w:rPr>
      </w:pPr>
    </w:p>
    <w:p w14:paraId="1B1BA863" w14:textId="77777777" w:rsidR="008B6B64" w:rsidRPr="00787E56" w:rsidRDefault="00285EF0" w:rsidP="00787E56">
      <w:pPr>
        <w:pStyle w:val="Heading3"/>
      </w:pPr>
      <w:bookmarkStart w:id="1414" w:name="_Toc66881489"/>
      <w:bookmarkStart w:id="1415" w:name="_Toc66883115"/>
      <w:bookmarkStart w:id="1416" w:name="_Toc87614514"/>
      <w:bookmarkStart w:id="1417" w:name="_Toc87860153"/>
      <w:r w:rsidRPr="00787E56">
        <w:t>References</w:t>
      </w:r>
      <w:bookmarkStart w:id="1418" w:name="_CTVL001bdc858eb6f304038a6194eccfbc8d7a2"/>
      <w:bookmarkEnd w:id="1414"/>
      <w:bookmarkEnd w:id="1415"/>
      <w:bookmarkEnd w:id="1416"/>
      <w:bookmarkEnd w:id="1417"/>
    </w:p>
    <w:p w14:paraId="52DDBCD9" w14:textId="76EB6168" w:rsidR="00F96FD2" w:rsidRPr="008B6B64" w:rsidRDefault="00285EF0" w:rsidP="008B6B64">
      <w:pPr>
        <w:spacing w:after="120"/>
        <w:rPr>
          <w:sz w:val="20"/>
          <w:szCs w:val="20"/>
        </w:rPr>
      </w:pPr>
      <w:r w:rsidRPr="008B6B64">
        <w:rPr>
          <w:sz w:val="20"/>
          <w:szCs w:val="20"/>
        </w:rPr>
        <w:t>Butot S, Putallaz T, Sánchez G (2008) Effects of sanitation, freezing and frozen storage on enteric viruses in berries and herbs. International Journal of Food Microbiology 126:30–35</w:t>
      </w:r>
      <w:r w:rsidR="00F96FD2">
        <w:rPr>
          <w:sz w:val="20"/>
          <w:szCs w:val="20"/>
        </w:rPr>
        <w:t xml:space="preserve">. </w:t>
      </w:r>
      <w:hyperlink r:id="rId586" w:history="1">
        <w:r w:rsidR="00F96FD2" w:rsidRPr="00C72075">
          <w:rPr>
            <w:rStyle w:val="Hyperlink"/>
            <w:sz w:val="20"/>
            <w:szCs w:val="20"/>
          </w:rPr>
          <w:t>https://doi.org/10.1016/j.ijfoodmicro.2008.04.033</w:t>
        </w:r>
      </w:hyperlink>
    </w:p>
    <w:p w14:paraId="534B2A35" w14:textId="77777777" w:rsidR="00285EF0" w:rsidRPr="0097240B" w:rsidRDefault="00285EF0" w:rsidP="00285EF0">
      <w:pPr>
        <w:pStyle w:val="CitaviBibliographyEntry"/>
        <w:spacing w:after="120"/>
        <w:ind w:left="0" w:firstLine="0"/>
        <w:rPr>
          <w:sz w:val="20"/>
          <w:szCs w:val="20"/>
        </w:rPr>
      </w:pPr>
      <w:bookmarkStart w:id="1419" w:name="_CTVL0014ab952388ab94253bff77a4c1b06ca01"/>
      <w:bookmarkEnd w:id="1418"/>
      <w:r w:rsidRPr="0097240B">
        <w:rPr>
          <w:sz w:val="20"/>
          <w:szCs w:val="20"/>
        </w:rPr>
        <w:t>Choi MR, Lee SY (2008) Inhibitory effects of chlorine dioxide and a commercial chlorine sanitizer against foodborne pathogens on lettuce. Korean Journal of Food and Cookery Science 24:445–451</w:t>
      </w:r>
    </w:p>
    <w:bookmarkEnd w:id="1419"/>
    <w:p w14:paraId="059F0993" w14:textId="77777777" w:rsidR="00285EF0" w:rsidRPr="0097240B" w:rsidRDefault="00285EF0" w:rsidP="00285EF0">
      <w:pPr>
        <w:pStyle w:val="CitaviBibliographyEntry"/>
        <w:spacing w:after="120"/>
        <w:ind w:left="0" w:firstLine="0"/>
        <w:rPr>
          <w:sz w:val="20"/>
          <w:szCs w:val="20"/>
        </w:rPr>
      </w:pPr>
      <w:r w:rsidRPr="0097240B">
        <w:rPr>
          <w:sz w:val="20"/>
          <w:szCs w:val="20"/>
        </w:rPr>
        <w:t xml:space="preserve">Davidson G, Kaminski-Davidson CN, Ryser ET (2017) Persistence of </w:t>
      </w:r>
      <w:r w:rsidRPr="00C91325">
        <w:rPr>
          <w:i/>
          <w:sz w:val="20"/>
          <w:szCs w:val="20"/>
        </w:rPr>
        <w:t>Escherichia coli</w:t>
      </w:r>
      <w:r w:rsidRPr="0097240B">
        <w:rPr>
          <w:sz w:val="20"/>
          <w:szCs w:val="20"/>
        </w:rPr>
        <w:t xml:space="preserve"> O157:H7 during pilot-scale processing of iceberg lettuce using flume water containing peroxyacetic acid-based sanitizers and various organic loads. International Journal of Food Microbiology 248:22–31. </w:t>
      </w:r>
      <w:hyperlink r:id="rId587" w:history="1">
        <w:r w:rsidRPr="0097240B">
          <w:rPr>
            <w:rStyle w:val="Hyperlink"/>
            <w:sz w:val="20"/>
            <w:szCs w:val="20"/>
          </w:rPr>
          <w:t>https://doi.org/10.1016/j.ijfoodmicro.2017.02.006</w:t>
        </w:r>
      </w:hyperlink>
    </w:p>
    <w:p w14:paraId="413F0978" w14:textId="4BBB4D53" w:rsidR="00285EF0" w:rsidRPr="0097240B" w:rsidRDefault="00285EF0" w:rsidP="00285EF0">
      <w:pPr>
        <w:pStyle w:val="CitaviBibliographyEntry"/>
        <w:spacing w:after="120"/>
        <w:ind w:left="0" w:firstLine="0"/>
        <w:rPr>
          <w:sz w:val="20"/>
          <w:szCs w:val="20"/>
        </w:rPr>
      </w:pPr>
      <w:bookmarkStart w:id="1420" w:name="_CTVL001dee87466207d48c3af7e14d048743909"/>
      <w:r w:rsidRPr="0097240B">
        <w:rPr>
          <w:sz w:val="20"/>
          <w:szCs w:val="20"/>
        </w:rPr>
        <w:t xml:space="preserve">Francis GA, O’Beirne D (2002) Effects of vegetable type and antimicrobial dipping on survival and growth of </w:t>
      </w:r>
      <w:r w:rsidRPr="00C91325">
        <w:rPr>
          <w:i/>
          <w:sz w:val="20"/>
          <w:szCs w:val="20"/>
        </w:rPr>
        <w:t>Listeria innocua</w:t>
      </w:r>
      <w:r w:rsidR="00C91325">
        <w:rPr>
          <w:sz w:val="20"/>
          <w:szCs w:val="20"/>
        </w:rPr>
        <w:t xml:space="preserve"> and </w:t>
      </w:r>
      <w:r w:rsidR="00C91325" w:rsidRPr="00C91325">
        <w:rPr>
          <w:i/>
          <w:sz w:val="20"/>
          <w:szCs w:val="20"/>
        </w:rPr>
        <w:t xml:space="preserve">E. </w:t>
      </w:r>
      <w:r w:rsidRPr="00C91325">
        <w:rPr>
          <w:i/>
          <w:sz w:val="20"/>
          <w:szCs w:val="20"/>
        </w:rPr>
        <w:t>coli</w:t>
      </w:r>
      <w:r w:rsidRPr="0097240B">
        <w:rPr>
          <w:sz w:val="20"/>
          <w:szCs w:val="20"/>
        </w:rPr>
        <w:t xml:space="preserve">. International Journal of Food Science &amp; Technology 37:711–718. </w:t>
      </w:r>
      <w:hyperlink r:id="rId588" w:history="1">
        <w:r w:rsidRPr="0097240B">
          <w:rPr>
            <w:rStyle w:val="Hyperlink"/>
            <w:sz w:val="20"/>
            <w:szCs w:val="20"/>
          </w:rPr>
          <w:t>https://doi.org/10.1046/j.1365-2621.2002.00622.x</w:t>
        </w:r>
      </w:hyperlink>
    </w:p>
    <w:p w14:paraId="2A5B1BDC" w14:textId="16D7A9C6" w:rsidR="00285EF0" w:rsidRPr="0097240B" w:rsidRDefault="00285EF0" w:rsidP="00285EF0">
      <w:pPr>
        <w:pStyle w:val="CitaviBibliographyEntry"/>
        <w:spacing w:after="120"/>
        <w:ind w:left="0" w:firstLine="0"/>
        <w:rPr>
          <w:sz w:val="20"/>
          <w:szCs w:val="20"/>
        </w:rPr>
      </w:pPr>
      <w:bookmarkStart w:id="1421" w:name="_CTVL0018cb41ac2e57444bf8ebed444c620090d"/>
      <w:bookmarkEnd w:id="1420"/>
      <w:r w:rsidRPr="0097240B">
        <w:rPr>
          <w:sz w:val="20"/>
          <w:szCs w:val="20"/>
        </w:rPr>
        <w:t>Hadjok C, Mittal GS, Warriner K (2008) Inactivation of human pathogens and spoilage bacteria on the surface and internalized within fresh produce by using a combination of ultraviolet light and hydrogen peroxide. J</w:t>
      </w:r>
      <w:r w:rsidR="00C91325">
        <w:rPr>
          <w:sz w:val="20"/>
          <w:szCs w:val="20"/>
        </w:rPr>
        <w:t>ournal of</w:t>
      </w:r>
      <w:r w:rsidRPr="0097240B">
        <w:rPr>
          <w:sz w:val="20"/>
          <w:szCs w:val="20"/>
        </w:rPr>
        <w:t xml:space="preserve"> Appl</w:t>
      </w:r>
      <w:r w:rsidR="00C91325">
        <w:rPr>
          <w:sz w:val="20"/>
          <w:szCs w:val="20"/>
        </w:rPr>
        <w:t>ied</w:t>
      </w:r>
      <w:r w:rsidRPr="0097240B">
        <w:rPr>
          <w:sz w:val="20"/>
          <w:szCs w:val="20"/>
        </w:rPr>
        <w:t xml:space="preserve"> Microbiol</w:t>
      </w:r>
      <w:r w:rsidR="00C91325">
        <w:rPr>
          <w:sz w:val="20"/>
          <w:szCs w:val="20"/>
        </w:rPr>
        <w:t>ogy</w:t>
      </w:r>
      <w:r w:rsidRPr="0097240B">
        <w:rPr>
          <w:sz w:val="20"/>
          <w:szCs w:val="20"/>
        </w:rPr>
        <w:t xml:space="preserve"> 104:1014–1024. </w:t>
      </w:r>
      <w:hyperlink r:id="rId589" w:history="1">
        <w:r w:rsidRPr="0097240B">
          <w:rPr>
            <w:rStyle w:val="Hyperlink"/>
            <w:sz w:val="20"/>
            <w:szCs w:val="20"/>
          </w:rPr>
          <w:t>https://doi.org/10.1111/j.1365-2672.2007.03624.x</w:t>
        </w:r>
      </w:hyperlink>
    </w:p>
    <w:bookmarkEnd w:id="1421"/>
    <w:p w14:paraId="0448838B" w14:textId="77777777" w:rsidR="00285EF0" w:rsidRPr="0097240B" w:rsidRDefault="00285EF0" w:rsidP="00285EF0">
      <w:pPr>
        <w:pStyle w:val="CitaviBibliographyEntry"/>
        <w:spacing w:after="120"/>
        <w:ind w:left="0" w:firstLine="0"/>
        <w:rPr>
          <w:sz w:val="20"/>
          <w:szCs w:val="20"/>
        </w:rPr>
      </w:pPr>
      <w:r w:rsidRPr="0097240B">
        <w:rPr>
          <w:sz w:val="20"/>
          <w:szCs w:val="20"/>
        </w:rPr>
        <w:t xml:space="preserve">Karaca H, Velioglu YS (2014) Effects of ozone treatments on microbial quality and some chemical properties of lettuce, spinach, and parsley. Postharvest Biology and Technology 88:46–53. </w:t>
      </w:r>
      <w:hyperlink r:id="rId590" w:history="1">
        <w:r w:rsidRPr="0097240B">
          <w:rPr>
            <w:rStyle w:val="Hyperlink"/>
            <w:sz w:val="20"/>
            <w:szCs w:val="20"/>
          </w:rPr>
          <w:t>https://doi.org/10.1016/j.postharvbio.2013.09.003</w:t>
        </w:r>
      </w:hyperlink>
    </w:p>
    <w:p w14:paraId="6CEB1CF2" w14:textId="77777777" w:rsidR="00285EF0" w:rsidRPr="0097240B" w:rsidRDefault="00285EF0" w:rsidP="00285EF0">
      <w:pPr>
        <w:pStyle w:val="CitaviBibliographyEntry"/>
        <w:spacing w:after="120"/>
        <w:ind w:left="0" w:firstLine="0"/>
        <w:rPr>
          <w:sz w:val="20"/>
          <w:szCs w:val="20"/>
        </w:rPr>
      </w:pPr>
      <w:bookmarkStart w:id="1422" w:name="_CTVL0018bb8a40968354b508867322f5503e42d"/>
      <w:r w:rsidRPr="0097240B">
        <w:rPr>
          <w:sz w:val="20"/>
          <w:szCs w:val="20"/>
        </w:rPr>
        <w:t xml:space="preserve">Karaca H, Velioglu YS (2020) Effects of ozone and chlorine washes and subsequent cold storage on microbiological quality and shelf life of fresh parsley leaves. LWT 127. </w:t>
      </w:r>
      <w:hyperlink r:id="rId591" w:history="1">
        <w:r w:rsidRPr="0097240B">
          <w:rPr>
            <w:rStyle w:val="Hyperlink"/>
            <w:sz w:val="20"/>
            <w:szCs w:val="20"/>
          </w:rPr>
          <w:t>https://doi.org/10.1016/j.lwt.2020.109421</w:t>
        </w:r>
      </w:hyperlink>
    </w:p>
    <w:p w14:paraId="12C26BA0" w14:textId="77777777" w:rsidR="00285EF0" w:rsidRPr="0097240B" w:rsidRDefault="00285EF0" w:rsidP="00285EF0">
      <w:pPr>
        <w:pStyle w:val="CitaviBibliographyEntry"/>
        <w:spacing w:after="120"/>
        <w:ind w:left="0" w:firstLine="0"/>
        <w:rPr>
          <w:sz w:val="20"/>
          <w:szCs w:val="20"/>
        </w:rPr>
      </w:pPr>
      <w:bookmarkStart w:id="1423" w:name="_CTVL001ce9df3a2fa094f9889d1ebf5ab3fcf2e"/>
      <w:bookmarkEnd w:id="1422"/>
      <w:r w:rsidRPr="0097240B">
        <w:rPr>
          <w:sz w:val="20"/>
          <w:szCs w:val="20"/>
        </w:rPr>
        <w:t>Keskinen LA, Burke A, Annous BA (2009) Efficacy of chlorine, acidic electrolyzed water and aqueous chlorine dioxide solutio</w:t>
      </w:r>
      <w:r>
        <w:rPr>
          <w:sz w:val="20"/>
          <w:szCs w:val="20"/>
        </w:rPr>
        <w:t xml:space="preserve">ns to decontaminate </w:t>
      </w:r>
      <w:r w:rsidRPr="00C91325">
        <w:rPr>
          <w:i/>
          <w:sz w:val="20"/>
          <w:szCs w:val="20"/>
        </w:rPr>
        <w:t>Escherichia coli</w:t>
      </w:r>
      <w:r w:rsidRPr="0097240B">
        <w:rPr>
          <w:sz w:val="20"/>
          <w:szCs w:val="20"/>
        </w:rPr>
        <w:t xml:space="preserve"> O157:H7 from lettuce leaves. International Journal of Food Microbiology 132:134–140. </w:t>
      </w:r>
      <w:hyperlink r:id="rId592" w:history="1">
        <w:r w:rsidRPr="0097240B">
          <w:rPr>
            <w:rStyle w:val="Hyperlink"/>
            <w:sz w:val="20"/>
            <w:szCs w:val="20"/>
          </w:rPr>
          <w:t>https://doi.org/10.1016/j.ijfoodmicro.2009.04.006</w:t>
        </w:r>
      </w:hyperlink>
    </w:p>
    <w:bookmarkEnd w:id="1423"/>
    <w:p w14:paraId="47A78868" w14:textId="2E887517" w:rsidR="00285EF0" w:rsidRPr="0097240B" w:rsidRDefault="00285EF0" w:rsidP="00285EF0">
      <w:pPr>
        <w:pStyle w:val="CitaviBibliographyEntry"/>
        <w:spacing w:after="120"/>
        <w:ind w:left="0" w:firstLine="0"/>
        <w:rPr>
          <w:sz w:val="20"/>
          <w:szCs w:val="20"/>
        </w:rPr>
      </w:pPr>
      <w:r w:rsidRPr="0097240B">
        <w:rPr>
          <w:sz w:val="20"/>
          <w:szCs w:val="20"/>
        </w:rPr>
        <w:t xml:space="preserve">Lang MM, Harris LJ, Beuchat LR (2004) Survival and recovery of </w:t>
      </w:r>
      <w:r w:rsidRPr="007C4D68">
        <w:rPr>
          <w:i/>
          <w:sz w:val="20"/>
          <w:szCs w:val="20"/>
        </w:rPr>
        <w:t>Escherichia coli</w:t>
      </w:r>
      <w:r w:rsidRPr="0097240B">
        <w:rPr>
          <w:sz w:val="20"/>
          <w:szCs w:val="20"/>
        </w:rPr>
        <w:t xml:space="preserve"> O157:H7, </w:t>
      </w:r>
      <w:r w:rsidRPr="007C4D68">
        <w:rPr>
          <w:i/>
          <w:sz w:val="20"/>
          <w:szCs w:val="20"/>
        </w:rPr>
        <w:t>Salmonella</w:t>
      </w:r>
      <w:r w:rsidRPr="0097240B">
        <w:rPr>
          <w:sz w:val="20"/>
          <w:szCs w:val="20"/>
        </w:rPr>
        <w:t xml:space="preserve">, and </w:t>
      </w:r>
      <w:r w:rsidRPr="007C4D68">
        <w:rPr>
          <w:i/>
          <w:sz w:val="20"/>
          <w:szCs w:val="20"/>
        </w:rPr>
        <w:t>Listeria monocytogenes</w:t>
      </w:r>
      <w:r w:rsidRPr="0097240B">
        <w:rPr>
          <w:sz w:val="20"/>
          <w:szCs w:val="20"/>
        </w:rPr>
        <w:t xml:space="preserve"> on lettuce and parsley as affected by method of inoculation, time between inoculation and analysis, and treatment with chlorinated water. J</w:t>
      </w:r>
      <w:r w:rsidR="007C4D68">
        <w:rPr>
          <w:sz w:val="20"/>
          <w:szCs w:val="20"/>
        </w:rPr>
        <w:t>ournal of</w:t>
      </w:r>
      <w:r w:rsidRPr="0097240B">
        <w:rPr>
          <w:sz w:val="20"/>
          <w:szCs w:val="20"/>
        </w:rPr>
        <w:t xml:space="preserve"> Food Prot</w:t>
      </w:r>
      <w:r w:rsidR="007C4D68">
        <w:rPr>
          <w:sz w:val="20"/>
          <w:szCs w:val="20"/>
        </w:rPr>
        <w:t>ection</w:t>
      </w:r>
      <w:r w:rsidRPr="0097240B">
        <w:rPr>
          <w:sz w:val="20"/>
          <w:szCs w:val="20"/>
        </w:rPr>
        <w:t xml:space="preserve"> 67:1092–1103. </w:t>
      </w:r>
      <w:hyperlink r:id="rId593" w:history="1">
        <w:r w:rsidRPr="0097240B">
          <w:rPr>
            <w:rStyle w:val="Hyperlink"/>
            <w:sz w:val="20"/>
            <w:szCs w:val="20"/>
          </w:rPr>
          <w:t>https://doi.org/10.4315/0362-028X-67.6.1092</w:t>
        </w:r>
      </w:hyperlink>
    </w:p>
    <w:p w14:paraId="0128C8DD" w14:textId="77777777" w:rsidR="00285EF0" w:rsidRPr="0097240B" w:rsidRDefault="00285EF0" w:rsidP="00285EF0">
      <w:pPr>
        <w:pStyle w:val="CitaviBibliographyEntry"/>
        <w:spacing w:after="120"/>
        <w:ind w:left="0" w:firstLine="0"/>
        <w:rPr>
          <w:sz w:val="20"/>
          <w:szCs w:val="20"/>
        </w:rPr>
      </w:pPr>
      <w:r w:rsidRPr="0097240B">
        <w:rPr>
          <w:sz w:val="20"/>
          <w:szCs w:val="20"/>
        </w:rPr>
        <w:t xml:space="preserve">Lapidot A, Romling U, Yaron S (2006) Biofilm formation and the survival of </w:t>
      </w:r>
      <w:r w:rsidRPr="007C4D68">
        <w:rPr>
          <w:i/>
          <w:sz w:val="20"/>
          <w:szCs w:val="20"/>
        </w:rPr>
        <w:t>Salmonella</w:t>
      </w:r>
      <w:r w:rsidRPr="0097240B">
        <w:rPr>
          <w:sz w:val="20"/>
          <w:szCs w:val="20"/>
        </w:rPr>
        <w:t xml:space="preserve"> Typhimurium on parsley. International Journal of Food Microbiology 109:229–233. </w:t>
      </w:r>
      <w:hyperlink r:id="rId594" w:history="1">
        <w:r w:rsidRPr="0097240B">
          <w:rPr>
            <w:rStyle w:val="Hyperlink"/>
            <w:sz w:val="20"/>
            <w:szCs w:val="20"/>
          </w:rPr>
          <w:t>https://doi.org/10.1016/j.ijfoodmicro.2006.01.012</w:t>
        </w:r>
      </w:hyperlink>
    </w:p>
    <w:p w14:paraId="14AE79EA" w14:textId="77777777" w:rsidR="00285EF0" w:rsidRPr="0097240B" w:rsidRDefault="00285EF0" w:rsidP="00285EF0">
      <w:pPr>
        <w:pStyle w:val="CitaviBibliographyEntry"/>
        <w:spacing w:after="120"/>
        <w:ind w:left="0" w:firstLine="0"/>
        <w:rPr>
          <w:sz w:val="20"/>
          <w:szCs w:val="20"/>
        </w:rPr>
      </w:pPr>
      <w:bookmarkStart w:id="1424" w:name="_CTVL00187a6c2d58c514a8b89fc51714bdeef12"/>
      <w:r w:rsidRPr="0097240B">
        <w:rPr>
          <w:sz w:val="20"/>
          <w:szCs w:val="20"/>
        </w:rPr>
        <w:t xml:space="preserve">Lee S-Y, Baek S-Y (2008) Effect of chemical sanitizer combined with modified atmosphere packaging on inhibiting </w:t>
      </w:r>
      <w:r w:rsidRPr="00C91325">
        <w:rPr>
          <w:i/>
          <w:sz w:val="20"/>
          <w:szCs w:val="20"/>
        </w:rPr>
        <w:t>Escherichia coli</w:t>
      </w:r>
      <w:r w:rsidRPr="0097240B">
        <w:rPr>
          <w:sz w:val="20"/>
          <w:szCs w:val="20"/>
        </w:rPr>
        <w:t xml:space="preserve"> O157:H7 in commercial spinach. Food Microbiology 25:582–587. </w:t>
      </w:r>
      <w:hyperlink r:id="rId595" w:history="1">
        <w:r w:rsidRPr="0097240B">
          <w:rPr>
            <w:rStyle w:val="Hyperlink"/>
            <w:sz w:val="20"/>
            <w:szCs w:val="20"/>
          </w:rPr>
          <w:t>https://doi.org/10.1016/j.fm.2008.02.003</w:t>
        </w:r>
      </w:hyperlink>
    </w:p>
    <w:p w14:paraId="0487BF42" w14:textId="77777777" w:rsidR="00285EF0" w:rsidRPr="0097240B" w:rsidRDefault="00285EF0" w:rsidP="00285EF0">
      <w:pPr>
        <w:pStyle w:val="CitaviBibliographyEntry"/>
        <w:spacing w:after="120"/>
        <w:ind w:left="0" w:firstLine="0"/>
        <w:rPr>
          <w:sz w:val="20"/>
          <w:szCs w:val="20"/>
        </w:rPr>
      </w:pPr>
      <w:bookmarkStart w:id="1425" w:name="_CTVL0017aa1417e61bd4e0189d2910d422e7569"/>
      <w:bookmarkEnd w:id="1424"/>
      <w:r w:rsidRPr="0097240B">
        <w:rPr>
          <w:sz w:val="20"/>
          <w:szCs w:val="20"/>
        </w:rPr>
        <w:t xml:space="preserve">Lippman B, Yao SY, Huang RZ, Chen HQ (2020) Evaluation of the combined treatment of ultraviolet light and peracetic acid as an alternative to chlorine washing for lettuce decontamination. International Journal of Food Microbiology 323. </w:t>
      </w:r>
      <w:hyperlink r:id="rId596" w:history="1">
        <w:r w:rsidRPr="0097240B">
          <w:rPr>
            <w:rStyle w:val="Hyperlink"/>
            <w:sz w:val="20"/>
            <w:szCs w:val="20"/>
          </w:rPr>
          <w:t>https://doi.org/10.1016/j.ijfoodmicro.2020.108590</w:t>
        </w:r>
      </w:hyperlink>
    </w:p>
    <w:bookmarkEnd w:id="1425"/>
    <w:p w14:paraId="66C0FD43" w14:textId="77777777" w:rsidR="00285EF0" w:rsidRPr="0097240B" w:rsidRDefault="00285EF0" w:rsidP="00285EF0">
      <w:pPr>
        <w:pStyle w:val="CitaviBibliographyEntry"/>
        <w:spacing w:after="120"/>
        <w:ind w:left="0" w:firstLine="0"/>
        <w:rPr>
          <w:sz w:val="20"/>
          <w:szCs w:val="20"/>
        </w:rPr>
      </w:pPr>
      <w:r w:rsidRPr="0097240B">
        <w:rPr>
          <w:sz w:val="20"/>
          <w:szCs w:val="20"/>
        </w:rPr>
        <w:t xml:space="preserve">Lopez-Galvez F, Gil MI, Truchado P, Selma MV, Allende A (2010) Cross-contamination of fresh-cut lettuce after a short-term exposure during pre-washing cannot be controlled after subsequent washing with chlorine dioxide or sodium hypochlorite. Food Microbiology 27:199–204. </w:t>
      </w:r>
      <w:hyperlink r:id="rId597" w:history="1">
        <w:r w:rsidRPr="0097240B">
          <w:rPr>
            <w:rStyle w:val="Hyperlink"/>
            <w:sz w:val="20"/>
            <w:szCs w:val="20"/>
          </w:rPr>
          <w:t>https://doi.org/10.1016/j.fm.2009.09.009</w:t>
        </w:r>
      </w:hyperlink>
    </w:p>
    <w:p w14:paraId="3A78DABB" w14:textId="77777777" w:rsidR="00E94ED2" w:rsidRDefault="00E94ED2">
      <w:pPr>
        <w:widowControl/>
        <w:rPr>
          <w:color w:val="000000" w:themeColor="text1"/>
          <w:sz w:val="20"/>
          <w:szCs w:val="20"/>
        </w:rPr>
      </w:pPr>
      <w:bookmarkStart w:id="1426" w:name="_CTVL001dd443ecf4f8240b696277bef9635e73f"/>
      <w:r>
        <w:rPr>
          <w:sz w:val="20"/>
          <w:szCs w:val="20"/>
        </w:rPr>
        <w:br w:type="page"/>
      </w:r>
    </w:p>
    <w:p w14:paraId="14C0D0F7" w14:textId="0C1C731D" w:rsidR="00285EF0" w:rsidRPr="0097240B" w:rsidRDefault="00285EF0" w:rsidP="00285EF0">
      <w:pPr>
        <w:pStyle w:val="CitaviBibliographyEntry"/>
        <w:spacing w:after="120"/>
        <w:ind w:left="0" w:firstLine="0"/>
        <w:rPr>
          <w:sz w:val="20"/>
          <w:szCs w:val="20"/>
        </w:rPr>
      </w:pPr>
      <w:r w:rsidRPr="0097240B">
        <w:rPr>
          <w:sz w:val="20"/>
          <w:szCs w:val="20"/>
        </w:rPr>
        <w:t xml:space="preserve">Neal JA, Marquez-Gonzalez M, Cabrera-Diaz E, Lucia LM, O’Bryan CA, Crandall PG, Ricke SC, Castillo A (2012) Comparison of multiple chemical sanitizers for reducing </w:t>
      </w:r>
      <w:r w:rsidRPr="007C4D68">
        <w:rPr>
          <w:i/>
          <w:sz w:val="20"/>
          <w:szCs w:val="20"/>
        </w:rPr>
        <w:t>Salmonella</w:t>
      </w:r>
      <w:r w:rsidRPr="0097240B">
        <w:rPr>
          <w:sz w:val="20"/>
          <w:szCs w:val="20"/>
        </w:rPr>
        <w:t xml:space="preserve"> and </w:t>
      </w:r>
      <w:r w:rsidRPr="007C4D68">
        <w:rPr>
          <w:i/>
          <w:sz w:val="20"/>
          <w:szCs w:val="20"/>
        </w:rPr>
        <w:t>Escherichia</w:t>
      </w:r>
      <w:r w:rsidR="007C4D68">
        <w:rPr>
          <w:sz w:val="20"/>
          <w:szCs w:val="20"/>
        </w:rPr>
        <w:t> </w:t>
      </w:r>
      <w:r w:rsidRPr="007C4D68">
        <w:rPr>
          <w:i/>
          <w:sz w:val="20"/>
          <w:szCs w:val="20"/>
        </w:rPr>
        <w:t>coli</w:t>
      </w:r>
      <w:r w:rsidRPr="0097240B">
        <w:rPr>
          <w:sz w:val="20"/>
          <w:szCs w:val="20"/>
        </w:rPr>
        <w:t xml:space="preserve"> O157:H7 on spinach (</w:t>
      </w:r>
      <w:r w:rsidRPr="00BA1341">
        <w:rPr>
          <w:i/>
          <w:sz w:val="20"/>
          <w:szCs w:val="20"/>
        </w:rPr>
        <w:t>Spinacia oleracea</w:t>
      </w:r>
      <w:r w:rsidRPr="0097240B">
        <w:rPr>
          <w:sz w:val="20"/>
          <w:szCs w:val="20"/>
        </w:rPr>
        <w:t xml:space="preserve">) leaves. Food Research International 45:1123–1128. </w:t>
      </w:r>
      <w:hyperlink r:id="rId598" w:history="1">
        <w:r w:rsidRPr="0097240B">
          <w:rPr>
            <w:rStyle w:val="Hyperlink"/>
            <w:sz w:val="20"/>
            <w:szCs w:val="20"/>
          </w:rPr>
          <w:t>https://doi.org/10.1016/j.foodres.2011.04.011</w:t>
        </w:r>
      </w:hyperlink>
    </w:p>
    <w:p w14:paraId="441D58D0" w14:textId="77777777" w:rsidR="00285EF0" w:rsidRPr="0097240B" w:rsidRDefault="00285EF0" w:rsidP="00285EF0">
      <w:pPr>
        <w:pStyle w:val="CitaviBibliographyEntry"/>
        <w:spacing w:after="120"/>
        <w:ind w:left="0" w:firstLine="0"/>
        <w:rPr>
          <w:sz w:val="20"/>
          <w:szCs w:val="20"/>
        </w:rPr>
      </w:pPr>
      <w:bookmarkStart w:id="1427" w:name="_CTVL001a1c479861df94187bf8f0ec3ce13c4e4"/>
      <w:bookmarkEnd w:id="1426"/>
      <w:r w:rsidRPr="0097240B">
        <w:rPr>
          <w:sz w:val="20"/>
          <w:szCs w:val="20"/>
        </w:rPr>
        <w:t xml:space="preserve">Nei D, Choi JW, Bari ML, Kawasaki S, Kawamoto S, Inatsu Y (2009) Efficacy of chlorine and acidified sodium chlorite on microbial population and quality changes of spinach leaves. Foodborne Pathogens and Disease 6:541–546. </w:t>
      </w:r>
      <w:hyperlink r:id="rId599" w:history="1">
        <w:r w:rsidRPr="0097240B">
          <w:rPr>
            <w:rStyle w:val="Hyperlink"/>
            <w:sz w:val="20"/>
            <w:szCs w:val="20"/>
          </w:rPr>
          <w:t>https://doi.org/10.1089/fpd.2008.0237</w:t>
        </w:r>
      </w:hyperlink>
    </w:p>
    <w:bookmarkEnd w:id="1427"/>
    <w:p w14:paraId="34E50F89" w14:textId="77777777" w:rsidR="00285EF0" w:rsidRPr="0097240B" w:rsidRDefault="00285EF0" w:rsidP="00285EF0">
      <w:pPr>
        <w:pStyle w:val="CitaviBibliographyEntry"/>
        <w:spacing w:after="120"/>
        <w:ind w:left="0" w:firstLine="0"/>
        <w:rPr>
          <w:sz w:val="20"/>
          <w:szCs w:val="20"/>
        </w:rPr>
      </w:pPr>
      <w:r w:rsidRPr="0097240B">
        <w:rPr>
          <w:sz w:val="20"/>
          <w:szCs w:val="20"/>
        </w:rPr>
        <w:t xml:space="preserve">Niemira BA (2007) Relative efficacy of sodium hypochlorite wash versus irradiation to inactivate </w:t>
      </w:r>
      <w:r w:rsidRPr="00C91325">
        <w:rPr>
          <w:i/>
          <w:sz w:val="20"/>
          <w:szCs w:val="20"/>
        </w:rPr>
        <w:t>Escherichia coli</w:t>
      </w:r>
      <w:r w:rsidRPr="0097240B">
        <w:rPr>
          <w:sz w:val="20"/>
          <w:szCs w:val="20"/>
        </w:rPr>
        <w:t xml:space="preserve"> O157:H7 internalized in leaves of romaine lettuce and baby spinach. Journal of Food Protection 70:2526–2532. </w:t>
      </w:r>
      <w:hyperlink r:id="rId600" w:history="1">
        <w:r w:rsidRPr="0097240B">
          <w:rPr>
            <w:rStyle w:val="Hyperlink"/>
            <w:sz w:val="20"/>
            <w:szCs w:val="20"/>
          </w:rPr>
          <w:t>https://doi.org/10.4315/0362-028X-70.11.2526</w:t>
        </w:r>
      </w:hyperlink>
    </w:p>
    <w:p w14:paraId="5291CACB" w14:textId="6D532B3B" w:rsidR="00285EF0" w:rsidRPr="0097240B" w:rsidRDefault="00285EF0" w:rsidP="00285EF0">
      <w:pPr>
        <w:pStyle w:val="CitaviBibliographyEntry"/>
        <w:spacing w:after="120"/>
        <w:ind w:left="0" w:firstLine="0"/>
        <w:rPr>
          <w:sz w:val="20"/>
          <w:szCs w:val="20"/>
        </w:rPr>
      </w:pPr>
      <w:r w:rsidRPr="0097240B">
        <w:rPr>
          <w:sz w:val="20"/>
          <w:szCs w:val="20"/>
        </w:rPr>
        <w:t xml:space="preserve">Niemira BA, Cooke PH (2010) </w:t>
      </w:r>
      <w:r w:rsidRPr="00C91325">
        <w:rPr>
          <w:i/>
          <w:sz w:val="20"/>
          <w:szCs w:val="20"/>
        </w:rPr>
        <w:t>Escherichia coli</w:t>
      </w:r>
      <w:r w:rsidR="00C91325">
        <w:rPr>
          <w:sz w:val="20"/>
          <w:szCs w:val="20"/>
        </w:rPr>
        <w:t xml:space="preserve"> O157:</w:t>
      </w:r>
      <w:r w:rsidR="00BB3F91">
        <w:rPr>
          <w:sz w:val="20"/>
          <w:szCs w:val="20"/>
        </w:rPr>
        <w:t>H7 biofilm formation on r</w:t>
      </w:r>
      <w:r w:rsidRPr="0097240B">
        <w:rPr>
          <w:sz w:val="20"/>
          <w:szCs w:val="20"/>
        </w:rPr>
        <w:t xml:space="preserve">omaine lettuce and spinach leaf surfaces reduces efficacy of irradiation and sodium hypochlorite washes. Journal of Food Science 75:M270. </w:t>
      </w:r>
      <w:hyperlink r:id="rId601" w:history="1">
        <w:r w:rsidRPr="0097240B">
          <w:rPr>
            <w:rStyle w:val="Hyperlink"/>
            <w:sz w:val="20"/>
            <w:szCs w:val="20"/>
          </w:rPr>
          <w:t>https://doi.org/10.1111/j.1750-3841.2010.01650.x</w:t>
        </w:r>
      </w:hyperlink>
    </w:p>
    <w:p w14:paraId="3E1DA749" w14:textId="0D19DA19" w:rsidR="00285EF0" w:rsidRPr="0097240B" w:rsidRDefault="00285EF0" w:rsidP="00285EF0">
      <w:pPr>
        <w:pStyle w:val="CitaviBibliographyEntry"/>
        <w:spacing w:after="120"/>
        <w:ind w:left="0" w:firstLine="0"/>
        <w:rPr>
          <w:sz w:val="20"/>
          <w:szCs w:val="20"/>
        </w:rPr>
      </w:pPr>
      <w:r w:rsidRPr="0097240B">
        <w:rPr>
          <w:sz w:val="20"/>
          <w:szCs w:val="20"/>
        </w:rPr>
        <w:t xml:space="preserve">Omac B, Moreira RG, Puerta-Gomez AF, Caste-Perez E (2017) Effect of intervention strategies on the risk of infection from </w:t>
      </w:r>
      <w:r w:rsidRPr="007C4D68">
        <w:rPr>
          <w:i/>
          <w:sz w:val="20"/>
          <w:szCs w:val="20"/>
        </w:rPr>
        <w:t>Listeria monocytogenes</w:t>
      </w:r>
      <w:r w:rsidRPr="0097240B">
        <w:rPr>
          <w:sz w:val="20"/>
          <w:szCs w:val="20"/>
        </w:rPr>
        <w:t xml:space="preserve"> due to consumption </w:t>
      </w:r>
      <w:r w:rsidR="007C4D68">
        <w:rPr>
          <w:sz w:val="20"/>
          <w:szCs w:val="20"/>
        </w:rPr>
        <w:t>of fresh baby spinach leaves: A </w:t>
      </w:r>
      <w:r w:rsidRPr="0097240B">
        <w:rPr>
          <w:sz w:val="20"/>
          <w:szCs w:val="20"/>
        </w:rPr>
        <w:t xml:space="preserve">quantitative approach. LWT 80:208–220. </w:t>
      </w:r>
      <w:hyperlink r:id="rId602" w:history="1">
        <w:r w:rsidRPr="0097240B">
          <w:rPr>
            <w:rStyle w:val="Hyperlink"/>
            <w:sz w:val="20"/>
            <w:szCs w:val="20"/>
          </w:rPr>
          <w:t>https://doi.org/10.1016/j.lwt.2017.02.019</w:t>
        </w:r>
      </w:hyperlink>
    </w:p>
    <w:p w14:paraId="12A777AF" w14:textId="77777777" w:rsidR="00285EF0" w:rsidRPr="0097240B" w:rsidRDefault="00285EF0" w:rsidP="00285EF0">
      <w:pPr>
        <w:pStyle w:val="CitaviBibliographyEntry"/>
        <w:spacing w:after="120"/>
        <w:ind w:left="0" w:firstLine="0"/>
        <w:rPr>
          <w:sz w:val="20"/>
          <w:szCs w:val="20"/>
        </w:rPr>
      </w:pPr>
      <w:bookmarkStart w:id="1428" w:name="_CTVL00130727b4f30454cd2b55c83eb2c8e631a"/>
      <w:r w:rsidRPr="0097240B">
        <w:rPr>
          <w:sz w:val="20"/>
          <w:szCs w:val="20"/>
        </w:rPr>
        <w:t xml:space="preserve">Park CM, Hung YC, Doyle MP, Ezeike GOI, Kim C (2001) Pathogen reduction and quality of lettuce treated with electrolyzed oxidizing and acidified chlorinated water. Journal of Food Science 66:1368–1372. </w:t>
      </w:r>
      <w:hyperlink r:id="rId603" w:history="1">
        <w:r w:rsidRPr="0097240B">
          <w:rPr>
            <w:rStyle w:val="Hyperlink"/>
            <w:sz w:val="20"/>
            <w:szCs w:val="20"/>
          </w:rPr>
          <w:t>https://doi.org/10.1111/j.1365-2621.2001.tb15216.x</w:t>
        </w:r>
      </w:hyperlink>
    </w:p>
    <w:p w14:paraId="3DA73816" w14:textId="77777777" w:rsidR="00285EF0" w:rsidRPr="0097240B" w:rsidRDefault="00285EF0" w:rsidP="00285EF0">
      <w:pPr>
        <w:pStyle w:val="CitaviBibliographyEntry"/>
        <w:spacing w:after="120"/>
        <w:ind w:left="0" w:firstLine="0"/>
        <w:rPr>
          <w:sz w:val="20"/>
          <w:szCs w:val="20"/>
        </w:rPr>
      </w:pPr>
      <w:bookmarkStart w:id="1429" w:name="_CTVL001d1c5fa9ee2f24e048b9fce6b0e2bef62"/>
      <w:bookmarkEnd w:id="1428"/>
      <w:r w:rsidRPr="0097240B">
        <w:rPr>
          <w:sz w:val="20"/>
          <w:szCs w:val="20"/>
        </w:rPr>
        <w:t xml:space="preserve">Parnell TL, Harris LJ, Suslow TV (2005) Reducing </w:t>
      </w:r>
      <w:r w:rsidRPr="00C91325">
        <w:rPr>
          <w:i/>
          <w:sz w:val="20"/>
          <w:szCs w:val="20"/>
        </w:rPr>
        <w:t>Salmonella</w:t>
      </w:r>
      <w:r w:rsidRPr="0097240B">
        <w:rPr>
          <w:sz w:val="20"/>
          <w:szCs w:val="20"/>
        </w:rPr>
        <w:t xml:space="preserve"> on cantaloupes and honeydew melons using wash practices applicable to postharvest handling, foodservice, and consumer preparation. International Journal of Food Microbiology 99:59–70. </w:t>
      </w:r>
      <w:hyperlink r:id="rId604" w:history="1">
        <w:r w:rsidRPr="0097240B">
          <w:rPr>
            <w:rStyle w:val="Hyperlink"/>
            <w:sz w:val="20"/>
            <w:szCs w:val="20"/>
          </w:rPr>
          <w:t>https://doi.org/10.1016/j.ijfoodmicro.2004.07.014</w:t>
        </w:r>
      </w:hyperlink>
    </w:p>
    <w:p w14:paraId="531F70B8" w14:textId="77777777" w:rsidR="00285EF0" w:rsidRPr="0097240B" w:rsidRDefault="00285EF0" w:rsidP="00285EF0">
      <w:pPr>
        <w:pStyle w:val="CitaviBibliographyEntry"/>
        <w:spacing w:after="120"/>
        <w:ind w:left="0" w:firstLine="0"/>
        <w:rPr>
          <w:sz w:val="20"/>
          <w:szCs w:val="20"/>
        </w:rPr>
      </w:pPr>
      <w:bookmarkStart w:id="1430" w:name="_CTVL0016cc717f24d9f42eeab354e076f1454ff"/>
      <w:bookmarkEnd w:id="1429"/>
      <w:r w:rsidRPr="0097240B">
        <w:rPr>
          <w:sz w:val="20"/>
          <w:szCs w:val="20"/>
        </w:rPr>
        <w:t xml:space="preserve">Puerta-Gomez AF, Kim J, Moreira RG, Klutke G-A, Castell-Perez ME (2013) Quantitative assessment of the effectiveness of intervention steps to reduce the risk of contamination of ready-to-eat baby spinach with </w:t>
      </w:r>
      <w:r w:rsidRPr="00C91325">
        <w:rPr>
          <w:i/>
          <w:sz w:val="20"/>
          <w:szCs w:val="20"/>
        </w:rPr>
        <w:t>Salmonella</w:t>
      </w:r>
      <w:r w:rsidRPr="0097240B">
        <w:rPr>
          <w:sz w:val="20"/>
          <w:szCs w:val="20"/>
        </w:rPr>
        <w:t xml:space="preserve">. Food Control 31:410–418. </w:t>
      </w:r>
      <w:hyperlink r:id="rId605" w:history="1">
        <w:r w:rsidRPr="0097240B">
          <w:rPr>
            <w:rStyle w:val="Hyperlink"/>
            <w:sz w:val="20"/>
            <w:szCs w:val="20"/>
          </w:rPr>
          <w:t>https://doi.org/10.1016/j.foodcont.2012.10.022</w:t>
        </w:r>
      </w:hyperlink>
    </w:p>
    <w:bookmarkEnd w:id="1430"/>
    <w:p w14:paraId="78341CAE" w14:textId="77777777" w:rsidR="00285EF0" w:rsidRPr="0097240B" w:rsidRDefault="00285EF0" w:rsidP="00285EF0">
      <w:pPr>
        <w:pStyle w:val="CitaviBibliographyEntry"/>
        <w:spacing w:after="120"/>
        <w:ind w:left="0" w:firstLine="0"/>
        <w:rPr>
          <w:sz w:val="20"/>
          <w:szCs w:val="20"/>
        </w:rPr>
      </w:pPr>
      <w:r w:rsidRPr="0097240B">
        <w:rPr>
          <w:sz w:val="20"/>
          <w:szCs w:val="20"/>
        </w:rPr>
        <w:t xml:space="preserve">Rahman SME, Ding T, Oh DH (2010) Inactivation effect of newly developed low concentration electrolyzed water and other sanitizers against microorganisms on spinach. Food Control 21:1383–1387. </w:t>
      </w:r>
      <w:hyperlink r:id="rId606" w:history="1">
        <w:r w:rsidRPr="0097240B">
          <w:rPr>
            <w:rStyle w:val="Hyperlink"/>
            <w:sz w:val="20"/>
            <w:szCs w:val="20"/>
          </w:rPr>
          <w:t>https://doi.org/10.1016/j.foodcont.2010.03.011</w:t>
        </w:r>
      </w:hyperlink>
    </w:p>
    <w:p w14:paraId="023D3740" w14:textId="77777777" w:rsidR="00285EF0" w:rsidRPr="0097240B" w:rsidRDefault="00285EF0" w:rsidP="00285EF0">
      <w:pPr>
        <w:pStyle w:val="CitaviBibliographyEntry"/>
        <w:spacing w:after="120"/>
        <w:ind w:left="0" w:firstLine="0"/>
        <w:rPr>
          <w:sz w:val="20"/>
          <w:szCs w:val="20"/>
        </w:rPr>
      </w:pPr>
      <w:r w:rsidRPr="0097240B">
        <w:rPr>
          <w:sz w:val="20"/>
          <w:szCs w:val="20"/>
        </w:rPr>
        <w:t xml:space="preserve">Rodgers SL, Cash JN, Siddiq M, Ryser ET (2004) A comparison of different chemical sanitizers for inactivating </w:t>
      </w:r>
      <w:r w:rsidRPr="00C91325">
        <w:rPr>
          <w:i/>
          <w:sz w:val="20"/>
          <w:szCs w:val="20"/>
        </w:rPr>
        <w:t>Escherichia coli</w:t>
      </w:r>
      <w:r>
        <w:rPr>
          <w:sz w:val="20"/>
          <w:szCs w:val="20"/>
        </w:rPr>
        <w:t xml:space="preserve"> O157:H7 and </w:t>
      </w:r>
      <w:r w:rsidRPr="00C91325">
        <w:rPr>
          <w:i/>
          <w:sz w:val="20"/>
          <w:szCs w:val="20"/>
        </w:rPr>
        <w:t>Listeria monocytogenes</w:t>
      </w:r>
      <w:r w:rsidRPr="0097240B">
        <w:rPr>
          <w:sz w:val="20"/>
          <w:szCs w:val="20"/>
        </w:rPr>
        <w:t xml:space="preserve"> in solution and on apples, lettuce, strawberries, and cantaloupe. Journal of Food Protection 67:721. </w:t>
      </w:r>
      <w:hyperlink r:id="rId607" w:history="1">
        <w:r w:rsidRPr="0097240B">
          <w:rPr>
            <w:rStyle w:val="Hyperlink"/>
            <w:sz w:val="20"/>
            <w:szCs w:val="20"/>
          </w:rPr>
          <w:t>https://doi.org/10.4315/0362-028X-67.4.721</w:t>
        </w:r>
      </w:hyperlink>
    </w:p>
    <w:p w14:paraId="017D456E" w14:textId="77777777" w:rsidR="00285EF0" w:rsidRPr="0097240B" w:rsidRDefault="00285EF0" w:rsidP="00285EF0">
      <w:pPr>
        <w:pStyle w:val="CitaviBibliographyEntry"/>
        <w:spacing w:after="120"/>
        <w:ind w:left="0" w:firstLine="0"/>
        <w:rPr>
          <w:sz w:val="20"/>
          <w:szCs w:val="20"/>
        </w:rPr>
      </w:pPr>
      <w:r w:rsidRPr="0097240B">
        <w:rPr>
          <w:sz w:val="20"/>
          <w:szCs w:val="20"/>
        </w:rPr>
        <w:t xml:space="preserve">Sengun IY (2013) Effects of ozone wash for inactivation of </w:t>
      </w:r>
      <w:r w:rsidRPr="007C4D68">
        <w:rPr>
          <w:i/>
          <w:sz w:val="20"/>
          <w:szCs w:val="20"/>
        </w:rPr>
        <w:t>S</w:t>
      </w:r>
      <w:r w:rsidRPr="0097240B">
        <w:rPr>
          <w:sz w:val="20"/>
          <w:szCs w:val="20"/>
        </w:rPr>
        <w:t xml:space="preserve">. Typhimurium and background microbiota on lettuce and parsley. Journal of Food Safety 33:273–281. </w:t>
      </w:r>
      <w:hyperlink r:id="rId608" w:history="1">
        <w:r w:rsidRPr="0097240B">
          <w:rPr>
            <w:rStyle w:val="Hyperlink"/>
            <w:sz w:val="20"/>
            <w:szCs w:val="20"/>
          </w:rPr>
          <w:t>https://doi.org/10.1111/jfs.12050</w:t>
        </w:r>
      </w:hyperlink>
    </w:p>
    <w:p w14:paraId="3DDD42C3" w14:textId="1FD31541" w:rsidR="00285EF0" w:rsidRPr="0097240B" w:rsidRDefault="00285EF0" w:rsidP="00285EF0">
      <w:pPr>
        <w:pStyle w:val="CitaviBibliographyEntry"/>
        <w:spacing w:after="120"/>
        <w:ind w:left="0" w:firstLine="0"/>
        <w:rPr>
          <w:sz w:val="20"/>
          <w:szCs w:val="20"/>
        </w:rPr>
      </w:pPr>
      <w:bookmarkStart w:id="1431" w:name="_CTVL00142f37ecaa2074cc4a7bf9ddb6622d8f9"/>
      <w:r w:rsidRPr="0097240B">
        <w:rPr>
          <w:sz w:val="20"/>
          <w:szCs w:val="20"/>
        </w:rPr>
        <w:t>Silveira LO, do Rosario DKA, Giori ACG, Oliveira SBS, Mutz YD, M</w:t>
      </w:r>
      <w:r w:rsidR="007C4D68">
        <w:rPr>
          <w:sz w:val="20"/>
          <w:szCs w:val="20"/>
        </w:rPr>
        <w:t>arques CS, Coelho JM, Bernardes </w:t>
      </w:r>
      <w:r w:rsidRPr="0097240B">
        <w:rPr>
          <w:sz w:val="20"/>
          <w:szCs w:val="20"/>
        </w:rPr>
        <w:t xml:space="preserve">PC (2018) Combination of peracetic acid and ultrasound reduces </w:t>
      </w:r>
      <w:r w:rsidRPr="007C4D68">
        <w:rPr>
          <w:i/>
          <w:sz w:val="20"/>
          <w:szCs w:val="20"/>
        </w:rPr>
        <w:t>Salmonella</w:t>
      </w:r>
      <w:r w:rsidRPr="0097240B">
        <w:rPr>
          <w:sz w:val="20"/>
          <w:szCs w:val="20"/>
        </w:rPr>
        <w:t xml:space="preserve"> Typhimurium on fresh lettuce (</w:t>
      </w:r>
      <w:r w:rsidRPr="00C91325">
        <w:rPr>
          <w:i/>
          <w:sz w:val="20"/>
          <w:szCs w:val="20"/>
        </w:rPr>
        <w:t>Lactuca sativa</w:t>
      </w:r>
      <w:r w:rsidRPr="0097240B">
        <w:rPr>
          <w:sz w:val="20"/>
          <w:szCs w:val="20"/>
        </w:rPr>
        <w:t xml:space="preserve"> L. var. crispa). Journal of Food Science and Technology-Mysore 55:1535–1540. </w:t>
      </w:r>
      <w:hyperlink r:id="rId609" w:history="1">
        <w:r w:rsidRPr="0097240B">
          <w:rPr>
            <w:rStyle w:val="Hyperlink"/>
            <w:sz w:val="20"/>
            <w:szCs w:val="20"/>
          </w:rPr>
          <w:t>https://doi.org/10.1007/s13197-018-3071-8</w:t>
        </w:r>
      </w:hyperlink>
    </w:p>
    <w:p w14:paraId="6C570D58" w14:textId="77777777" w:rsidR="00285EF0" w:rsidRPr="0097240B" w:rsidRDefault="00285EF0" w:rsidP="00285EF0">
      <w:pPr>
        <w:pStyle w:val="CitaviBibliographyEntry"/>
        <w:spacing w:after="120"/>
        <w:ind w:left="0" w:firstLine="0"/>
        <w:rPr>
          <w:sz w:val="20"/>
          <w:szCs w:val="20"/>
        </w:rPr>
      </w:pPr>
      <w:bookmarkStart w:id="1432" w:name="_CTVL0011ac8ec47801547b6aed42b59a8a40c00"/>
      <w:bookmarkEnd w:id="1431"/>
      <w:r w:rsidRPr="0097240B">
        <w:rPr>
          <w:sz w:val="20"/>
          <w:szCs w:val="20"/>
        </w:rPr>
        <w:t xml:space="preserve">Singh N, Singh R, Bhunia A, Stroshine R (2002) Effect of inoculation and washing methods on the efficacy of different sanitizers against </w:t>
      </w:r>
      <w:r w:rsidRPr="00C91325">
        <w:rPr>
          <w:i/>
          <w:sz w:val="20"/>
          <w:szCs w:val="20"/>
        </w:rPr>
        <w:t>Escherichia coli</w:t>
      </w:r>
      <w:r w:rsidRPr="0097240B">
        <w:rPr>
          <w:sz w:val="20"/>
          <w:szCs w:val="20"/>
        </w:rPr>
        <w:t xml:space="preserve"> O157:H7 on lettuce. Food Microbiology 19:183–193. </w:t>
      </w:r>
      <w:hyperlink r:id="rId610" w:history="1">
        <w:r w:rsidRPr="0097240B">
          <w:rPr>
            <w:rStyle w:val="Hyperlink"/>
            <w:sz w:val="20"/>
            <w:szCs w:val="20"/>
          </w:rPr>
          <w:t>https://doi.org/10.1006/fmic.2001.0471</w:t>
        </w:r>
      </w:hyperlink>
    </w:p>
    <w:p w14:paraId="62A7E63F" w14:textId="77777777" w:rsidR="00285EF0" w:rsidRPr="0097240B" w:rsidRDefault="00285EF0" w:rsidP="00285EF0">
      <w:pPr>
        <w:pStyle w:val="CitaviBibliographyEntry"/>
        <w:spacing w:after="120"/>
        <w:ind w:left="0" w:firstLine="0"/>
        <w:rPr>
          <w:sz w:val="20"/>
          <w:szCs w:val="20"/>
        </w:rPr>
      </w:pPr>
      <w:bookmarkStart w:id="1433" w:name="_CTVL0013e00cdb8fe79464f94e3dc905c59c32c"/>
      <w:bookmarkEnd w:id="1432"/>
      <w:r w:rsidRPr="0097240B">
        <w:rPr>
          <w:sz w:val="20"/>
          <w:szCs w:val="20"/>
        </w:rPr>
        <w:t xml:space="preserve">Singh P, Hung YC, Qi H (2018) Efficacy of peracetic acid in inactivating foodborne pathogens on fresh produce surface. J Food Sci 83:432–439. </w:t>
      </w:r>
      <w:hyperlink r:id="rId611" w:history="1">
        <w:r w:rsidRPr="0097240B">
          <w:rPr>
            <w:rStyle w:val="Hyperlink"/>
            <w:sz w:val="20"/>
            <w:szCs w:val="20"/>
          </w:rPr>
          <w:t>https://doi.org/10.1111/1750-3841.14028</w:t>
        </w:r>
      </w:hyperlink>
    </w:p>
    <w:p w14:paraId="41D8ACAA" w14:textId="77777777" w:rsidR="00E94ED2" w:rsidRDefault="00E94ED2">
      <w:pPr>
        <w:widowControl/>
        <w:rPr>
          <w:color w:val="000000" w:themeColor="text1"/>
          <w:sz w:val="20"/>
          <w:szCs w:val="20"/>
        </w:rPr>
      </w:pPr>
      <w:bookmarkStart w:id="1434" w:name="_CTVL00101e16e2340fc4593ba8c4b5e8a4a498e"/>
      <w:bookmarkEnd w:id="1433"/>
      <w:r>
        <w:rPr>
          <w:sz w:val="20"/>
          <w:szCs w:val="20"/>
        </w:rPr>
        <w:br w:type="page"/>
      </w:r>
    </w:p>
    <w:p w14:paraId="5E38F3B3" w14:textId="2E20F80C" w:rsidR="00285EF0" w:rsidRPr="0097240B" w:rsidRDefault="00285EF0" w:rsidP="00285EF0">
      <w:pPr>
        <w:pStyle w:val="CitaviBibliographyEntry"/>
        <w:spacing w:after="120"/>
        <w:ind w:left="0" w:firstLine="0"/>
        <w:rPr>
          <w:sz w:val="20"/>
          <w:szCs w:val="20"/>
        </w:rPr>
      </w:pPr>
      <w:r w:rsidRPr="0097240B">
        <w:rPr>
          <w:sz w:val="20"/>
          <w:szCs w:val="20"/>
        </w:rPr>
        <w:t>Suslow T, Callejas AT (2015) Practical validation of surface pasteuri</w:t>
      </w:r>
      <w:r w:rsidR="0045260F">
        <w:rPr>
          <w:sz w:val="20"/>
          <w:szCs w:val="20"/>
        </w:rPr>
        <w:t>zation of netted melons. Center </w:t>
      </w:r>
      <w:r w:rsidRPr="0097240B">
        <w:rPr>
          <w:sz w:val="20"/>
          <w:szCs w:val="20"/>
        </w:rPr>
        <w:t xml:space="preserve">for Produce Safety, Woodland. </w:t>
      </w:r>
      <w:hyperlink r:id="rId612" w:history="1">
        <w:r w:rsidRPr="0097240B">
          <w:rPr>
            <w:rStyle w:val="Hyperlink"/>
            <w:sz w:val="20"/>
            <w:szCs w:val="20"/>
          </w:rPr>
          <w:t>https://www.centerforproducesafety.org/researchproject/348/awards/Practical_validation_of_surface_pasteurization_of_netted_melons.html</w:t>
        </w:r>
      </w:hyperlink>
      <w:r>
        <w:rPr>
          <w:sz w:val="20"/>
          <w:szCs w:val="20"/>
        </w:rPr>
        <w:t>. Accessed 17 </w:t>
      </w:r>
      <w:r w:rsidRPr="0097240B">
        <w:rPr>
          <w:sz w:val="20"/>
          <w:szCs w:val="20"/>
        </w:rPr>
        <w:t>December 2020</w:t>
      </w:r>
    </w:p>
    <w:bookmarkEnd w:id="1434"/>
    <w:p w14:paraId="49E9FAAF" w14:textId="77777777" w:rsidR="00285EF0" w:rsidRPr="0097240B" w:rsidRDefault="00285EF0" w:rsidP="00285EF0">
      <w:pPr>
        <w:pStyle w:val="CitaviBibliographyEntry"/>
        <w:spacing w:after="120"/>
        <w:ind w:left="0" w:firstLine="0"/>
        <w:rPr>
          <w:sz w:val="20"/>
          <w:szCs w:val="20"/>
        </w:rPr>
      </w:pPr>
      <w:r w:rsidRPr="0097240B">
        <w:rPr>
          <w:sz w:val="20"/>
          <w:szCs w:val="20"/>
        </w:rPr>
        <w:t xml:space="preserve">Thi-Van N, Ross T, Chuyen HV (2019) Evaluating the efficacy of three sanitizing agents for extending the shelf life of fresh-cut baby spinach: Food safety and quality aspects. Aims Agriculture and Food 4:320–339. </w:t>
      </w:r>
      <w:hyperlink r:id="rId613" w:history="1">
        <w:r w:rsidRPr="0097240B">
          <w:rPr>
            <w:rStyle w:val="Hyperlink"/>
            <w:sz w:val="20"/>
            <w:szCs w:val="20"/>
          </w:rPr>
          <w:t>https://doi.org/10.3934/agrfood.2019.2.320</w:t>
        </w:r>
      </w:hyperlink>
    </w:p>
    <w:p w14:paraId="3042F18E" w14:textId="21453817" w:rsidR="00285EF0" w:rsidRPr="0097240B" w:rsidRDefault="00285EF0" w:rsidP="00285EF0">
      <w:pPr>
        <w:pStyle w:val="CitaviBibliographyEntry"/>
        <w:spacing w:after="120"/>
        <w:ind w:left="0" w:firstLine="0"/>
        <w:rPr>
          <w:sz w:val="20"/>
          <w:szCs w:val="20"/>
        </w:rPr>
      </w:pPr>
      <w:r w:rsidRPr="0097240B">
        <w:rPr>
          <w:sz w:val="20"/>
          <w:szCs w:val="20"/>
        </w:rPr>
        <w:t xml:space="preserve">Ukuku DO, Sapers GM (2001) Effect of sanitizer treatments on </w:t>
      </w:r>
      <w:r w:rsidRPr="00514987">
        <w:rPr>
          <w:i/>
          <w:sz w:val="20"/>
          <w:szCs w:val="20"/>
        </w:rPr>
        <w:t>Salmonella</w:t>
      </w:r>
      <w:r w:rsidRPr="0097240B">
        <w:rPr>
          <w:sz w:val="20"/>
          <w:szCs w:val="20"/>
        </w:rPr>
        <w:t xml:space="preserve"> Stanley attached to the surface of cantaloupe and cell transfer to fresh-cut tissues during cutting practices. J</w:t>
      </w:r>
      <w:r w:rsidR="0045260F">
        <w:rPr>
          <w:sz w:val="20"/>
          <w:szCs w:val="20"/>
        </w:rPr>
        <w:t>ournal of</w:t>
      </w:r>
      <w:r w:rsidRPr="0097240B">
        <w:rPr>
          <w:sz w:val="20"/>
          <w:szCs w:val="20"/>
        </w:rPr>
        <w:t xml:space="preserve"> Food Prot</w:t>
      </w:r>
      <w:r w:rsidR="0045260F">
        <w:rPr>
          <w:sz w:val="20"/>
          <w:szCs w:val="20"/>
        </w:rPr>
        <w:t>ection</w:t>
      </w:r>
      <w:r w:rsidRPr="0097240B">
        <w:rPr>
          <w:sz w:val="20"/>
          <w:szCs w:val="20"/>
        </w:rPr>
        <w:t xml:space="preserve"> 64:1286–1291</w:t>
      </w:r>
      <w:r w:rsidR="00911588">
        <w:rPr>
          <w:sz w:val="20"/>
          <w:szCs w:val="20"/>
        </w:rPr>
        <w:t xml:space="preserve">. </w:t>
      </w:r>
      <w:hyperlink r:id="rId614" w:history="1">
        <w:r w:rsidR="00911588" w:rsidRPr="00911588">
          <w:rPr>
            <w:rStyle w:val="Hyperlink"/>
            <w:sz w:val="20"/>
            <w:szCs w:val="20"/>
          </w:rPr>
          <w:t>https://doi.org/10.4315/0362-028x-64.9.1286</w:t>
        </w:r>
      </w:hyperlink>
    </w:p>
    <w:p w14:paraId="1339903B" w14:textId="77777777" w:rsidR="00285EF0" w:rsidRPr="0097240B" w:rsidRDefault="00285EF0" w:rsidP="00285EF0">
      <w:pPr>
        <w:pStyle w:val="CitaviBibliographyEntry"/>
        <w:spacing w:after="120"/>
        <w:ind w:left="0" w:firstLine="0"/>
        <w:rPr>
          <w:sz w:val="20"/>
          <w:szCs w:val="20"/>
        </w:rPr>
      </w:pPr>
      <w:r w:rsidRPr="0097240B">
        <w:rPr>
          <w:sz w:val="20"/>
          <w:szCs w:val="20"/>
        </w:rPr>
        <w:t xml:space="preserve">Ukuku DO (2006) Effect of sanitizing treatments on removal of bacteria from cantaloupe surface, and re-contamination with </w:t>
      </w:r>
      <w:r w:rsidRPr="00514987">
        <w:rPr>
          <w:i/>
          <w:sz w:val="20"/>
          <w:szCs w:val="20"/>
        </w:rPr>
        <w:t>Salmonella</w:t>
      </w:r>
      <w:r w:rsidRPr="0097240B">
        <w:rPr>
          <w:sz w:val="20"/>
          <w:szCs w:val="20"/>
        </w:rPr>
        <w:t xml:space="preserve">. Food Microbiology 23:289–293. </w:t>
      </w:r>
      <w:hyperlink r:id="rId615" w:history="1">
        <w:r w:rsidRPr="0097240B">
          <w:rPr>
            <w:rStyle w:val="Hyperlink"/>
            <w:sz w:val="20"/>
            <w:szCs w:val="20"/>
          </w:rPr>
          <w:t>https://doi.org/10.1016/j.fm.2005.04.002</w:t>
        </w:r>
      </w:hyperlink>
    </w:p>
    <w:p w14:paraId="225EF164" w14:textId="356526D9" w:rsidR="00285EF0" w:rsidRPr="0097240B" w:rsidRDefault="00285EF0" w:rsidP="00285EF0">
      <w:pPr>
        <w:pStyle w:val="CitaviBibliographyEntry"/>
        <w:spacing w:after="120"/>
        <w:ind w:left="0" w:firstLine="0"/>
        <w:rPr>
          <w:sz w:val="20"/>
          <w:szCs w:val="20"/>
        </w:rPr>
      </w:pPr>
      <w:bookmarkStart w:id="1435" w:name="_CTVL0016a5a95f0be714029ba3b45daf597b07a"/>
      <w:r w:rsidRPr="0097240B">
        <w:rPr>
          <w:sz w:val="20"/>
          <w:szCs w:val="20"/>
        </w:rPr>
        <w:t xml:space="preserve">Ukuku DO, Fett W (2002) Behavior of </w:t>
      </w:r>
      <w:r w:rsidRPr="00514987">
        <w:rPr>
          <w:i/>
          <w:sz w:val="20"/>
          <w:szCs w:val="20"/>
        </w:rPr>
        <w:t>Listeria monocytogenes</w:t>
      </w:r>
      <w:r w:rsidRPr="0097240B">
        <w:rPr>
          <w:sz w:val="20"/>
          <w:szCs w:val="20"/>
        </w:rPr>
        <w:t xml:space="preserve"> inoculated on cantaloupe surfaces and efficacy of washing treatments to reduce transfer from rind to fresh-cut pieces. J</w:t>
      </w:r>
      <w:r w:rsidR="0045260F">
        <w:rPr>
          <w:sz w:val="20"/>
          <w:szCs w:val="20"/>
        </w:rPr>
        <w:t>ournal of</w:t>
      </w:r>
      <w:r w:rsidRPr="0097240B">
        <w:rPr>
          <w:sz w:val="20"/>
          <w:szCs w:val="20"/>
        </w:rPr>
        <w:t xml:space="preserve"> Food Prot</w:t>
      </w:r>
      <w:r w:rsidR="0045260F">
        <w:rPr>
          <w:sz w:val="20"/>
          <w:szCs w:val="20"/>
        </w:rPr>
        <w:t>ection</w:t>
      </w:r>
      <w:r w:rsidRPr="0097240B">
        <w:rPr>
          <w:sz w:val="20"/>
          <w:szCs w:val="20"/>
        </w:rPr>
        <w:t xml:space="preserve"> 65:924–930. </w:t>
      </w:r>
      <w:hyperlink r:id="rId616" w:history="1">
        <w:r w:rsidRPr="0097240B">
          <w:rPr>
            <w:rStyle w:val="Hyperlink"/>
            <w:sz w:val="20"/>
            <w:szCs w:val="20"/>
          </w:rPr>
          <w:t>https://doi.org/10.4315/0362-028X-65.6.924</w:t>
        </w:r>
      </w:hyperlink>
    </w:p>
    <w:p w14:paraId="2F5F4785" w14:textId="4DF4492D" w:rsidR="00285EF0" w:rsidRPr="0097240B" w:rsidRDefault="00285EF0" w:rsidP="00285EF0">
      <w:pPr>
        <w:pStyle w:val="CitaviBibliographyEntry"/>
        <w:spacing w:after="120"/>
        <w:ind w:left="0" w:firstLine="0"/>
        <w:rPr>
          <w:sz w:val="20"/>
          <w:szCs w:val="20"/>
        </w:rPr>
      </w:pPr>
      <w:bookmarkStart w:id="1436" w:name="_CTVL00162eac8ab9dc349f3a38b7e90417ab447"/>
      <w:bookmarkEnd w:id="1435"/>
      <w:r w:rsidRPr="0097240B">
        <w:rPr>
          <w:sz w:val="20"/>
          <w:szCs w:val="20"/>
        </w:rPr>
        <w:t xml:space="preserve">Upadhyay A, Chen Ch, Yin H, Upadhyaya I, Fancher S, Liu Y, Nair MS, Jankelunas L, Patel NJ, Venkitanarayanan K </w:t>
      </w:r>
      <w:r>
        <w:rPr>
          <w:sz w:val="20"/>
          <w:szCs w:val="20"/>
        </w:rPr>
        <w:t xml:space="preserve">(2016) Inactivation of </w:t>
      </w:r>
      <w:r w:rsidRPr="0045260F">
        <w:rPr>
          <w:i/>
          <w:sz w:val="20"/>
          <w:szCs w:val="20"/>
        </w:rPr>
        <w:t>Listeria monocytogenes, Salmonella</w:t>
      </w:r>
      <w:r w:rsidRPr="0097240B">
        <w:rPr>
          <w:sz w:val="20"/>
          <w:szCs w:val="20"/>
        </w:rPr>
        <w:t xml:space="preserve"> spp. and </w:t>
      </w:r>
      <w:r w:rsidRPr="0045260F">
        <w:rPr>
          <w:i/>
          <w:sz w:val="20"/>
          <w:szCs w:val="20"/>
        </w:rPr>
        <w:t>Escherichia</w:t>
      </w:r>
      <w:r w:rsidR="0045260F">
        <w:rPr>
          <w:sz w:val="20"/>
          <w:szCs w:val="20"/>
        </w:rPr>
        <w:t> </w:t>
      </w:r>
      <w:r w:rsidRPr="0045260F">
        <w:rPr>
          <w:i/>
          <w:sz w:val="20"/>
          <w:szCs w:val="20"/>
        </w:rPr>
        <w:t>coli</w:t>
      </w:r>
      <w:r w:rsidRPr="0097240B">
        <w:rPr>
          <w:sz w:val="20"/>
          <w:szCs w:val="20"/>
        </w:rPr>
        <w:t xml:space="preserve"> O157:H7 on cantaloupes by octenidine dihydrochloride. Food Microbiology 58:121–127. </w:t>
      </w:r>
      <w:hyperlink r:id="rId617" w:history="1">
        <w:r w:rsidRPr="0097240B">
          <w:rPr>
            <w:rStyle w:val="Hyperlink"/>
            <w:sz w:val="20"/>
            <w:szCs w:val="20"/>
          </w:rPr>
          <w:t>https://doi.org/10.1016/j.fm.2016.04.007</w:t>
        </w:r>
      </w:hyperlink>
    </w:p>
    <w:p w14:paraId="75478A03" w14:textId="7780D497" w:rsidR="00285EF0" w:rsidRPr="0097240B" w:rsidRDefault="00285EF0" w:rsidP="00285EF0">
      <w:pPr>
        <w:pStyle w:val="CitaviBibliographyEntry"/>
        <w:spacing w:after="120"/>
        <w:ind w:left="0" w:firstLine="0"/>
        <w:rPr>
          <w:sz w:val="20"/>
          <w:szCs w:val="20"/>
        </w:rPr>
      </w:pPr>
      <w:bookmarkStart w:id="1437" w:name="_CTVL0015a4cd350680c4c479a168e1210c7711d"/>
      <w:bookmarkEnd w:id="1436"/>
      <w:r w:rsidRPr="0097240B">
        <w:rPr>
          <w:sz w:val="20"/>
          <w:szCs w:val="20"/>
        </w:rPr>
        <w:t>Vadlamudi S, Taylor TM, Blankenburg C, Castillo A (2012) Effect of ch</w:t>
      </w:r>
      <w:r w:rsidR="0045260F">
        <w:rPr>
          <w:sz w:val="20"/>
          <w:szCs w:val="20"/>
        </w:rPr>
        <w:t xml:space="preserve">emical sanitizers on </w:t>
      </w:r>
      <w:r w:rsidR="0045260F" w:rsidRPr="0045260F">
        <w:rPr>
          <w:i/>
          <w:sz w:val="20"/>
          <w:szCs w:val="20"/>
        </w:rPr>
        <w:t>Salmonella </w:t>
      </w:r>
      <w:r w:rsidRPr="0045260F">
        <w:rPr>
          <w:i/>
          <w:sz w:val="20"/>
          <w:szCs w:val="20"/>
        </w:rPr>
        <w:t>enterica</w:t>
      </w:r>
      <w:r w:rsidRPr="0097240B">
        <w:rPr>
          <w:sz w:val="20"/>
          <w:szCs w:val="20"/>
        </w:rPr>
        <w:t xml:space="preserve"> serovar Poona on the surface of cantaloupe and pathogen contamination of internal tissues as a function of cutting procedure. Journal of Food Protection 75:1766. </w:t>
      </w:r>
      <w:hyperlink r:id="rId618" w:history="1">
        <w:r w:rsidRPr="0097240B">
          <w:rPr>
            <w:rStyle w:val="Hyperlink"/>
            <w:sz w:val="20"/>
            <w:szCs w:val="20"/>
          </w:rPr>
          <w:t>https://doi.org/10.4315/0362-028X.JFP-12-159</w:t>
        </w:r>
      </w:hyperlink>
    </w:p>
    <w:bookmarkEnd w:id="1437"/>
    <w:p w14:paraId="548686FB" w14:textId="77777777" w:rsidR="00285EF0" w:rsidRPr="0097240B" w:rsidRDefault="00285EF0" w:rsidP="00285EF0">
      <w:pPr>
        <w:pStyle w:val="CitaviBibliographyEntry"/>
        <w:spacing w:after="120"/>
        <w:ind w:left="0" w:firstLine="0"/>
        <w:rPr>
          <w:sz w:val="20"/>
          <w:szCs w:val="20"/>
        </w:rPr>
      </w:pPr>
      <w:r w:rsidRPr="0097240B">
        <w:rPr>
          <w:sz w:val="20"/>
          <w:szCs w:val="20"/>
        </w:rPr>
        <w:t xml:space="preserve">van der Linden I, Avalos Llano KR, Eriksson M, Vos WH de, van Damme EJ, Uyttendaele M, Devlieghere F (2016) Minimal processing of iceberg lettuce has no substantial influence on the survival, attachment and internalization of </w:t>
      </w:r>
      <w:r w:rsidRPr="00514987">
        <w:rPr>
          <w:i/>
          <w:sz w:val="20"/>
          <w:szCs w:val="20"/>
        </w:rPr>
        <w:t>E. coli</w:t>
      </w:r>
      <w:r w:rsidRPr="0097240B">
        <w:rPr>
          <w:sz w:val="20"/>
          <w:szCs w:val="20"/>
        </w:rPr>
        <w:t xml:space="preserve"> O157 and </w:t>
      </w:r>
      <w:r w:rsidRPr="00514987">
        <w:rPr>
          <w:i/>
          <w:sz w:val="20"/>
          <w:szCs w:val="20"/>
        </w:rPr>
        <w:t>Salmonella</w:t>
      </w:r>
      <w:r w:rsidRPr="0097240B">
        <w:rPr>
          <w:sz w:val="20"/>
          <w:szCs w:val="20"/>
        </w:rPr>
        <w:t xml:space="preserve">. International Journal of Food Microbiology 238:40–49. </w:t>
      </w:r>
      <w:hyperlink r:id="rId619" w:history="1">
        <w:r w:rsidRPr="0097240B">
          <w:rPr>
            <w:rStyle w:val="Hyperlink"/>
            <w:sz w:val="20"/>
            <w:szCs w:val="20"/>
          </w:rPr>
          <w:t>https://doi.org/10.1016/j.ijfoodmicro.2016.07.029</w:t>
        </w:r>
      </w:hyperlink>
    </w:p>
    <w:p w14:paraId="47F5289E" w14:textId="61279852" w:rsidR="00285EF0" w:rsidRPr="0097240B" w:rsidRDefault="00285EF0" w:rsidP="00285EF0">
      <w:pPr>
        <w:pStyle w:val="CitaviBibliographyEntry"/>
        <w:spacing w:after="120"/>
        <w:ind w:left="0" w:firstLine="0"/>
        <w:rPr>
          <w:sz w:val="20"/>
          <w:szCs w:val="20"/>
        </w:rPr>
      </w:pPr>
      <w:r w:rsidRPr="0097240B">
        <w:rPr>
          <w:sz w:val="20"/>
          <w:szCs w:val="20"/>
        </w:rPr>
        <w:t>Webb CC, Erickson MC, Davey LE, Doyle MP (2015) Evaluation of single or double hurdle sanitizer applications in simulated field or packing shed operations for cantalo</w:t>
      </w:r>
      <w:r w:rsidR="0045260F">
        <w:rPr>
          <w:sz w:val="20"/>
          <w:szCs w:val="20"/>
        </w:rPr>
        <w:t xml:space="preserve">upes contaminated with </w:t>
      </w:r>
      <w:r w:rsidR="0045260F" w:rsidRPr="0045260F">
        <w:rPr>
          <w:i/>
          <w:sz w:val="20"/>
          <w:szCs w:val="20"/>
        </w:rPr>
        <w:t>Listeria </w:t>
      </w:r>
      <w:r w:rsidRPr="0045260F">
        <w:rPr>
          <w:i/>
          <w:sz w:val="20"/>
          <w:szCs w:val="20"/>
        </w:rPr>
        <w:t>monocytogenes</w:t>
      </w:r>
      <w:r w:rsidRPr="0097240B">
        <w:rPr>
          <w:sz w:val="20"/>
          <w:szCs w:val="20"/>
        </w:rPr>
        <w:t xml:space="preserve">. Agriculture 5:231–244. </w:t>
      </w:r>
      <w:hyperlink r:id="rId620" w:history="1">
        <w:r w:rsidRPr="0097240B">
          <w:rPr>
            <w:rStyle w:val="Hyperlink"/>
            <w:sz w:val="20"/>
            <w:szCs w:val="20"/>
          </w:rPr>
          <w:t>https://doi.org/10.3390/agriculture5020231</w:t>
        </w:r>
      </w:hyperlink>
    </w:p>
    <w:p w14:paraId="232422A5" w14:textId="77777777" w:rsidR="00285EF0" w:rsidRPr="0097240B" w:rsidRDefault="00285EF0" w:rsidP="00285EF0">
      <w:pPr>
        <w:pStyle w:val="CitaviBibliographyEntry"/>
        <w:spacing w:after="120"/>
        <w:ind w:left="0" w:firstLine="0"/>
        <w:rPr>
          <w:sz w:val="20"/>
          <w:szCs w:val="20"/>
        </w:rPr>
      </w:pPr>
      <w:bookmarkStart w:id="1438" w:name="_CTVL001e245a5a86e214ac68a9a4066d1c12a62"/>
      <w:r w:rsidRPr="0097240B">
        <w:rPr>
          <w:sz w:val="20"/>
          <w:szCs w:val="20"/>
        </w:rPr>
        <w:t xml:space="preserve">Weissinger W, Chantarapanont W, Beuchat LR (2000) Survival and growth of </w:t>
      </w:r>
      <w:r w:rsidRPr="0045260F">
        <w:rPr>
          <w:i/>
          <w:sz w:val="20"/>
          <w:szCs w:val="20"/>
        </w:rPr>
        <w:t>Salmonella baildon</w:t>
      </w:r>
      <w:r w:rsidRPr="0097240B">
        <w:rPr>
          <w:sz w:val="20"/>
          <w:szCs w:val="20"/>
        </w:rPr>
        <w:t xml:space="preserve"> in shredded lettuce and diced tomatoes, and effectiveness of chlorinated water as a sanitizer. International Journal of Food Microbiology 62:123–131. </w:t>
      </w:r>
      <w:hyperlink r:id="rId621" w:history="1">
        <w:r w:rsidRPr="0097240B">
          <w:rPr>
            <w:rStyle w:val="Hyperlink"/>
            <w:sz w:val="20"/>
            <w:szCs w:val="20"/>
          </w:rPr>
          <w:t>https://doi.org/10.1016/S0168-1605(00)00415-3</w:t>
        </w:r>
      </w:hyperlink>
    </w:p>
    <w:p w14:paraId="3C51E756" w14:textId="77777777" w:rsidR="00285EF0" w:rsidRPr="0097240B" w:rsidRDefault="00285EF0" w:rsidP="00285EF0">
      <w:pPr>
        <w:pStyle w:val="CitaviBibliographyEntry"/>
        <w:spacing w:after="120"/>
        <w:ind w:left="0" w:firstLine="0"/>
        <w:rPr>
          <w:sz w:val="20"/>
          <w:szCs w:val="20"/>
        </w:rPr>
      </w:pPr>
      <w:bookmarkStart w:id="1439" w:name="_CTVL0015ca89c0feeb44969aef6d9b3d20fc9bc"/>
      <w:bookmarkEnd w:id="1438"/>
      <w:r w:rsidRPr="0097240B">
        <w:rPr>
          <w:sz w:val="20"/>
          <w:szCs w:val="20"/>
        </w:rPr>
        <w:t xml:space="preserve">Yang H, Swem BL, Li Y (2003) The effect of pH on inactivation of pathogenic bacteria on fresh-cut lettuce by dipping treatment with electrolyzed water. Journal of Food Science 68:1013–1017. </w:t>
      </w:r>
      <w:hyperlink r:id="rId622" w:history="1">
        <w:r w:rsidRPr="0097240B">
          <w:rPr>
            <w:rStyle w:val="Hyperlink"/>
            <w:sz w:val="20"/>
            <w:szCs w:val="20"/>
          </w:rPr>
          <w:t>https://doi.org/10.1111/j.1365-2621.2003.tb08280.x</w:t>
        </w:r>
      </w:hyperlink>
    </w:p>
    <w:p w14:paraId="2D24AE74" w14:textId="09720FCE" w:rsidR="00285EF0" w:rsidRPr="0097240B" w:rsidRDefault="00285EF0" w:rsidP="00285EF0">
      <w:pPr>
        <w:pStyle w:val="CitaviBibliographyEntry"/>
        <w:spacing w:after="120"/>
        <w:ind w:left="0" w:firstLine="0"/>
        <w:rPr>
          <w:sz w:val="20"/>
          <w:szCs w:val="20"/>
        </w:rPr>
      </w:pPr>
      <w:bookmarkStart w:id="1440" w:name="_CTVL001189fe57026284521b4366adc5211b190"/>
      <w:bookmarkEnd w:id="1439"/>
      <w:r w:rsidRPr="0097240B">
        <w:rPr>
          <w:sz w:val="20"/>
          <w:szCs w:val="20"/>
        </w:rPr>
        <w:t>Zhou B, Feng H, Luo YG (2009) Ultrasound enhanced sanitizer effic</w:t>
      </w:r>
      <w:r w:rsidR="0045260F">
        <w:rPr>
          <w:sz w:val="20"/>
          <w:szCs w:val="20"/>
        </w:rPr>
        <w:t xml:space="preserve">acy in reduction of </w:t>
      </w:r>
      <w:r w:rsidR="0045260F" w:rsidRPr="0045260F">
        <w:rPr>
          <w:i/>
          <w:sz w:val="20"/>
          <w:szCs w:val="20"/>
        </w:rPr>
        <w:t>Escherichia </w:t>
      </w:r>
      <w:r w:rsidRPr="0045260F">
        <w:rPr>
          <w:i/>
          <w:sz w:val="20"/>
          <w:szCs w:val="20"/>
        </w:rPr>
        <w:t>coli</w:t>
      </w:r>
      <w:r w:rsidRPr="0097240B">
        <w:rPr>
          <w:sz w:val="20"/>
          <w:szCs w:val="20"/>
        </w:rPr>
        <w:t xml:space="preserve"> O157:H7 population on spinach leaves. Journal of Food Science 74:M308-M313. </w:t>
      </w:r>
      <w:hyperlink r:id="rId623" w:history="1">
        <w:r w:rsidRPr="0097240B">
          <w:rPr>
            <w:rStyle w:val="Hyperlink"/>
            <w:sz w:val="20"/>
            <w:szCs w:val="20"/>
          </w:rPr>
          <w:t>https://doi.org/10.1111/j.1750-3841.2009.01247.x</w:t>
        </w:r>
      </w:hyperlink>
    </w:p>
    <w:p w14:paraId="5EC14D1E" w14:textId="77777777" w:rsidR="00E94ED2" w:rsidRDefault="00285EF0" w:rsidP="00285EF0">
      <w:pPr>
        <w:pStyle w:val="CitaviBibliographyEntry"/>
        <w:spacing w:after="120"/>
        <w:ind w:left="0" w:firstLine="0"/>
        <w:rPr>
          <w:rStyle w:val="Hyperlink"/>
          <w:sz w:val="20"/>
          <w:szCs w:val="20"/>
        </w:rPr>
        <w:sectPr w:rsidR="00E94ED2" w:rsidSect="00597EE7">
          <w:pgSz w:w="16838" w:h="11906" w:orient="landscape"/>
          <w:pgMar w:top="1418" w:right="1418" w:bottom="1418" w:left="1418" w:header="709" w:footer="709" w:gutter="0"/>
          <w:cols w:space="708"/>
          <w:docGrid w:linePitch="360"/>
        </w:sectPr>
      </w:pPr>
      <w:bookmarkStart w:id="1441" w:name="_CTVL0012154fc034fbf4d8c8a130e67df804f20"/>
      <w:bookmarkEnd w:id="1440"/>
      <w:r w:rsidRPr="0097240B">
        <w:rPr>
          <w:sz w:val="20"/>
          <w:szCs w:val="20"/>
        </w:rPr>
        <w:t>Zhou Z, Zuber S, Cantergiani F, Butot S, Li D, Stroheker T, Devlieghere F, Lima A, Piantini U, Uyttendaele M (2017) Inactivation of viruses and bacteria on strawberries using a levulinic acid plus sodium dodecyl sulfate based sanitizer, taking sensorial and chemical food safety aspects into account. International Journal of Food Microbiology 257:176–182</w:t>
      </w:r>
      <w:bookmarkEnd w:id="1441"/>
      <w:r w:rsidR="00F96FD2">
        <w:rPr>
          <w:sz w:val="20"/>
          <w:szCs w:val="20"/>
        </w:rPr>
        <w:t xml:space="preserve">. </w:t>
      </w:r>
      <w:hyperlink r:id="rId624" w:history="1">
        <w:r w:rsidR="00F96FD2" w:rsidRPr="00C72075">
          <w:rPr>
            <w:rStyle w:val="Hyperlink"/>
            <w:sz w:val="20"/>
            <w:szCs w:val="20"/>
          </w:rPr>
          <w:t>https://doi.org/10.1016/j.ijfoodmicro.2017.06.023</w:t>
        </w:r>
      </w:hyperlink>
    </w:p>
    <w:p w14:paraId="45C02F12" w14:textId="787DBAEC" w:rsidR="00285EF0" w:rsidRPr="00B1023C" w:rsidRDefault="00285EF0" w:rsidP="00285EF0">
      <w:pPr>
        <w:pStyle w:val="Heading2"/>
      </w:pPr>
      <w:bookmarkStart w:id="1442" w:name="_Toc87860154"/>
      <w:r w:rsidRPr="00B1023C">
        <w:t xml:space="preserve">Appendix </w:t>
      </w:r>
      <w:r>
        <w:t>12</w:t>
      </w:r>
      <w:r w:rsidR="00354E14" w:rsidRPr="00C839B6">
        <w:t xml:space="preserve"> – </w:t>
      </w:r>
      <w:r w:rsidRPr="00B1023C">
        <w:t>Studies reporting the effica</w:t>
      </w:r>
      <w:r>
        <w:t>cy of hot water for removing in-</w:t>
      </w:r>
      <w:r w:rsidRPr="00B1023C">
        <w:t>scope hazards from rockmelons</w:t>
      </w:r>
      <w:bookmarkEnd w:id="1442"/>
    </w:p>
    <w:tbl>
      <w:tblPr>
        <w:tblStyle w:val="ListTable3-Accent5"/>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Caption w:val="Studies reporting the efficacy of hot water for removing in-scope hazards from rockmelons"/>
      </w:tblPr>
      <w:tblGrid>
        <w:gridCol w:w="1502"/>
        <w:gridCol w:w="2037"/>
        <w:gridCol w:w="1276"/>
        <w:gridCol w:w="1134"/>
        <w:gridCol w:w="2268"/>
        <w:gridCol w:w="1571"/>
        <w:gridCol w:w="1205"/>
        <w:gridCol w:w="2862"/>
      </w:tblGrid>
      <w:tr w:rsidR="00285EF0" w:rsidRPr="007C2474" w14:paraId="75342C29" w14:textId="77777777" w:rsidTr="00285EF0">
        <w:trPr>
          <w:cnfStyle w:val="100000000000" w:firstRow="1" w:lastRow="0" w:firstColumn="0" w:lastColumn="0" w:oddVBand="0" w:evenVBand="0" w:oddHBand="0" w:evenHBand="0" w:firstRowFirstColumn="0" w:firstRowLastColumn="0" w:lastRowFirstColumn="0" w:lastRowLastColumn="0"/>
          <w:trHeight w:val="600"/>
        </w:trPr>
        <w:tc>
          <w:tcPr>
            <w:cnfStyle w:val="001000000100" w:firstRow="0" w:lastRow="0" w:firstColumn="1" w:lastColumn="0" w:oddVBand="0" w:evenVBand="0" w:oddHBand="0" w:evenHBand="0" w:firstRowFirstColumn="1" w:firstRowLastColumn="0" w:lastRowFirstColumn="0" w:lastRowLastColumn="0"/>
            <w:tcW w:w="1502" w:type="dxa"/>
            <w:shd w:val="clear" w:color="auto" w:fill="C6D9F1" w:themeFill="text2" w:themeFillTint="33"/>
          </w:tcPr>
          <w:p w14:paraId="78DA8D64" w14:textId="77777777" w:rsidR="00285EF0" w:rsidRPr="007C2474" w:rsidRDefault="00285EF0" w:rsidP="00285EF0">
            <w:pPr>
              <w:widowControl/>
              <w:jc w:val="center"/>
              <w:rPr>
                <w:rFonts w:cs="Arial"/>
                <w:color w:val="000000" w:themeColor="text1"/>
                <w:sz w:val="18"/>
                <w:szCs w:val="18"/>
              </w:rPr>
            </w:pPr>
            <w:r w:rsidRPr="007C2474">
              <w:rPr>
                <w:rFonts w:cs="Arial"/>
                <w:color w:val="000000" w:themeColor="text1"/>
                <w:sz w:val="18"/>
                <w:szCs w:val="18"/>
              </w:rPr>
              <w:t>Produce</w:t>
            </w:r>
          </w:p>
        </w:tc>
        <w:tc>
          <w:tcPr>
            <w:tcW w:w="2037" w:type="dxa"/>
            <w:shd w:val="clear" w:color="auto" w:fill="C6D9F1" w:themeFill="text2" w:themeFillTint="33"/>
          </w:tcPr>
          <w:p w14:paraId="736F3CF2" w14:textId="77777777" w:rsidR="00285EF0" w:rsidRPr="007C2474" w:rsidRDefault="00285EF0" w:rsidP="00285EF0">
            <w:pPr>
              <w:widowControl/>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7C2474">
              <w:rPr>
                <w:rFonts w:cs="Arial"/>
                <w:color w:val="000000" w:themeColor="text1"/>
                <w:sz w:val="18"/>
                <w:szCs w:val="18"/>
              </w:rPr>
              <w:t>Organism</w:t>
            </w:r>
          </w:p>
        </w:tc>
        <w:tc>
          <w:tcPr>
            <w:tcW w:w="1276" w:type="dxa"/>
            <w:shd w:val="clear" w:color="auto" w:fill="C6D9F1" w:themeFill="text2" w:themeFillTint="33"/>
          </w:tcPr>
          <w:p w14:paraId="0D82076E" w14:textId="77777777" w:rsidR="00285EF0" w:rsidRPr="007C2474" w:rsidRDefault="00285EF0" w:rsidP="00285EF0">
            <w:pPr>
              <w:widowControl/>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7C2474">
              <w:rPr>
                <w:rFonts w:cs="Arial"/>
                <w:color w:val="000000" w:themeColor="text1"/>
                <w:sz w:val="18"/>
                <w:szCs w:val="18"/>
              </w:rPr>
              <w:t>Attachment time</w:t>
            </w:r>
          </w:p>
        </w:tc>
        <w:tc>
          <w:tcPr>
            <w:tcW w:w="1134" w:type="dxa"/>
            <w:shd w:val="clear" w:color="auto" w:fill="C6D9F1" w:themeFill="text2" w:themeFillTint="33"/>
          </w:tcPr>
          <w:p w14:paraId="5063AFA5" w14:textId="77777777" w:rsidR="00285EF0" w:rsidRPr="007C2474" w:rsidRDefault="00285EF0" w:rsidP="00285EF0">
            <w:pPr>
              <w:widowControl/>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7C2474">
              <w:rPr>
                <w:rFonts w:cs="Arial"/>
                <w:color w:val="000000" w:themeColor="text1"/>
                <w:sz w:val="18"/>
                <w:szCs w:val="18"/>
              </w:rPr>
              <w:t>Initial Log</w:t>
            </w:r>
            <w:r w:rsidRPr="007C2474">
              <w:rPr>
                <w:rFonts w:cs="Arial"/>
                <w:color w:val="000000" w:themeColor="text1"/>
                <w:sz w:val="18"/>
                <w:szCs w:val="18"/>
                <w:vertAlign w:val="subscript"/>
              </w:rPr>
              <w:t>10</w:t>
            </w:r>
            <w:r w:rsidRPr="007C2474">
              <w:rPr>
                <w:rFonts w:cs="Arial"/>
                <w:color w:val="000000" w:themeColor="text1"/>
                <w:sz w:val="18"/>
                <w:szCs w:val="18"/>
              </w:rPr>
              <w:t>CFU numbers</w:t>
            </w:r>
          </w:p>
        </w:tc>
        <w:tc>
          <w:tcPr>
            <w:tcW w:w="2268" w:type="dxa"/>
            <w:shd w:val="clear" w:color="auto" w:fill="C6D9F1" w:themeFill="text2" w:themeFillTint="33"/>
          </w:tcPr>
          <w:p w14:paraId="1B563EFC" w14:textId="77777777" w:rsidR="00285EF0" w:rsidRPr="007C2474" w:rsidRDefault="00285EF0" w:rsidP="00285EF0">
            <w:pPr>
              <w:widowControl/>
              <w:jc w:val="center"/>
              <w:cnfStyle w:val="100000000000" w:firstRow="1" w:lastRow="0" w:firstColumn="0" w:lastColumn="0" w:oddVBand="0" w:evenVBand="0" w:oddHBand="0" w:evenHBand="0" w:firstRowFirstColumn="0" w:firstRowLastColumn="0" w:lastRowFirstColumn="0" w:lastRowLastColumn="0"/>
              <w:rPr>
                <w:rFonts w:cs="Arial"/>
                <w:bCs w:val="0"/>
                <w:color w:val="000000" w:themeColor="text1"/>
                <w:sz w:val="18"/>
                <w:szCs w:val="18"/>
              </w:rPr>
            </w:pPr>
            <w:r w:rsidRPr="007C2474">
              <w:rPr>
                <w:rFonts w:cs="Arial"/>
                <w:color w:val="000000" w:themeColor="text1"/>
                <w:sz w:val="18"/>
                <w:szCs w:val="18"/>
              </w:rPr>
              <w:t>Treatment applied</w:t>
            </w:r>
          </w:p>
        </w:tc>
        <w:tc>
          <w:tcPr>
            <w:tcW w:w="1571" w:type="dxa"/>
            <w:shd w:val="clear" w:color="auto" w:fill="C6D9F1" w:themeFill="text2" w:themeFillTint="33"/>
          </w:tcPr>
          <w:p w14:paraId="56BB0E8E" w14:textId="77777777" w:rsidR="00285EF0" w:rsidRPr="007C2474" w:rsidRDefault="00285EF0" w:rsidP="00285EF0">
            <w:pPr>
              <w:widowControl/>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7C2474">
              <w:rPr>
                <w:rFonts w:cs="Arial"/>
                <w:color w:val="000000" w:themeColor="text1"/>
                <w:sz w:val="18"/>
                <w:szCs w:val="18"/>
              </w:rPr>
              <w:t>Contact time (min)</w:t>
            </w:r>
          </w:p>
        </w:tc>
        <w:tc>
          <w:tcPr>
            <w:tcW w:w="1205" w:type="dxa"/>
            <w:shd w:val="clear" w:color="auto" w:fill="C6D9F1" w:themeFill="text2" w:themeFillTint="33"/>
          </w:tcPr>
          <w:p w14:paraId="612A4296" w14:textId="77777777" w:rsidR="00285EF0" w:rsidRPr="007C2474" w:rsidRDefault="00285EF0" w:rsidP="00285EF0">
            <w:pPr>
              <w:widowControl/>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7C2474">
              <w:rPr>
                <w:rFonts w:cs="Arial"/>
                <w:color w:val="000000" w:themeColor="text1"/>
                <w:sz w:val="18"/>
                <w:szCs w:val="18"/>
              </w:rPr>
              <w:t>Log</w:t>
            </w:r>
            <w:r w:rsidRPr="007C2474">
              <w:rPr>
                <w:rFonts w:cs="Arial"/>
                <w:color w:val="000000" w:themeColor="text1"/>
                <w:sz w:val="18"/>
                <w:szCs w:val="18"/>
                <w:vertAlign w:val="subscript"/>
              </w:rPr>
              <w:t>10</w:t>
            </w:r>
            <w:r w:rsidRPr="007C2474">
              <w:rPr>
                <w:rFonts w:cs="Arial"/>
                <w:color w:val="000000" w:themeColor="text1"/>
                <w:sz w:val="18"/>
                <w:szCs w:val="18"/>
              </w:rPr>
              <w:t>CFU reduction</w:t>
            </w:r>
          </w:p>
        </w:tc>
        <w:tc>
          <w:tcPr>
            <w:tcW w:w="2862" w:type="dxa"/>
            <w:shd w:val="clear" w:color="auto" w:fill="C6D9F1" w:themeFill="text2" w:themeFillTint="33"/>
          </w:tcPr>
          <w:p w14:paraId="2D496F00" w14:textId="77777777" w:rsidR="00285EF0" w:rsidRPr="007C2474" w:rsidRDefault="00285EF0" w:rsidP="00285EF0">
            <w:pPr>
              <w:widowControl/>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7C2474">
              <w:rPr>
                <w:rFonts w:cs="Arial"/>
                <w:color w:val="000000" w:themeColor="text1"/>
                <w:sz w:val="18"/>
                <w:szCs w:val="18"/>
              </w:rPr>
              <w:t>Reference</w:t>
            </w:r>
          </w:p>
        </w:tc>
      </w:tr>
      <w:tr w:rsidR="00285EF0" w:rsidRPr="007C2474" w14:paraId="541F1E74"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502" w:type="dxa"/>
            <w:tcBorders>
              <w:top w:val="none" w:sz="0" w:space="0" w:color="auto"/>
              <w:bottom w:val="none" w:sz="0" w:space="0" w:color="auto"/>
              <w:right w:val="none" w:sz="0" w:space="0" w:color="auto"/>
            </w:tcBorders>
          </w:tcPr>
          <w:p w14:paraId="6D8F26F0" w14:textId="77777777" w:rsidR="00285EF0" w:rsidRPr="007C2474" w:rsidRDefault="00285EF0" w:rsidP="00285EF0">
            <w:pPr>
              <w:widowControl/>
              <w:rPr>
                <w:rFonts w:cs="Arial"/>
                <w:b w:val="0"/>
                <w:color w:val="000000" w:themeColor="text1"/>
                <w:sz w:val="18"/>
                <w:szCs w:val="18"/>
              </w:rPr>
            </w:pPr>
            <w:r w:rsidRPr="007C2474">
              <w:rPr>
                <w:rFonts w:cs="Arial"/>
                <w:b w:val="0"/>
                <w:color w:val="000000" w:themeColor="text1"/>
                <w:sz w:val="18"/>
                <w:szCs w:val="18"/>
              </w:rPr>
              <w:t>Rockmelon</w:t>
            </w:r>
          </w:p>
        </w:tc>
        <w:tc>
          <w:tcPr>
            <w:tcW w:w="2037" w:type="dxa"/>
            <w:tcBorders>
              <w:top w:val="none" w:sz="0" w:space="0" w:color="auto"/>
              <w:bottom w:val="none" w:sz="0" w:space="0" w:color="auto"/>
            </w:tcBorders>
            <w:shd w:val="clear" w:color="auto" w:fill="FFFFFF" w:themeFill="background1"/>
          </w:tcPr>
          <w:p w14:paraId="27D5C3BE" w14:textId="77777777" w:rsidR="00285EF0" w:rsidRPr="007C2474" w:rsidRDefault="00285EF0" w:rsidP="00285EF0">
            <w:pPr>
              <w:cnfStyle w:val="000000100000" w:firstRow="0" w:lastRow="0" w:firstColumn="0" w:lastColumn="0" w:oddVBand="0" w:evenVBand="0" w:oddHBand="1" w:evenHBand="0" w:firstRowFirstColumn="0" w:firstRowLastColumn="0" w:lastRowFirstColumn="0" w:lastRowLastColumn="0"/>
              <w:rPr>
                <w:rFonts w:cs="Arial"/>
                <w:i/>
                <w:sz w:val="18"/>
                <w:szCs w:val="18"/>
              </w:rPr>
            </w:pPr>
            <w:r w:rsidRPr="007C2474">
              <w:rPr>
                <w:rFonts w:cs="Arial"/>
                <w:i/>
                <w:sz w:val="18"/>
                <w:szCs w:val="18"/>
              </w:rPr>
              <w:t>L. innocua</w:t>
            </w:r>
          </w:p>
        </w:tc>
        <w:tc>
          <w:tcPr>
            <w:tcW w:w="1276" w:type="dxa"/>
            <w:tcBorders>
              <w:top w:val="none" w:sz="0" w:space="0" w:color="auto"/>
              <w:bottom w:val="none" w:sz="0" w:space="0" w:color="auto"/>
            </w:tcBorders>
            <w:shd w:val="clear" w:color="auto" w:fill="FFFFFF" w:themeFill="background1"/>
          </w:tcPr>
          <w:p w14:paraId="4EC321EB"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76h</w:t>
            </w:r>
          </w:p>
        </w:tc>
        <w:tc>
          <w:tcPr>
            <w:tcW w:w="1134" w:type="dxa"/>
            <w:tcBorders>
              <w:top w:val="none" w:sz="0" w:space="0" w:color="auto"/>
              <w:bottom w:val="none" w:sz="0" w:space="0" w:color="auto"/>
            </w:tcBorders>
            <w:shd w:val="clear" w:color="auto" w:fill="FFFFFF" w:themeFill="background1"/>
          </w:tcPr>
          <w:p w14:paraId="2EF922AB"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3.9</w:t>
            </w:r>
          </w:p>
        </w:tc>
        <w:tc>
          <w:tcPr>
            <w:tcW w:w="2268" w:type="dxa"/>
            <w:tcBorders>
              <w:top w:val="none" w:sz="0" w:space="0" w:color="auto"/>
              <w:bottom w:val="none" w:sz="0" w:space="0" w:color="auto"/>
            </w:tcBorders>
            <w:shd w:val="clear" w:color="auto" w:fill="FFFFFF" w:themeFill="background1"/>
          </w:tcPr>
          <w:p w14:paraId="26B3BBFC" w14:textId="77777777" w:rsidR="00285EF0" w:rsidRPr="007C2474"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65 ˚C Water</w:t>
            </w:r>
          </w:p>
        </w:tc>
        <w:tc>
          <w:tcPr>
            <w:tcW w:w="1571" w:type="dxa"/>
            <w:tcBorders>
              <w:top w:val="none" w:sz="0" w:space="0" w:color="auto"/>
              <w:bottom w:val="none" w:sz="0" w:space="0" w:color="auto"/>
            </w:tcBorders>
            <w:shd w:val="clear" w:color="auto" w:fill="FFFFFF" w:themeFill="background1"/>
          </w:tcPr>
          <w:p w14:paraId="583F7F6C"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0.75</w:t>
            </w:r>
          </w:p>
        </w:tc>
        <w:tc>
          <w:tcPr>
            <w:tcW w:w="1205" w:type="dxa"/>
            <w:tcBorders>
              <w:top w:val="none" w:sz="0" w:space="0" w:color="auto"/>
              <w:bottom w:val="none" w:sz="0" w:space="0" w:color="auto"/>
            </w:tcBorders>
            <w:shd w:val="clear" w:color="auto" w:fill="FFFFFF" w:themeFill="background1"/>
          </w:tcPr>
          <w:p w14:paraId="17083A03"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3.4</w:t>
            </w:r>
          </w:p>
        </w:tc>
        <w:tc>
          <w:tcPr>
            <w:tcW w:w="2862" w:type="dxa"/>
            <w:tcBorders>
              <w:top w:val="none" w:sz="0" w:space="0" w:color="auto"/>
              <w:bottom w:val="none" w:sz="0" w:space="0" w:color="auto"/>
            </w:tcBorders>
            <w:shd w:val="clear" w:color="auto" w:fill="FFFFFF" w:themeFill="background1"/>
          </w:tcPr>
          <w:p w14:paraId="31A64E85" w14:textId="77777777" w:rsidR="00285EF0" w:rsidRPr="007B134A"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Suslow and Callejas (2015)</w:t>
            </w:r>
          </w:p>
        </w:tc>
      </w:tr>
      <w:tr w:rsidR="00285EF0" w:rsidRPr="007C2474" w14:paraId="1C5F001D"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502" w:type="dxa"/>
            <w:tcBorders>
              <w:right w:val="none" w:sz="0" w:space="0" w:color="auto"/>
            </w:tcBorders>
          </w:tcPr>
          <w:p w14:paraId="48E035B0" w14:textId="77777777" w:rsidR="00285EF0" w:rsidRPr="007C2474" w:rsidRDefault="00285EF0" w:rsidP="00285EF0">
            <w:pPr>
              <w:rPr>
                <w:rFonts w:cs="Arial"/>
                <w:b w:val="0"/>
                <w:sz w:val="18"/>
                <w:szCs w:val="18"/>
              </w:rPr>
            </w:pPr>
            <w:r w:rsidRPr="007C2474">
              <w:rPr>
                <w:rFonts w:cs="Arial"/>
                <w:b w:val="0"/>
                <w:color w:val="000000" w:themeColor="text1"/>
                <w:sz w:val="18"/>
                <w:szCs w:val="18"/>
              </w:rPr>
              <w:t>Rockmelon</w:t>
            </w:r>
          </w:p>
        </w:tc>
        <w:tc>
          <w:tcPr>
            <w:tcW w:w="2037" w:type="dxa"/>
            <w:shd w:val="clear" w:color="auto" w:fill="FFFFFF" w:themeFill="background1"/>
          </w:tcPr>
          <w:p w14:paraId="5C7869D7" w14:textId="77777777" w:rsidR="00285EF0" w:rsidRPr="007C2474" w:rsidRDefault="00285EF0" w:rsidP="00285EF0">
            <w:pPr>
              <w:cnfStyle w:val="000000000000" w:firstRow="0" w:lastRow="0" w:firstColumn="0" w:lastColumn="0" w:oddVBand="0" w:evenVBand="0" w:oddHBand="0" w:evenHBand="0" w:firstRowFirstColumn="0" w:firstRowLastColumn="0" w:lastRowFirstColumn="0" w:lastRowLastColumn="0"/>
              <w:rPr>
                <w:rFonts w:cs="Arial"/>
                <w:i/>
                <w:sz w:val="18"/>
                <w:szCs w:val="18"/>
              </w:rPr>
            </w:pPr>
            <w:r w:rsidRPr="007C2474">
              <w:rPr>
                <w:rFonts w:cs="Arial"/>
                <w:i/>
                <w:sz w:val="18"/>
                <w:szCs w:val="18"/>
              </w:rPr>
              <w:t>L. innocua</w:t>
            </w:r>
          </w:p>
        </w:tc>
        <w:tc>
          <w:tcPr>
            <w:tcW w:w="1276" w:type="dxa"/>
            <w:shd w:val="clear" w:color="auto" w:fill="FFFFFF" w:themeFill="background1"/>
          </w:tcPr>
          <w:p w14:paraId="12815332"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76h</w:t>
            </w:r>
          </w:p>
        </w:tc>
        <w:tc>
          <w:tcPr>
            <w:tcW w:w="1134" w:type="dxa"/>
            <w:shd w:val="clear" w:color="auto" w:fill="FFFFFF" w:themeFill="background1"/>
          </w:tcPr>
          <w:p w14:paraId="066162D5"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3.9</w:t>
            </w:r>
          </w:p>
        </w:tc>
        <w:tc>
          <w:tcPr>
            <w:tcW w:w="2268" w:type="dxa"/>
            <w:shd w:val="clear" w:color="auto" w:fill="FFFFFF" w:themeFill="background1"/>
          </w:tcPr>
          <w:p w14:paraId="61194BA9" w14:textId="7F16626E" w:rsidR="00285EF0" w:rsidRPr="007C2474" w:rsidRDefault="006B32C8"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65˚C </w:t>
            </w:r>
            <w:r w:rsidR="00285EF0" w:rsidRPr="007C2474">
              <w:rPr>
                <w:rFonts w:cs="Arial"/>
                <w:sz w:val="18"/>
                <w:szCs w:val="18"/>
              </w:rPr>
              <w:t>Water + 30ppm PAA spray</w:t>
            </w:r>
          </w:p>
        </w:tc>
        <w:tc>
          <w:tcPr>
            <w:tcW w:w="1571" w:type="dxa"/>
            <w:shd w:val="clear" w:color="auto" w:fill="FFFFFF" w:themeFill="background1"/>
          </w:tcPr>
          <w:p w14:paraId="22787AC6"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0.75</w:t>
            </w:r>
          </w:p>
        </w:tc>
        <w:tc>
          <w:tcPr>
            <w:tcW w:w="1205" w:type="dxa"/>
            <w:shd w:val="clear" w:color="auto" w:fill="FFFFFF" w:themeFill="background1"/>
          </w:tcPr>
          <w:p w14:paraId="030AB262"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2.7</w:t>
            </w:r>
          </w:p>
        </w:tc>
        <w:tc>
          <w:tcPr>
            <w:tcW w:w="2862" w:type="dxa"/>
            <w:shd w:val="clear" w:color="auto" w:fill="FFFFFF" w:themeFill="background1"/>
          </w:tcPr>
          <w:p w14:paraId="4C6A12C5" w14:textId="77777777" w:rsidR="00285EF0" w:rsidRPr="007B134A"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t>Suslow and Callejas (2015)</w:t>
            </w:r>
          </w:p>
        </w:tc>
      </w:tr>
      <w:tr w:rsidR="00285EF0" w:rsidRPr="007C2474" w14:paraId="4FB37BCF"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502" w:type="dxa"/>
            <w:tcBorders>
              <w:top w:val="none" w:sz="0" w:space="0" w:color="auto"/>
              <w:bottom w:val="none" w:sz="0" w:space="0" w:color="auto"/>
              <w:right w:val="none" w:sz="0" w:space="0" w:color="auto"/>
            </w:tcBorders>
          </w:tcPr>
          <w:p w14:paraId="03941C46" w14:textId="77777777" w:rsidR="00285EF0" w:rsidRPr="007C2474" w:rsidRDefault="00285EF0" w:rsidP="00285EF0">
            <w:pPr>
              <w:rPr>
                <w:rFonts w:cs="Arial"/>
                <w:b w:val="0"/>
                <w:sz w:val="18"/>
                <w:szCs w:val="18"/>
              </w:rPr>
            </w:pPr>
            <w:r w:rsidRPr="007C2474">
              <w:rPr>
                <w:rFonts w:cs="Arial"/>
                <w:b w:val="0"/>
                <w:color w:val="000000" w:themeColor="text1"/>
                <w:sz w:val="18"/>
                <w:szCs w:val="18"/>
              </w:rPr>
              <w:t>Rockmelon</w:t>
            </w:r>
          </w:p>
        </w:tc>
        <w:tc>
          <w:tcPr>
            <w:tcW w:w="2037" w:type="dxa"/>
            <w:tcBorders>
              <w:top w:val="none" w:sz="0" w:space="0" w:color="auto"/>
              <w:bottom w:val="none" w:sz="0" w:space="0" w:color="auto"/>
            </w:tcBorders>
            <w:shd w:val="clear" w:color="auto" w:fill="FFFFFF" w:themeFill="background1"/>
          </w:tcPr>
          <w:p w14:paraId="640D64B2" w14:textId="77777777" w:rsidR="00285EF0" w:rsidRPr="007C2474" w:rsidRDefault="00285EF0" w:rsidP="00285EF0">
            <w:pPr>
              <w:cnfStyle w:val="000000100000" w:firstRow="0" w:lastRow="0" w:firstColumn="0" w:lastColumn="0" w:oddVBand="0" w:evenVBand="0" w:oddHBand="1" w:evenHBand="0" w:firstRowFirstColumn="0" w:firstRowLastColumn="0" w:lastRowFirstColumn="0" w:lastRowLastColumn="0"/>
              <w:rPr>
                <w:rFonts w:cs="Arial"/>
                <w:i/>
                <w:sz w:val="18"/>
                <w:szCs w:val="18"/>
              </w:rPr>
            </w:pPr>
            <w:r w:rsidRPr="007C2474">
              <w:rPr>
                <w:rFonts w:cs="Arial"/>
                <w:i/>
                <w:sz w:val="18"/>
                <w:szCs w:val="18"/>
              </w:rPr>
              <w:t>L. monocytogenes</w:t>
            </w:r>
          </w:p>
        </w:tc>
        <w:tc>
          <w:tcPr>
            <w:tcW w:w="1276" w:type="dxa"/>
            <w:tcBorders>
              <w:top w:val="none" w:sz="0" w:space="0" w:color="auto"/>
              <w:bottom w:val="none" w:sz="0" w:space="0" w:color="auto"/>
            </w:tcBorders>
            <w:shd w:val="clear" w:color="auto" w:fill="FFFFFF" w:themeFill="background1"/>
          </w:tcPr>
          <w:p w14:paraId="70DCF480"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76h</w:t>
            </w:r>
          </w:p>
        </w:tc>
        <w:tc>
          <w:tcPr>
            <w:tcW w:w="1134" w:type="dxa"/>
            <w:tcBorders>
              <w:top w:val="none" w:sz="0" w:space="0" w:color="auto"/>
              <w:bottom w:val="none" w:sz="0" w:space="0" w:color="auto"/>
            </w:tcBorders>
            <w:shd w:val="clear" w:color="auto" w:fill="FFFFFF" w:themeFill="background1"/>
          </w:tcPr>
          <w:p w14:paraId="679CCBA8"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3.9</w:t>
            </w:r>
          </w:p>
        </w:tc>
        <w:tc>
          <w:tcPr>
            <w:tcW w:w="2268" w:type="dxa"/>
            <w:tcBorders>
              <w:top w:val="none" w:sz="0" w:space="0" w:color="auto"/>
              <w:bottom w:val="none" w:sz="0" w:space="0" w:color="auto"/>
            </w:tcBorders>
            <w:shd w:val="clear" w:color="auto" w:fill="FFFFFF" w:themeFill="background1"/>
          </w:tcPr>
          <w:p w14:paraId="053DE14C" w14:textId="77777777" w:rsidR="00285EF0" w:rsidRPr="007C2474"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80˚C Water</w:t>
            </w:r>
          </w:p>
        </w:tc>
        <w:tc>
          <w:tcPr>
            <w:tcW w:w="1571" w:type="dxa"/>
            <w:tcBorders>
              <w:top w:val="none" w:sz="0" w:space="0" w:color="auto"/>
              <w:bottom w:val="none" w:sz="0" w:space="0" w:color="auto"/>
            </w:tcBorders>
            <w:shd w:val="clear" w:color="auto" w:fill="FFFFFF" w:themeFill="background1"/>
          </w:tcPr>
          <w:p w14:paraId="31F8DE5A"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5.0</w:t>
            </w:r>
          </w:p>
        </w:tc>
        <w:tc>
          <w:tcPr>
            <w:tcW w:w="1205" w:type="dxa"/>
            <w:tcBorders>
              <w:top w:val="none" w:sz="0" w:space="0" w:color="auto"/>
              <w:bottom w:val="none" w:sz="0" w:space="0" w:color="auto"/>
            </w:tcBorders>
            <w:shd w:val="clear" w:color="auto" w:fill="FFFFFF" w:themeFill="background1"/>
          </w:tcPr>
          <w:p w14:paraId="3376EFF3"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&gt; 3.3</w:t>
            </w:r>
          </w:p>
        </w:tc>
        <w:tc>
          <w:tcPr>
            <w:tcW w:w="2862" w:type="dxa"/>
            <w:tcBorders>
              <w:top w:val="none" w:sz="0" w:space="0" w:color="auto"/>
              <w:bottom w:val="none" w:sz="0" w:space="0" w:color="auto"/>
            </w:tcBorders>
            <w:shd w:val="clear" w:color="auto" w:fill="FFFFFF" w:themeFill="background1"/>
          </w:tcPr>
          <w:p w14:paraId="74DFFB2A" w14:textId="77777777" w:rsidR="00285EF0" w:rsidRPr="007B134A"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Ukuku et al. (2016b)</w:t>
            </w:r>
          </w:p>
        </w:tc>
      </w:tr>
      <w:tr w:rsidR="00285EF0" w:rsidRPr="007C2474" w14:paraId="2C26C6DA"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502" w:type="dxa"/>
            <w:tcBorders>
              <w:right w:val="none" w:sz="0" w:space="0" w:color="auto"/>
            </w:tcBorders>
          </w:tcPr>
          <w:p w14:paraId="33A1904A" w14:textId="77777777" w:rsidR="00285EF0" w:rsidRPr="007C2474" w:rsidRDefault="00285EF0" w:rsidP="00285EF0">
            <w:pPr>
              <w:rPr>
                <w:rFonts w:cs="Arial"/>
                <w:b w:val="0"/>
                <w:sz w:val="18"/>
                <w:szCs w:val="18"/>
              </w:rPr>
            </w:pPr>
            <w:r w:rsidRPr="007C2474">
              <w:rPr>
                <w:rFonts w:cs="Arial"/>
                <w:b w:val="0"/>
                <w:color w:val="000000" w:themeColor="text1"/>
                <w:sz w:val="18"/>
                <w:szCs w:val="18"/>
              </w:rPr>
              <w:t>Rockmelon</w:t>
            </w:r>
          </w:p>
        </w:tc>
        <w:tc>
          <w:tcPr>
            <w:tcW w:w="2037" w:type="dxa"/>
            <w:shd w:val="clear" w:color="auto" w:fill="FFFFFF" w:themeFill="background1"/>
          </w:tcPr>
          <w:p w14:paraId="5829236C" w14:textId="77777777" w:rsidR="00285EF0" w:rsidRPr="007C2474"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i/>
                <w:sz w:val="18"/>
                <w:szCs w:val="18"/>
              </w:rPr>
              <w:t>S.</w:t>
            </w:r>
            <w:r w:rsidRPr="007C2474">
              <w:rPr>
                <w:rFonts w:cs="Arial"/>
                <w:sz w:val="18"/>
                <w:szCs w:val="18"/>
              </w:rPr>
              <w:t xml:space="preserve"> Poona</w:t>
            </w:r>
          </w:p>
        </w:tc>
        <w:tc>
          <w:tcPr>
            <w:tcW w:w="1276" w:type="dxa"/>
            <w:shd w:val="clear" w:color="auto" w:fill="FFFFFF" w:themeFill="background1"/>
          </w:tcPr>
          <w:p w14:paraId="3D40DD72"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24h</w:t>
            </w:r>
          </w:p>
        </w:tc>
        <w:tc>
          <w:tcPr>
            <w:tcW w:w="1134" w:type="dxa"/>
            <w:shd w:val="clear" w:color="auto" w:fill="FFFFFF" w:themeFill="background1"/>
          </w:tcPr>
          <w:p w14:paraId="7C7C37E0"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6.5</w:t>
            </w:r>
          </w:p>
        </w:tc>
        <w:tc>
          <w:tcPr>
            <w:tcW w:w="2268" w:type="dxa"/>
            <w:shd w:val="clear" w:color="auto" w:fill="FFFFFF" w:themeFill="background1"/>
          </w:tcPr>
          <w:p w14:paraId="447887EF" w14:textId="77777777" w:rsidR="00285EF0" w:rsidRPr="007C2474"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 xml:space="preserve">82˚C Water </w:t>
            </w:r>
          </w:p>
        </w:tc>
        <w:tc>
          <w:tcPr>
            <w:tcW w:w="1571" w:type="dxa"/>
            <w:shd w:val="clear" w:color="auto" w:fill="FFFFFF" w:themeFill="background1"/>
          </w:tcPr>
          <w:p w14:paraId="5F03A387"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1 and 1.5</w:t>
            </w:r>
          </w:p>
        </w:tc>
        <w:tc>
          <w:tcPr>
            <w:tcW w:w="1205" w:type="dxa"/>
            <w:shd w:val="clear" w:color="auto" w:fill="FFFFFF" w:themeFill="background1"/>
          </w:tcPr>
          <w:p w14:paraId="29A56BBA"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2.7 and 5.2</w:t>
            </w:r>
          </w:p>
        </w:tc>
        <w:tc>
          <w:tcPr>
            <w:tcW w:w="2862" w:type="dxa"/>
            <w:shd w:val="clear" w:color="auto" w:fill="FFFFFF" w:themeFill="background1"/>
          </w:tcPr>
          <w:p w14:paraId="4A2297CF" w14:textId="77777777" w:rsidR="00285EF0" w:rsidRPr="007B134A"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fldChar w:fldCharType="begin"/>
            </w:r>
            <w:r w:rsidRPr="007B134A">
              <w:rPr>
                <w:rFonts w:cs="Arial"/>
                <w:sz w:val="18"/>
                <w:szCs w:val="18"/>
              </w:rPr>
              <w:instrText>ADDIN CITAVI.PLACEHOLDER f151625e-5509-49cb-8cfa-4bb0eccc0ef1 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W5ub3VzIGV0IGFsLjwvVGV4dD4NCiAgICA8L1RleHRVbml0Pg0KICA8L1RleHRVbml0cz4NCjwvUGxhY2Vob2xkZXI+</w:instrText>
            </w:r>
            <w:r w:rsidRPr="007B134A">
              <w:rPr>
                <w:rFonts w:cs="Arial"/>
                <w:sz w:val="18"/>
                <w:szCs w:val="18"/>
              </w:rPr>
              <w:fldChar w:fldCharType="separate"/>
            </w:r>
            <w:bookmarkStart w:id="1443" w:name="_CTVP001f151625e550949cb8cfa4bb0eccc0ef1"/>
            <w:r w:rsidRPr="007B134A">
              <w:rPr>
                <w:rFonts w:cs="Arial"/>
                <w:sz w:val="18"/>
                <w:szCs w:val="18"/>
              </w:rPr>
              <w:t>Annous et al.</w:t>
            </w:r>
            <w:bookmarkEnd w:id="1443"/>
            <w:r w:rsidRPr="007B134A">
              <w:rPr>
                <w:rFonts w:cs="Arial"/>
                <w:sz w:val="18"/>
                <w:szCs w:val="18"/>
              </w:rPr>
              <w:fldChar w:fldCharType="end"/>
            </w:r>
            <w:r w:rsidRPr="007B134A">
              <w:rPr>
                <w:rFonts w:cs="Arial"/>
                <w:sz w:val="18"/>
                <w:szCs w:val="18"/>
              </w:rPr>
              <w:t xml:space="preserve"> </w:t>
            </w:r>
            <w:r w:rsidRPr="007B134A">
              <w:rPr>
                <w:rFonts w:cs="Arial"/>
                <w:sz w:val="18"/>
                <w:szCs w:val="18"/>
              </w:rPr>
              <w:fldChar w:fldCharType="begin"/>
            </w:r>
            <w:r w:rsidRPr="007B134A">
              <w:rPr>
                <w:rFonts w:cs="Arial"/>
                <w:sz w:val="18"/>
                <w:szCs w:val="18"/>
              </w:rPr>
              <w:instrText>ADDIN CITAVI.PLACEHOLDER 40bbcc0d-2b7c-49be-8e54-3ca48f04a1d5 PFBsYWNlaG9sZGVyPg0KICA8QWRkSW5WZXJzaW9uPjUuNS4wLjE8L0FkZEluVmVyc2lvbj4NCiAgPElkPjQwYmJjYzBkLTJiN2MtNDliZS04ZTU0LTNjYTQ4ZjA0YTFkNTwvSWQ+DQogIDxBc3NvY2lhdGVXaXRoUGxhY2Vob2xkZXJJZD5mMTUxNjI1ZS01NTA5LTQ5Y2ItOGNmYS00YmIwZWNjYzBlZjE8L0Fzc29jaWF0ZVdpdGhQbGFjZWhvbGRlcklkPg0KICA8RW50cmllcz4NCiAgICA8RW50cnk+DQogICAgICA8SWQ+NTViYWQ0MGItNzFkMy00NTY1LWJlZjctOWQwNGQ2NWVkOWE1PC9JZD4NCiAgICAgIDxSZWZlcmVuY2VJZD5lY2JiNTU1YS01NDlhLTQ4ZTItYTRiMC0wYjRjYzUzYTY2ZDk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MpPC9UZXh0Pg0KICAgIDwvVGV4dFVuaXQ+DQogIDwvVGV4dFVuaXRzPg0KPC9QbGFjZWhvbGRlcj4=</w:instrText>
            </w:r>
            <w:r w:rsidRPr="007B134A">
              <w:rPr>
                <w:rFonts w:cs="Arial"/>
                <w:sz w:val="18"/>
                <w:szCs w:val="18"/>
              </w:rPr>
              <w:fldChar w:fldCharType="separate"/>
            </w:r>
            <w:bookmarkStart w:id="1444" w:name="_CTVP00140bbcc0d2b7c49be8e543ca48f04a1d5"/>
            <w:r w:rsidRPr="007B134A">
              <w:rPr>
                <w:rFonts w:cs="Arial"/>
                <w:sz w:val="18"/>
                <w:szCs w:val="18"/>
              </w:rPr>
              <w:t>(2013)</w:t>
            </w:r>
            <w:bookmarkEnd w:id="1444"/>
            <w:r w:rsidRPr="007B134A">
              <w:rPr>
                <w:rFonts w:cs="Arial"/>
                <w:sz w:val="18"/>
                <w:szCs w:val="18"/>
              </w:rPr>
              <w:fldChar w:fldCharType="end"/>
            </w:r>
          </w:p>
        </w:tc>
      </w:tr>
      <w:tr w:rsidR="00285EF0" w:rsidRPr="007C2474" w14:paraId="7C7E5F97"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502" w:type="dxa"/>
            <w:tcBorders>
              <w:top w:val="none" w:sz="0" w:space="0" w:color="auto"/>
              <w:bottom w:val="none" w:sz="0" w:space="0" w:color="auto"/>
              <w:right w:val="none" w:sz="0" w:space="0" w:color="auto"/>
            </w:tcBorders>
          </w:tcPr>
          <w:p w14:paraId="66A76D30" w14:textId="77777777" w:rsidR="00285EF0" w:rsidRPr="007C2474" w:rsidRDefault="00285EF0" w:rsidP="00285EF0">
            <w:pPr>
              <w:rPr>
                <w:rFonts w:cs="Arial"/>
                <w:b w:val="0"/>
                <w:sz w:val="18"/>
                <w:szCs w:val="18"/>
              </w:rPr>
            </w:pPr>
            <w:r w:rsidRPr="007C2474">
              <w:rPr>
                <w:rFonts w:cs="Arial"/>
                <w:b w:val="0"/>
                <w:color w:val="000000" w:themeColor="text1"/>
                <w:sz w:val="18"/>
                <w:szCs w:val="18"/>
              </w:rPr>
              <w:t>Rockmelon</w:t>
            </w:r>
          </w:p>
        </w:tc>
        <w:tc>
          <w:tcPr>
            <w:tcW w:w="2037" w:type="dxa"/>
            <w:tcBorders>
              <w:top w:val="none" w:sz="0" w:space="0" w:color="auto"/>
              <w:bottom w:val="none" w:sz="0" w:space="0" w:color="auto"/>
            </w:tcBorders>
            <w:shd w:val="clear" w:color="auto" w:fill="FFFFFF" w:themeFill="background1"/>
          </w:tcPr>
          <w:p w14:paraId="4014BC07" w14:textId="77777777" w:rsidR="00285EF0" w:rsidRPr="007C2474"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S. Poona</w:t>
            </w:r>
          </w:p>
        </w:tc>
        <w:tc>
          <w:tcPr>
            <w:tcW w:w="1276" w:type="dxa"/>
            <w:tcBorders>
              <w:top w:val="none" w:sz="0" w:space="0" w:color="auto"/>
              <w:bottom w:val="none" w:sz="0" w:space="0" w:color="auto"/>
            </w:tcBorders>
            <w:shd w:val="clear" w:color="auto" w:fill="FFFFFF" w:themeFill="background1"/>
          </w:tcPr>
          <w:p w14:paraId="767E4077"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24h</w:t>
            </w:r>
          </w:p>
        </w:tc>
        <w:tc>
          <w:tcPr>
            <w:tcW w:w="1134" w:type="dxa"/>
            <w:tcBorders>
              <w:top w:val="none" w:sz="0" w:space="0" w:color="auto"/>
              <w:bottom w:val="none" w:sz="0" w:space="0" w:color="auto"/>
            </w:tcBorders>
            <w:shd w:val="clear" w:color="auto" w:fill="FFFFFF" w:themeFill="background1"/>
          </w:tcPr>
          <w:p w14:paraId="647C12F5"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6.5</w:t>
            </w:r>
          </w:p>
        </w:tc>
        <w:tc>
          <w:tcPr>
            <w:tcW w:w="2268" w:type="dxa"/>
            <w:tcBorders>
              <w:top w:val="none" w:sz="0" w:space="0" w:color="auto"/>
              <w:bottom w:val="none" w:sz="0" w:space="0" w:color="auto"/>
            </w:tcBorders>
            <w:shd w:val="clear" w:color="auto" w:fill="FFFFFF" w:themeFill="background1"/>
          </w:tcPr>
          <w:p w14:paraId="06F0396B" w14:textId="77777777" w:rsidR="00285EF0" w:rsidRPr="007C2474"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92˚C Water</w:t>
            </w:r>
          </w:p>
        </w:tc>
        <w:tc>
          <w:tcPr>
            <w:tcW w:w="1571" w:type="dxa"/>
            <w:tcBorders>
              <w:top w:val="none" w:sz="0" w:space="0" w:color="auto"/>
              <w:bottom w:val="none" w:sz="0" w:space="0" w:color="auto"/>
            </w:tcBorders>
            <w:shd w:val="clear" w:color="auto" w:fill="FFFFFF" w:themeFill="background1"/>
          </w:tcPr>
          <w:p w14:paraId="48D76D60"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1 and 1.5</w:t>
            </w:r>
          </w:p>
        </w:tc>
        <w:tc>
          <w:tcPr>
            <w:tcW w:w="1205" w:type="dxa"/>
            <w:tcBorders>
              <w:top w:val="none" w:sz="0" w:space="0" w:color="auto"/>
              <w:bottom w:val="none" w:sz="0" w:space="0" w:color="auto"/>
            </w:tcBorders>
            <w:shd w:val="clear" w:color="auto" w:fill="FFFFFF" w:themeFill="background1"/>
          </w:tcPr>
          <w:p w14:paraId="0B8BDBDD"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3.0 and 6.1</w:t>
            </w:r>
          </w:p>
        </w:tc>
        <w:tc>
          <w:tcPr>
            <w:tcW w:w="2862" w:type="dxa"/>
            <w:tcBorders>
              <w:top w:val="none" w:sz="0" w:space="0" w:color="auto"/>
              <w:bottom w:val="none" w:sz="0" w:space="0" w:color="auto"/>
            </w:tcBorders>
            <w:shd w:val="clear" w:color="auto" w:fill="FFFFFF" w:themeFill="background1"/>
          </w:tcPr>
          <w:p w14:paraId="0F7E548D" w14:textId="77777777" w:rsidR="00285EF0" w:rsidRPr="007B134A"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fldChar w:fldCharType="begin"/>
            </w:r>
            <w:r w:rsidRPr="007B134A">
              <w:rPr>
                <w:rFonts w:cs="Arial"/>
                <w:sz w:val="18"/>
                <w:szCs w:val="18"/>
              </w:rPr>
              <w:instrText>ADDIN CITAVI.PLACEHOLDER da791766-27e3-4298-a1d6-a95299ea1c37 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W5ub3VzIGV0IGFsLjwvVGV4dD4NCiAgICA8L1RleHRVbml0Pg0KICA8L1RleHRVbml0cz4NCjwvUGxhY2Vob2xkZXI+</w:instrText>
            </w:r>
            <w:r w:rsidRPr="007B134A">
              <w:rPr>
                <w:rFonts w:cs="Arial"/>
                <w:sz w:val="18"/>
                <w:szCs w:val="18"/>
              </w:rPr>
              <w:fldChar w:fldCharType="separate"/>
            </w:r>
            <w:bookmarkStart w:id="1445" w:name="_CTVP001da79176627e34298a1d6a95299ea1c37"/>
            <w:r w:rsidRPr="007B134A">
              <w:rPr>
                <w:rFonts w:cs="Arial"/>
                <w:sz w:val="18"/>
                <w:szCs w:val="18"/>
              </w:rPr>
              <w:t>Annous et al.</w:t>
            </w:r>
            <w:bookmarkEnd w:id="1445"/>
            <w:r w:rsidRPr="007B134A">
              <w:rPr>
                <w:rFonts w:cs="Arial"/>
                <w:sz w:val="18"/>
                <w:szCs w:val="18"/>
              </w:rPr>
              <w:fldChar w:fldCharType="end"/>
            </w:r>
            <w:r w:rsidRPr="007B134A">
              <w:rPr>
                <w:rFonts w:cs="Arial"/>
                <w:sz w:val="18"/>
                <w:szCs w:val="18"/>
              </w:rPr>
              <w:t xml:space="preserve"> </w:t>
            </w:r>
            <w:r w:rsidRPr="007B134A">
              <w:rPr>
                <w:rFonts w:cs="Arial"/>
                <w:sz w:val="18"/>
                <w:szCs w:val="18"/>
              </w:rPr>
              <w:fldChar w:fldCharType="begin"/>
            </w:r>
            <w:r w:rsidRPr="007B134A">
              <w:rPr>
                <w:rFonts w:cs="Arial"/>
                <w:sz w:val="18"/>
                <w:szCs w:val="18"/>
              </w:rPr>
              <w:instrText>ADDIN CITAVI.PLACEHOLDER cd7b6690-ae54-463a-9133-4ccc1a1d5ace PFBsYWNlaG9sZGVyPg0KICA8QWRkSW5WZXJzaW9uPjUuNS4wLjE8L0FkZEluVmVyc2lvbj4NCiAgPElkPmNkN2I2NjkwLWFlNTQtNDYzYS05MTMzLTRjY2MxYTFkNWFjZTwvSWQ+DQogIDxBc3NvY2lhdGVXaXRoUGxhY2Vob2xkZXJJZD5mMTUxNjI1ZS01NTA5LTQ5Y2ItOGNmYS00YmIwZWNjYzBlZjE8L0Fzc29jaWF0ZVdpdGhQbGFjZWhvbGRlcklkPg0KICA8RW50cmllcz4NCiAgICA8RW50cnk+DQogICAgICA8SWQ+NTViYWQ0MGItNzFkMy00NTY1LWJlZjctOWQwNGQ2NWVkOWE1PC9JZD4NCiAgICAgIDxSZWZlcmVuY2VJZD5lY2JiNTU1YS01NDlhLTQ4ZTItYTRiMC0wYjRjYzUzYTY2ZDk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MpPC9UZXh0Pg0KICAgIDwvVGV4dFVuaXQ+DQogIDwvVGV4dFVuaXRzPg0KPC9QbGFjZWhvbGRlcj4=</w:instrText>
            </w:r>
            <w:r w:rsidRPr="007B134A">
              <w:rPr>
                <w:rFonts w:cs="Arial"/>
                <w:sz w:val="18"/>
                <w:szCs w:val="18"/>
              </w:rPr>
              <w:fldChar w:fldCharType="separate"/>
            </w:r>
            <w:bookmarkStart w:id="1446" w:name="_CTVP001cd7b6690ae54463a91334ccc1a1d5ace"/>
            <w:r w:rsidRPr="007B134A">
              <w:rPr>
                <w:rFonts w:cs="Arial"/>
                <w:sz w:val="18"/>
                <w:szCs w:val="18"/>
              </w:rPr>
              <w:t>(2013)</w:t>
            </w:r>
            <w:bookmarkEnd w:id="1446"/>
            <w:r w:rsidRPr="007B134A">
              <w:rPr>
                <w:rFonts w:cs="Arial"/>
                <w:sz w:val="18"/>
                <w:szCs w:val="18"/>
              </w:rPr>
              <w:fldChar w:fldCharType="end"/>
            </w:r>
          </w:p>
        </w:tc>
      </w:tr>
      <w:tr w:rsidR="00285EF0" w:rsidRPr="007C2474" w14:paraId="268D8168"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502" w:type="dxa"/>
            <w:tcBorders>
              <w:right w:val="none" w:sz="0" w:space="0" w:color="auto"/>
            </w:tcBorders>
          </w:tcPr>
          <w:p w14:paraId="172610CE" w14:textId="77777777" w:rsidR="00285EF0" w:rsidRPr="007C2474" w:rsidRDefault="00285EF0" w:rsidP="00285EF0">
            <w:pPr>
              <w:rPr>
                <w:rFonts w:cs="Arial"/>
                <w:b w:val="0"/>
                <w:sz w:val="18"/>
                <w:szCs w:val="18"/>
              </w:rPr>
            </w:pPr>
            <w:r w:rsidRPr="007C2474">
              <w:rPr>
                <w:rFonts w:cs="Arial"/>
                <w:b w:val="0"/>
                <w:color w:val="000000" w:themeColor="text1"/>
                <w:sz w:val="18"/>
                <w:szCs w:val="18"/>
              </w:rPr>
              <w:t>Rockmelon</w:t>
            </w:r>
          </w:p>
        </w:tc>
        <w:tc>
          <w:tcPr>
            <w:tcW w:w="2037" w:type="dxa"/>
            <w:shd w:val="clear" w:color="auto" w:fill="FFFFFF" w:themeFill="background1"/>
          </w:tcPr>
          <w:p w14:paraId="2A5F6682" w14:textId="77777777" w:rsidR="00285EF0" w:rsidRPr="007C2474"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S. Poona</w:t>
            </w:r>
          </w:p>
        </w:tc>
        <w:tc>
          <w:tcPr>
            <w:tcW w:w="1276" w:type="dxa"/>
            <w:shd w:val="clear" w:color="auto" w:fill="FFFFFF" w:themeFill="background1"/>
          </w:tcPr>
          <w:p w14:paraId="28EC617E"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24h</w:t>
            </w:r>
          </w:p>
        </w:tc>
        <w:tc>
          <w:tcPr>
            <w:tcW w:w="1134" w:type="dxa"/>
            <w:shd w:val="clear" w:color="auto" w:fill="FFFFFF" w:themeFill="background1"/>
          </w:tcPr>
          <w:p w14:paraId="0F64F791"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7.0</w:t>
            </w:r>
          </w:p>
        </w:tc>
        <w:tc>
          <w:tcPr>
            <w:tcW w:w="2268" w:type="dxa"/>
            <w:shd w:val="clear" w:color="auto" w:fill="FFFFFF" w:themeFill="background1"/>
          </w:tcPr>
          <w:p w14:paraId="2F7A3285" w14:textId="77777777" w:rsidR="00285EF0" w:rsidRPr="007C2474"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82˚C Water</w:t>
            </w:r>
          </w:p>
        </w:tc>
        <w:tc>
          <w:tcPr>
            <w:tcW w:w="1571" w:type="dxa"/>
            <w:shd w:val="clear" w:color="auto" w:fill="FFFFFF" w:themeFill="background1"/>
          </w:tcPr>
          <w:p w14:paraId="7DF0DEAC"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1 and 1.5</w:t>
            </w:r>
          </w:p>
        </w:tc>
        <w:tc>
          <w:tcPr>
            <w:tcW w:w="1205" w:type="dxa"/>
            <w:shd w:val="clear" w:color="auto" w:fill="FFFFFF" w:themeFill="background1"/>
          </w:tcPr>
          <w:p w14:paraId="1C9B5BD5"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5.5 and 5.8</w:t>
            </w:r>
          </w:p>
        </w:tc>
        <w:tc>
          <w:tcPr>
            <w:tcW w:w="2862" w:type="dxa"/>
            <w:shd w:val="clear" w:color="auto" w:fill="FFFFFF" w:themeFill="background1"/>
          </w:tcPr>
          <w:p w14:paraId="0F1EAADC" w14:textId="77777777" w:rsidR="00285EF0" w:rsidRPr="007B134A"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fldChar w:fldCharType="begin"/>
            </w:r>
            <w:r w:rsidRPr="007B134A">
              <w:rPr>
                <w:rFonts w:cs="Arial"/>
                <w:sz w:val="18"/>
                <w:szCs w:val="18"/>
              </w:rPr>
              <w:instrText>ADDIN CITAVI.PLACEHOLDER 360ab1b2-65cb-45ca-a11d-f03f372df7a5 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W5ub3VzIGV0IGFsLjwvVGV4dD4NCiAgICA8L1RleHRVbml0Pg0KICA8L1RleHRVbml0cz4NCjwvUGxhY2Vob2xkZXI+</w:instrText>
            </w:r>
            <w:r w:rsidRPr="007B134A">
              <w:rPr>
                <w:rFonts w:cs="Arial"/>
                <w:sz w:val="18"/>
                <w:szCs w:val="18"/>
              </w:rPr>
              <w:fldChar w:fldCharType="separate"/>
            </w:r>
            <w:bookmarkStart w:id="1447" w:name="_CTVP001360ab1b265cb45caa11df03f372df7a5"/>
            <w:r w:rsidRPr="007B134A">
              <w:rPr>
                <w:rFonts w:cs="Arial"/>
                <w:sz w:val="18"/>
                <w:szCs w:val="18"/>
              </w:rPr>
              <w:t>Annous et al.</w:t>
            </w:r>
            <w:bookmarkEnd w:id="1447"/>
            <w:r w:rsidRPr="007B134A">
              <w:rPr>
                <w:rFonts w:cs="Arial"/>
                <w:sz w:val="18"/>
                <w:szCs w:val="18"/>
              </w:rPr>
              <w:fldChar w:fldCharType="end"/>
            </w:r>
            <w:r w:rsidRPr="007B134A">
              <w:rPr>
                <w:rFonts w:cs="Arial"/>
                <w:sz w:val="18"/>
                <w:szCs w:val="18"/>
              </w:rPr>
              <w:t xml:space="preserve"> </w:t>
            </w:r>
            <w:r w:rsidRPr="007B134A">
              <w:rPr>
                <w:rFonts w:cs="Arial"/>
                <w:sz w:val="18"/>
                <w:szCs w:val="18"/>
              </w:rPr>
              <w:fldChar w:fldCharType="begin"/>
            </w:r>
            <w:r w:rsidRPr="007B134A">
              <w:rPr>
                <w:rFonts w:cs="Arial"/>
                <w:sz w:val="18"/>
                <w:szCs w:val="18"/>
              </w:rPr>
              <w:instrText>ADDIN CITAVI.PLACEHOLDER 01f1fa8d-ede4-44b1-b09a-8ed81b96f663 PFBsYWNlaG9sZGVyPg0KICA8QWRkSW5WZXJzaW9uPjUuNS4wLjE8L0FkZEluVmVyc2lvbj4NCiAgPElkPjAxZjFmYThkLWVkZTQtNDRiMS1iMDlhLThlZDgxYjk2ZjY2MzwvSWQ+DQogIDxBc3NvY2lhdGVXaXRoUGxhY2Vob2xkZXJJZD5mMTUxNjI1ZS01NTA5LTQ5Y2ItOGNmYS00YmIwZWNjYzBlZjE8L0Fzc29jaWF0ZVdpdGhQbGFjZWhvbGRlcklkPg0KICA8RW50cmllcz4NCiAgICA8RW50cnk+DQogICAgICA8SWQ+NTViYWQ0MGItNzFkMy00NTY1LWJlZjctOWQwNGQ2NWVkOWE1PC9JZD4NCiAgICAgIDxSZWZlcmVuY2VJZD5lY2JiNTU1YS01NDlhLTQ4ZTItYTRiMC0wYjRjYzUzYTY2ZDk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MpPC9UZXh0Pg0KICAgIDwvVGV4dFVuaXQ+DQogIDwvVGV4dFVuaXRzPg0KPC9QbGFjZWhvbGRlcj4=</w:instrText>
            </w:r>
            <w:r w:rsidRPr="007B134A">
              <w:rPr>
                <w:rFonts w:cs="Arial"/>
                <w:sz w:val="18"/>
                <w:szCs w:val="18"/>
              </w:rPr>
              <w:fldChar w:fldCharType="separate"/>
            </w:r>
            <w:bookmarkStart w:id="1448" w:name="_CTVP00101f1fa8dede444b1b09a8ed81b96f663"/>
            <w:r w:rsidRPr="007B134A">
              <w:rPr>
                <w:rFonts w:cs="Arial"/>
                <w:sz w:val="18"/>
                <w:szCs w:val="18"/>
              </w:rPr>
              <w:t>(2013)</w:t>
            </w:r>
            <w:bookmarkEnd w:id="1448"/>
            <w:r w:rsidRPr="007B134A">
              <w:rPr>
                <w:rFonts w:cs="Arial"/>
                <w:sz w:val="18"/>
                <w:szCs w:val="18"/>
              </w:rPr>
              <w:fldChar w:fldCharType="end"/>
            </w:r>
          </w:p>
        </w:tc>
      </w:tr>
      <w:tr w:rsidR="00285EF0" w:rsidRPr="007C2474" w14:paraId="63834127"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502" w:type="dxa"/>
            <w:tcBorders>
              <w:top w:val="none" w:sz="0" w:space="0" w:color="auto"/>
              <w:bottom w:val="none" w:sz="0" w:space="0" w:color="auto"/>
              <w:right w:val="none" w:sz="0" w:space="0" w:color="auto"/>
            </w:tcBorders>
          </w:tcPr>
          <w:p w14:paraId="1DAA3133" w14:textId="77777777" w:rsidR="00285EF0" w:rsidRPr="007C2474" w:rsidRDefault="00285EF0" w:rsidP="00285EF0">
            <w:pPr>
              <w:rPr>
                <w:rFonts w:cs="Arial"/>
                <w:b w:val="0"/>
                <w:sz w:val="18"/>
                <w:szCs w:val="18"/>
              </w:rPr>
            </w:pPr>
            <w:r w:rsidRPr="007C2474">
              <w:rPr>
                <w:rFonts w:cs="Arial"/>
                <w:b w:val="0"/>
                <w:color w:val="000000" w:themeColor="text1"/>
                <w:sz w:val="18"/>
                <w:szCs w:val="18"/>
              </w:rPr>
              <w:t>Rockmelon</w:t>
            </w:r>
          </w:p>
        </w:tc>
        <w:tc>
          <w:tcPr>
            <w:tcW w:w="2037" w:type="dxa"/>
            <w:tcBorders>
              <w:top w:val="none" w:sz="0" w:space="0" w:color="auto"/>
              <w:bottom w:val="none" w:sz="0" w:space="0" w:color="auto"/>
            </w:tcBorders>
            <w:shd w:val="clear" w:color="auto" w:fill="FFFFFF" w:themeFill="background1"/>
          </w:tcPr>
          <w:p w14:paraId="252E30C5" w14:textId="77777777" w:rsidR="00285EF0" w:rsidRPr="007C2474"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S. Poona</w:t>
            </w:r>
          </w:p>
        </w:tc>
        <w:tc>
          <w:tcPr>
            <w:tcW w:w="1276" w:type="dxa"/>
            <w:tcBorders>
              <w:top w:val="none" w:sz="0" w:space="0" w:color="auto"/>
              <w:bottom w:val="none" w:sz="0" w:space="0" w:color="auto"/>
            </w:tcBorders>
            <w:shd w:val="clear" w:color="auto" w:fill="FFFFFF" w:themeFill="background1"/>
          </w:tcPr>
          <w:p w14:paraId="7811B4BA"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24h</w:t>
            </w:r>
          </w:p>
        </w:tc>
        <w:tc>
          <w:tcPr>
            <w:tcW w:w="1134" w:type="dxa"/>
            <w:tcBorders>
              <w:top w:val="none" w:sz="0" w:space="0" w:color="auto"/>
              <w:bottom w:val="none" w:sz="0" w:space="0" w:color="auto"/>
            </w:tcBorders>
            <w:shd w:val="clear" w:color="auto" w:fill="FFFFFF" w:themeFill="background1"/>
          </w:tcPr>
          <w:p w14:paraId="5A4F487E"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7.0</w:t>
            </w:r>
          </w:p>
        </w:tc>
        <w:tc>
          <w:tcPr>
            <w:tcW w:w="2268" w:type="dxa"/>
            <w:tcBorders>
              <w:top w:val="none" w:sz="0" w:space="0" w:color="auto"/>
              <w:bottom w:val="none" w:sz="0" w:space="0" w:color="auto"/>
            </w:tcBorders>
            <w:shd w:val="clear" w:color="auto" w:fill="FFFFFF" w:themeFill="background1"/>
          </w:tcPr>
          <w:p w14:paraId="2E9CEC9B" w14:textId="77777777" w:rsidR="00285EF0" w:rsidRPr="007C2474"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92˚C Water</w:t>
            </w:r>
          </w:p>
        </w:tc>
        <w:tc>
          <w:tcPr>
            <w:tcW w:w="1571" w:type="dxa"/>
            <w:tcBorders>
              <w:top w:val="none" w:sz="0" w:space="0" w:color="auto"/>
              <w:bottom w:val="none" w:sz="0" w:space="0" w:color="auto"/>
            </w:tcBorders>
            <w:shd w:val="clear" w:color="auto" w:fill="FFFFFF" w:themeFill="background1"/>
          </w:tcPr>
          <w:p w14:paraId="552DC030"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1 and 1.5</w:t>
            </w:r>
          </w:p>
        </w:tc>
        <w:tc>
          <w:tcPr>
            <w:tcW w:w="1205" w:type="dxa"/>
            <w:tcBorders>
              <w:top w:val="none" w:sz="0" w:space="0" w:color="auto"/>
              <w:bottom w:val="none" w:sz="0" w:space="0" w:color="auto"/>
            </w:tcBorders>
            <w:shd w:val="clear" w:color="auto" w:fill="FFFFFF" w:themeFill="background1"/>
          </w:tcPr>
          <w:p w14:paraId="5732CF06"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5.1 and 5.9</w:t>
            </w:r>
          </w:p>
        </w:tc>
        <w:tc>
          <w:tcPr>
            <w:tcW w:w="2862" w:type="dxa"/>
            <w:tcBorders>
              <w:top w:val="none" w:sz="0" w:space="0" w:color="auto"/>
              <w:bottom w:val="none" w:sz="0" w:space="0" w:color="auto"/>
            </w:tcBorders>
            <w:shd w:val="clear" w:color="auto" w:fill="FFFFFF" w:themeFill="background1"/>
          </w:tcPr>
          <w:p w14:paraId="533CEDFF" w14:textId="77777777" w:rsidR="00285EF0" w:rsidRPr="007B134A"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fldChar w:fldCharType="begin"/>
            </w:r>
            <w:r w:rsidRPr="007B134A">
              <w:rPr>
                <w:rFonts w:cs="Arial"/>
                <w:sz w:val="18"/>
                <w:szCs w:val="18"/>
              </w:rPr>
              <w:instrText>ADDIN CITAVI.PLACEHOLDER 3442f78c-90f7-4d1c-af67-1986ed970d62 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W5ub3VzIGV0IGFsLjwvVGV4dD4NCiAgICA8L1RleHRVbml0Pg0KICA8L1RleHRVbml0cz4NCjwvUGxhY2Vob2xkZXI+</w:instrText>
            </w:r>
            <w:r w:rsidRPr="007B134A">
              <w:rPr>
                <w:rFonts w:cs="Arial"/>
                <w:sz w:val="18"/>
                <w:szCs w:val="18"/>
              </w:rPr>
              <w:fldChar w:fldCharType="separate"/>
            </w:r>
            <w:bookmarkStart w:id="1449" w:name="_CTVP0013442f78c90f74d1caf671986ed970d62"/>
            <w:r w:rsidRPr="007B134A">
              <w:rPr>
                <w:rFonts w:cs="Arial"/>
                <w:sz w:val="18"/>
                <w:szCs w:val="18"/>
              </w:rPr>
              <w:t>Annous et al.</w:t>
            </w:r>
            <w:bookmarkEnd w:id="1449"/>
            <w:r w:rsidRPr="007B134A">
              <w:rPr>
                <w:rFonts w:cs="Arial"/>
                <w:sz w:val="18"/>
                <w:szCs w:val="18"/>
              </w:rPr>
              <w:fldChar w:fldCharType="end"/>
            </w:r>
            <w:r w:rsidRPr="007B134A">
              <w:rPr>
                <w:rFonts w:cs="Arial"/>
                <w:sz w:val="18"/>
                <w:szCs w:val="18"/>
              </w:rPr>
              <w:t xml:space="preserve"> </w:t>
            </w:r>
            <w:r w:rsidRPr="007B134A">
              <w:rPr>
                <w:rFonts w:cs="Arial"/>
                <w:sz w:val="18"/>
                <w:szCs w:val="18"/>
              </w:rPr>
              <w:fldChar w:fldCharType="begin"/>
            </w:r>
            <w:r w:rsidRPr="007B134A">
              <w:rPr>
                <w:rFonts w:cs="Arial"/>
                <w:sz w:val="18"/>
                <w:szCs w:val="18"/>
              </w:rPr>
              <w:instrText>ADDIN CITAVI.PLACEHOLDER 72f8d3c3-5a1d-4934-9d4c-403b2f1b89db PFBsYWNlaG9sZGVyPg0KICA8QWRkSW5WZXJzaW9uPjUuNS4wLjE8L0FkZEluVmVyc2lvbj4NCiAgPElkPjcyZjhkM2MzLTVhMWQtNDkzNC05ZDRjLTQwM2IyZjFiODlkYjwvSWQ+DQogIDxBc3NvY2lhdGVXaXRoUGxhY2Vob2xkZXJJZD5mMTUxNjI1ZS01NTA5LTQ5Y2ItOGNmYS00YmIwZWNjYzBlZjE8L0Fzc29jaWF0ZVdpdGhQbGFjZWhvbGRlcklkPg0KICA8RW50cmllcz4NCiAgICA8RW50cnk+DQogICAgICA8SWQ+NTViYWQ0MGItNzFkMy00NTY1LWJlZjctOWQwNGQ2NWVkOWE1PC9JZD4NCiAgICAgIDxSZWZlcmVuY2VJZD5lY2JiNTU1YS01NDlhLTQ4ZTItYTRiMC0wYjRjYzUzYTY2ZDk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MpPC9UZXh0Pg0KICAgIDwvVGV4dFVuaXQ+DQogIDwvVGV4dFVuaXRzPg0KPC9QbGFjZWhvbGRlcj4=</w:instrText>
            </w:r>
            <w:r w:rsidRPr="007B134A">
              <w:rPr>
                <w:rFonts w:cs="Arial"/>
                <w:sz w:val="18"/>
                <w:szCs w:val="18"/>
              </w:rPr>
              <w:fldChar w:fldCharType="separate"/>
            </w:r>
            <w:bookmarkStart w:id="1450" w:name="_CTVP00172f8d3c35a1d49349d4c403b2f1b89db"/>
            <w:r w:rsidRPr="007B134A">
              <w:rPr>
                <w:rFonts w:cs="Arial"/>
                <w:sz w:val="18"/>
                <w:szCs w:val="18"/>
              </w:rPr>
              <w:t>(2013)</w:t>
            </w:r>
            <w:bookmarkEnd w:id="1450"/>
            <w:r w:rsidRPr="007B134A">
              <w:rPr>
                <w:rFonts w:cs="Arial"/>
                <w:sz w:val="18"/>
                <w:szCs w:val="18"/>
              </w:rPr>
              <w:fldChar w:fldCharType="end"/>
            </w:r>
          </w:p>
        </w:tc>
      </w:tr>
      <w:tr w:rsidR="00285EF0" w:rsidRPr="007C2474" w14:paraId="76D86B8C"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502" w:type="dxa"/>
            <w:tcBorders>
              <w:right w:val="none" w:sz="0" w:space="0" w:color="auto"/>
            </w:tcBorders>
          </w:tcPr>
          <w:p w14:paraId="3D675620" w14:textId="77777777" w:rsidR="00285EF0" w:rsidRPr="007C2474" w:rsidRDefault="00285EF0" w:rsidP="00285EF0">
            <w:pPr>
              <w:rPr>
                <w:rFonts w:cs="Arial"/>
                <w:b w:val="0"/>
                <w:sz w:val="18"/>
                <w:szCs w:val="18"/>
              </w:rPr>
            </w:pPr>
            <w:r w:rsidRPr="007C2474">
              <w:rPr>
                <w:rFonts w:cs="Arial"/>
                <w:b w:val="0"/>
                <w:color w:val="000000" w:themeColor="text1"/>
                <w:sz w:val="18"/>
                <w:szCs w:val="18"/>
              </w:rPr>
              <w:t>Rockmelon</w:t>
            </w:r>
          </w:p>
        </w:tc>
        <w:tc>
          <w:tcPr>
            <w:tcW w:w="2037" w:type="dxa"/>
            <w:shd w:val="clear" w:color="auto" w:fill="FFFFFF" w:themeFill="background1"/>
          </w:tcPr>
          <w:p w14:paraId="405FE51D" w14:textId="77777777" w:rsidR="00285EF0" w:rsidRPr="007C2474"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BE211F">
              <w:rPr>
                <w:rFonts w:cs="Arial"/>
                <w:i/>
                <w:sz w:val="18"/>
                <w:szCs w:val="18"/>
              </w:rPr>
              <w:t xml:space="preserve">Salmonella </w:t>
            </w:r>
            <w:r>
              <w:rPr>
                <w:rFonts w:cs="Arial"/>
                <w:iCs/>
                <w:color w:val="000000"/>
                <w:sz w:val="18"/>
                <w:szCs w:val="18"/>
              </w:rPr>
              <w:t>spp.</w:t>
            </w:r>
          </w:p>
        </w:tc>
        <w:tc>
          <w:tcPr>
            <w:tcW w:w="1276" w:type="dxa"/>
            <w:shd w:val="clear" w:color="auto" w:fill="FFFFFF" w:themeFill="background1"/>
          </w:tcPr>
          <w:p w14:paraId="39E55B0F"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24h</w:t>
            </w:r>
          </w:p>
        </w:tc>
        <w:tc>
          <w:tcPr>
            <w:tcW w:w="1134" w:type="dxa"/>
            <w:shd w:val="clear" w:color="auto" w:fill="FFFFFF" w:themeFill="background1"/>
          </w:tcPr>
          <w:p w14:paraId="2EE319E7"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5.4</w:t>
            </w:r>
          </w:p>
        </w:tc>
        <w:tc>
          <w:tcPr>
            <w:tcW w:w="2268" w:type="dxa"/>
            <w:shd w:val="clear" w:color="auto" w:fill="FFFFFF" w:themeFill="background1"/>
          </w:tcPr>
          <w:p w14:paraId="59658962" w14:textId="77777777" w:rsidR="00285EF0" w:rsidRPr="007C2474"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85˚C Water</w:t>
            </w:r>
          </w:p>
        </w:tc>
        <w:tc>
          <w:tcPr>
            <w:tcW w:w="1571" w:type="dxa"/>
            <w:shd w:val="clear" w:color="auto" w:fill="FFFFFF" w:themeFill="background1"/>
          </w:tcPr>
          <w:p w14:paraId="275465F8"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1 and 1.5</w:t>
            </w:r>
          </w:p>
        </w:tc>
        <w:tc>
          <w:tcPr>
            <w:tcW w:w="1205" w:type="dxa"/>
            <w:shd w:val="clear" w:color="auto" w:fill="FFFFFF" w:themeFill="background1"/>
          </w:tcPr>
          <w:p w14:paraId="6BD8AE1D"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4.7 and 4.5</w:t>
            </w:r>
          </w:p>
        </w:tc>
        <w:tc>
          <w:tcPr>
            <w:tcW w:w="2862" w:type="dxa"/>
            <w:shd w:val="clear" w:color="auto" w:fill="FFFFFF" w:themeFill="background1"/>
          </w:tcPr>
          <w:p w14:paraId="729C7243" w14:textId="77777777" w:rsidR="00285EF0" w:rsidRPr="007B134A"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fldChar w:fldCharType="begin"/>
            </w:r>
            <w:r w:rsidRPr="007B134A">
              <w:rPr>
                <w:rFonts w:cs="Arial"/>
                <w:sz w:val="18"/>
                <w:szCs w:val="18"/>
              </w:rPr>
              <w:instrText>ADDIN CITAVI.PLACEHOLDER d4045618-1860-473a-add6-5b1177ba7ca9 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29sb21vbiBldCBhbC48L1RleHQ+DQogICAgPC9UZXh0VW5pdD4NCiAgPC9UZXh0VW5pdHM+DQo8L1BsYWNlaG9sZGVyPg==</w:instrText>
            </w:r>
            <w:r w:rsidRPr="007B134A">
              <w:rPr>
                <w:rFonts w:cs="Arial"/>
                <w:sz w:val="18"/>
                <w:szCs w:val="18"/>
              </w:rPr>
              <w:fldChar w:fldCharType="separate"/>
            </w:r>
            <w:bookmarkStart w:id="1451" w:name="_CTVP001d40456181860473aadd65b1177ba7ca9"/>
            <w:r w:rsidRPr="007B134A">
              <w:rPr>
                <w:rFonts w:cs="Arial"/>
                <w:sz w:val="18"/>
                <w:szCs w:val="18"/>
              </w:rPr>
              <w:t>Solomon et al.</w:t>
            </w:r>
            <w:bookmarkEnd w:id="1451"/>
            <w:r w:rsidRPr="007B134A">
              <w:rPr>
                <w:rFonts w:cs="Arial"/>
                <w:sz w:val="18"/>
                <w:szCs w:val="18"/>
              </w:rPr>
              <w:fldChar w:fldCharType="end"/>
            </w:r>
            <w:r w:rsidRPr="007B134A">
              <w:rPr>
                <w:rFonts w:cs="Arial"/>
                <w:sz w:val="18"/>
                <w:szCs w:val="18"/>
              </w:rPr>
              <w:t xml:space="preserve"> </w:t>
            </w:r>
            <w:r w:rsidRPr="007B134A">
              <w:rPr>
                <w:rFonts w:cs="Arial"/>
                <w:sz w:val="18"/>
                <w:szCs w:val="18"/>
              </w:rPr>
              <w:fldChar w:fldCharType="begin"/>
            </w:r>
            <w:r w:rsidRPr="007B134A">
              <w:rPr>
                <w:rFonts w:cs="Arial"/>
                <w:sz w:val="18"/>
                <w:szCs w:val="18"/>
              </w:rPr>
              <w:instrText>ADDIN CITAVI.PLACEHOLDER 70bcf8a4-1ae6-4c43-8cbc-4baf7e0b90c4 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DYpPC9UZXh0Pg0KICAgIDwvVGV4dFVuaXQ+DQogIDwvVGV4dFVuaXRzPg0KPC9QbGFjZWhvbGRlcj4=</w:instrText>
            </w:r>
            <w:r w:rsidRPr="007B134A">
              <w:rPr>
                <w:rFonts w:cs="Arial"/>
                <w:sz w:val="18"/>
                <w:szCs w:val="18"/>
              </w:rPr>
              <w:fldChar w:fldCharType="separate"/>
            </w:r>
            <w:bookmarkStart w:id="1452" w:name="_CTVP00170bcf8a41ae64c438cbc4baf7e0b90c4"/>
            <w:r w:rsidRPr="007B134A">
              <w:rPr>
                <w:rFonts w:cs="Arial"/>
                <w:sz w:val="18"/>
                <w:szCs w:val="18"/>
              </w:rPr>
              <w:t>(2006)</w:t>
            </w:r>
            <w:bookmarkEnd w:id="1452"/>
            <w:r w:rsidRPr="007B134A">
              <w:rPr>
                <w:rFonts w:cs="Arial"/>
                <w:sz w:val="18"/>
                <w:szCs w:val="18"/>
              </w:rPr>
              <w:fldChar w:fldCharType="end"/>
            </w:r>
          </w:p>
        </w:tc>
      </w:tr>
      <w:tr w:rsidR="00285EF0" w:rsidRPr="007C2474" w14:paraId="324DEE33"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502" w:type="dxa"/>
            <w:tcBorders>
              <w:top w:val="none" w:sz="0" w:space="0" w:color="auto"/>
              <w:bottom w:val="none" w:sz="0" w:space="0" w:color="auto"/>
              <w:right w:val="none" w:sz="0" w:space="0" w:color="auto"/>
            </w:tcBorders>
          </w:tcPr>
          <w:p w14:paraId="67A2D9C3" w14:textId="77777777" w:rsidR="00285EF0" w:rsidRPr="007C2474" w:rsidRDefault="00285EF0" w:rsidP="00285EF0">
            <w:pPr>
              <w:rPr>
                <w:rFonts w:cs="Arial"/>
                <w:b w:val="0"/>
                <w:sz w:val="18"/>
                <w:szCs w:val="18"/>
              </w:rPr>
            </w:pPr>
            <w:r w:rsidRPr="007C2474">
              <w:rPr>
                <w:rFonts w:cs="Arial"/>
                <w:b w:val="0"/>
                <w:color w:val="000000" w:themeColor="text1"/>
                <w:sz w:val="18"/>
                <w:szCs w:val="18"/>
              </w:rPr>
              <w:t>Rockmelon</w:t>
            </w:r>
          </w:p>
        </w:tc>
        <w:tc>
          <w:tcPr>
            <w:tcW w:w="2037" w:type="dxa"/>
            <w:tcBorders>
              <w:top w:val="none" w:sz="0" w:space="0" w:color="auto"/>
              <w:bottom w:val="none" w:sz="0" w:space="0" w:color="auto"/>
            </w:tcBorders>
            <w:shd w:val="clear" w:color="auto" w:fill="FFFFFF" w:themeFill="background1"/>
          </w:tcPr>
          <w:p w14:paraId="6D88EA13" w14:textId="77777777" w:rsidR="00285EF0" w:rsidRPr="007C2474"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E211F">
              <w:rPr>
                <w:rFonts w:cs="Arial"/>
                <w:i/>
                <w:sz w:val="18"/>
                <w:szCs w:val="18"/>
              </w:rPr>
              <w:t xml:space="preserve">Salmonella </w:t>
            </w:r>
            <w:r>
              <w:rPr>
                <w:rFonts w:cs="Arial"/>
                <w:iCs/>
                <w:color w:val="000000"/>
                <w:sz w:val="18"/>
                <w:szCs w:val="18"/>
              </w:rPr>
              <w:t>spp.</w:t>
            </w:r>
          </w:p>
        </w:tc>
        <w:tc>
          <w:tcPr>
            <w:tcW w:w="1276" w:type="dxa"/>
            <w:tcBorders>
              <w:top w:val="none" w:sz="0" w:space="0" w:color="auto"/>
              <w:bottom w:val="none" w:sz="0" w:space="0" w:color="auto"/>
            </w:tcBorders>
            <w:shd w:val="clear" w:color="auto" w:fill="FFFFFF" w:themeFill="background1"/>
          </w:tcPr>
          <w:p w14:paraId="3888CBBF"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1h</w:t>
            </w:r>
          </w:p>
        </w:tc>
        <w:tc>
          <w:tcPr>
            <w:tcW w:w="1134" w:type="dxa"/>
            <w:tcBorders>
              <w:top w:val="none" w:sz="0" w:space="0" w:color="auto"/>
              <w:bottom w:val="none" w:sz="0" w:space="0" w:color="auto"/>
            </w:tcBorders>
            <w:shd w:val="clear" w:color="auto" w:fill="FFFFFF" w:themeFill="background1"/>
          </w:tcPr>
          <w:p w14:paraId="72FD2724"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6.9</w:t>
            </w:r>
          </w:p>
        </w:tc>
        <w:tc>
          <w:tcPr>
            <w:tcW w:w="2268" w:type="dxa"/>
            <w:tcBorders>
              <w:top w:val="none" w:sz="0" w:space="0" w:color="auto"/>
              <w:bottom w:val="none" w:sz="0" w:space="0" w:color="auto"/>
            </w:tcBorders>
            <w:shd w:val="clear" w:color="auto" w:fill="FFFFFF" w:themeFill="background1"/>
          </w:tcPr>
          <w:p w14:paraId="74D3783A" w14:textId="77777777" w:rsidR="00285EF0" w:rsidRPr="007C2474"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96˚C Water</w:t>
            </w:r>
          </w:p>
        </w:tc>
        <w:tc>
          <w:tcPr>
            <w:tcW w:w="1571" w:type="dxa"/>
            <w:tcBorders>
              <w:top w:val="none" w:sz="0" w:space="0" w:color="auto"/>
              <w:bottom w:val="none" w:sz="0" w:space="0" w:color="auto"/>
            </w:tcBorders>
            <w:shd w:val="clear" w:color="auto" w:fill="FFFFFF" w:themeFill="background1"/>
          </w:tcPr>
          <w:p w14:paraId="6FB8357D"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2</w:t>
            </w:r>
          </w:p>
        </w:tc>
        <w:tc>
          <w:tcPr>
            <w:tcW w:w="1205" w:type="dxa"/>
            <w:tcBorders>
              <w:top w:val="none" w:sz="0" w:space="0" w:color="auto"/>
              <w:bottom w:val="none" w:sz="0" w:space="0" w:color="auto"/>
            </w:tcBorders>
            <w:shd w:val="clear" w:color="auto" w:fill="FFFFFF" w:themeFill="background1"/>
          </w:tcPr>
          <w:p w14:paraId="08E8F652"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4.6</w:t>
            </w:r>
          </w:p>
        </w:tc>
        <w:tc>
          <w:tcPr>
            <w:tcW w:w="2862" w:type="dxa"/>
            <w:tcBorders>
              <w:top w:val="none" w:sz="0" w:space="0" w:color="auto"/>
              <w:bottom w:val="none" w:sz="0" w:space="0" w:color="auto"/>
            </w:tcBorders>
            <w:shd w:val="clear" w:color="auto" w:fill="FFFFFF" w:themeFill="background1"/>
          </w:tcPr>
          <w:p w14:paraId="6C3E6FA5" w14:textId="77777777" w:rsidR="00285EF0" w:rsidRPr="007B134A"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fldChar w:fldCharType="begin"/>
            </w:r>
            <w:r w:rsidRPr="007B134A">
              <w:rPr>
                <w:rFonts w:cs="Arial"/>
                <w:sz w:val="18"/>
                <w:szCs w:val="18"/>
              </w:rPr>
              <w:instrText>ADDIN CITAVI.PLACEHOLDER f1b5b3e4-c936-4e94-b5bf-4ce9835b80c0 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VWt1a3UgYW5kIEZlZXQ8L1RleHQ+DQogICAgPC9UZXh0VW5pdD4NCiAgPC9UZXh0VW5pdHM+DQo8L1BsYWNlaG9sZGVyPg==</w:instrText>
            </w:r>
            <w:r w:rsidRPr="007B134A">
              <w:rPr>
                <w:rFonts w:cs="Arial"/>
                <w:sz w:val="18"/>
                <w:szCs w:val="18"/>
              </w:rPr>
              <w:fldChar w:fldCharType="separate"/>
            </w:r>
            <w:bookmarkStart w:id="1453" w:name="_CTVP001f1b5b3e4c9364e94b5bf4ce9835b80c0"/>
            <w:r w:rsidRPr="007B134A">
              <w:rPr>
                <w:rFonts w:cs="Arial"/>
                <w:sz w:val="18"/>
                <w:szCs w:val="18"/>
              </w:rPr>
              <w:t>Ukuku and Feet</w:t>
            </w:r>
            <w:bookmarkEnd w:id="1453"/>
            <w:r w:rsidRPr="007B134A">
              <w:rPr>
                <w:rFonts w:cs="Arial"/>
                <w:sz w:val="18"/>
                <w:szCs w:val="18"/>
              </w:rPr>
              <w:fldChar w:fldCharType="end"/>
            </w:r>
            <w:r w:rsidRPr="007B134A">
              <w:rPr>
                <w:rFonts w:cs="Arial"/>
                <w:sz w:val="18"/>
                <w:szCs w:val="18"/>
              </w:rPr>
              <w:t xml:space="preserve"> </w:t>
            </w:r>
            <w:r w:rsidRPr="007B134A">
              <w:rPr>
                <w:rFonts w:cs="Arial"/>
                <w:sz w:val="18"/>
                <w:szCs w:val="18"/>
              </w:rPr>
              <w:fldChar w:fldCharType="begin"/>
            </w:r>
            <w:r w:rsidRPr="007B134A">
              <w:rPr>
                <w:rFonts w:cs="Arial"/>
                <w:sz w:val="18"/>
                <w:szCs w:val="18"/>
              </w:rPr>
              <w:instrText>ADDIN CITAVI.PLACEHOLDER f07a0e9b-7d48-46ee-aecb-77b7a839282a PFBsYWNlaG9sZGVyPg0KICA8QWRkSW5WZXJzaW9uPjUuNS4wLjE8L0FkZEluVmVyc2lvbj4NCiAgPElkPmYwN2EwZTliLTdkNDgtNDZlZS1hZWNiLTc3YjdhODM5MjgyYTwvSWQ+DQogIDxBc3NvY2lhdGVXaXRoUGxhY2Vob2xkZXJJZD5mMWI1YjNlNC1jOTM2LTRlOTQtYjViZi00Y2U5ODM1YjgwYzA8L0Fzc29jaWF0ZVdpdGhQbGFjZWhvbGRlcklkPg0KICA8RW50cmllcz4NCiAgICA8RW50cnk+DQogICAgICA8SWQ+MWU1NmZiMTUtNjc2Yy00NTI3LWE1YTAtNDczZjgxYjdiNzY0PC9JZD4NCiAgICAgIDxSZWZlcmVuY2VJZD5lODUzNzBhZS01MzRmLTQ3ZDEtOTZmNy04N2Y2MzQzNmVhMGU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Nik8L1RleHQ+DQogICAgPC9UZXh0VW5pdD4NCiAgPC9UZXh0VW5pdHM+DQo8L1BsYWNlaG9sZGVyPg==</w:instrText>
            </w:r>
            <w:r w:rsidRPr="007B134A">
              <w:rPr>
                <w:rFonts w:cs="Arial"/>
                <w:sz w:val="18"/>
                <w:szCs w:val="18"/>
              </w:rPr>
              <w:fldChar w:fldCharType="separate"/>
            </w:r>
            <w:bookmarkStart w:id="1454" w:name="_CTVP001f07a0e9b7d4846eeaecb77b7a839282a"/>
            <w:r w:rsidRPr="007B134A">
              <w:rPr>
                <w:rFonts w:cs="Arial"/>
                <w:sz w:val="18"/>
                <w:szCs w:val="18"/>
              </w:rPr>
              <w:t>(2006)</w:t>
            </w:r>
            <w:bookmarkEnd w:id="1454"/>
            <w:r w:rsidRPr="007B134A">
              <w:rPr>
                <w:rFonts w:cs="Arial"/>
                <w:sz w:val="18"/>
                <w:szCs w:val="18"/>
              </w:rPr>
              <w:fldChar w:fldCharType="end"/>
            </w:r>
            <w:r w:rsidRPr="007B134A">
              <w:rPr>
                <w:rFonts w:cs="Arial"/>
                <w:sz w:val="18"/>
                <w:szCs w:val="18"/>
              </w:rPr>
              <w:t xml:space="preserve"> </w:t>
            </w:r>
          </w:p>
        </w:tc>
      </w:tr>
      <w:tr w:rsidR="00285EF0" w:rsidRPr="007C2474" w14:paraId="0CAA2375" w14:textId="77777777" w:rsidTr="00285EF0">
        <w:trPr>
          <w:trHeight w:val="187"/>
        </w:trPr>
        <w:tc>
          <w:tcPr>
            <w:cnfStyle w:val="001000000000" w:firstRow="0" w:lastRow="0" w:firstColumn="1" w:lastColumn="0" w:oddVBand="0" w:evenVBand="0" w:oddHBand="0" w:evenHBand="0" w:firstRowFirstColumn="0" w:firstRowLastColumn="0" w:lastRowFirstColumn="0" w:lastRowLastColumn="0"/>
            <w:tcW w:w="1502" w:type="dxa"/>
            <w:tcBorders>
              <w:right w:val="none" w:sz="0" w:space="0" w:color="auto"/>
            </w:tcBorders>
          </w:tcPr>
          <w:p w14:paraId="72B7EBAC" w14:textId="77777777" w:rsidR="00285EF0" w:rsidRPr="007C2474" w:rsidRDefault="00285EF0" w:rsidP="00285EF0">
            <w:pPr>
              <w:rPr>
                <w:rFonts w:cs="Arial"/>
                <w:b w:val="0"/>
                <w:sz w:val="18"/>
                <w:szCs w:val="18"/>
              </w:rPr>
            </w:pPr>
            <w:r w:rsidRPr="007C2474">
              <w:rPr>
                <w:rFonts w:cs="Arial"/>
                <w:b w:val="0"/>
                <w:color w:val="000000" w:themeColor="text1"/>
                <w:sz w:val="18"/>
                <w:szCs w:val="18"/>
              </w:rPr>
              <w:t>Rockmelon</w:t>
            </w:r>
          </w:p>
        </w:tc>
        <w:tc>
          <w:tcPr>
            <w:tcW w:w="2037" w:type="dxa"/>
            <w:shd w:val="clear" w:color="auto" w:fill="FFFFFF" w:themeFill="background1"/>
          </w:tcPr>
          <w:p w14:paraId="14D91AD3" w14:textId="77777777" w:rsidR="00285EF0" w:rsidRPr="007C2474" w:rsidRDefault="00285EF0" w:rsidP="00285EF0">
            <w:pPr>
              <w:cnfStyle w:val="000000000000" w:firstRow="0" w:lastRow="0" w:firstColumn="0" w:lastColumn="0" w:oddVBand="0" w:evenVBand="0" w:oddHBand="0" w:evenHBand="0" w:firstRowFirstColumn="0" w:firstRowLastColumn="0" w:lastRowFirstColumn="0" w:lastRowLastColumn="0"/>
              <w:rPr>
                <w:rFonts w:cs="Arial"/>
                <w:i/>
                <w:sz w:val="18"/>
                <w:szCs w:val="18"/>
              </w:rPr>
            </w:pPr>
            <w:r w:rsidRPr="00BE211F">
              <w:rPr>
                <w:rFonts w:cs="Arial"/>
                <w:i/>
                <w:sz w:val="18"/>
                <w:szCs w:val="18"/>
              </w:rPr>
              <w:t xml:space="preserve">Salmonella </w:t>
            </w:r>
            <w:r>
              <w:rPr>
                <w:rFonts w:cs="Arial"/>
                <w:iCs/>
                <w:color w:val="000000"/>
                <w:sz w:val="18"/>
                <w:szCs w:val="18"/>
              </w:rPr>
              <w:t>spp.</w:t>
            </w:r>
          </w:p>
        </w:tc>
        <w:tc>
          <w:tcPr>
            <w:tcW w:w="1276" w:type="dxa"/>
            <w:shd w:val="clear" w:color="auto" w:fill="FFFFFF" w:themeFill="background1"/>
          </w:tcPr>
          <w:p w14:paraId="67E6D582"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76h</w:t>
            </w:r>
          </w:p>
        </w:tc>
        <w:tc>
          <w:tcPr>
            <w:tcW w:w="1134" w:type="dxa"/>
            <w:shd w:val="clear" w:color="auto" w:fill="FFFFFF" w:themeFill="background1"/>
          </w:tcPr>
          <w:p w14:paraId="1D99D9A9"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3.5</w:t>
            </w:r>
          </w:p>
        </w:tc>
        <w:tc>
          <w:tcPr>
            <w:tcW w:w="2268" w:type="dxa"/>
            <w:shd w:val="clear" w:color="auto" w:fill="FFFFFF" w:themeFill="background1"/>
          </w:tcPr>
          <w:p w14:paraId="323FDE6B" w14:textId="77777777" w:rsidR="00285EF0" w:rsidRPr="007C2474" w:rsidRDefault="00285EF0" w:rsidP="00285EF0">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65˚C Water</w:t>
            </w:r>
          </w:p>
        </w:tc>
        <w:tc>
          <w:tcPr>
            <w:tcW w:w="1571" w:type="dxa"/>
            <w:shd w:val="clear" w:color="auto" w:fill="FFFFFF" w:themeFill="background1"/>
          </w:tcPr>
          <w:p w14:paraId="57448749"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C2474">
              <w:rPr>
                <w:rFonts w:cs="Arial"/>
                <w:sz w:val="18"/>
                <w:szCs w:val="18"/>
              </w:rPr>
              <w:t>0.75</w:t>
            </w:r>
          </w:p>
        </w:tc>
        <w:tc>
          <w:tcPr>
            <w:tcW w:w="1205" w:type="dxa"/>
            <w:shd w:val="clear" w:color="auto" w:fill="FFFFFF" w:themeFill="background1"/>
          </w:tcPr>
          <w:p w14:paraId="7B06E23E" w14:textId="77777777" w:rsidR="00285EF0" w:rsidRPr="007C2474" w:rsidRDefault="00285EF0" w:rsidP="00285EF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3.3</w:t>
            </w:r>
          </w:p>
        </w:tc>
        <w:tc>
          <w:tcPr>
            <w:tcW w:w="2862" w:type="dxa"/>
            <w:shd w:val="clear" w:color="auto" w:fill="FFFFFF" w:themeFill="background1"/>
          </w:tcPr>
          <w:p w14:paraId="522265D9" w14:textId="77777777" w:rsidR="00285EF0" w:rsidRPr="007B134A" w:rsidRDefault="00285EF0" w:rsidP="00285EF0">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B134A">
              <w:rPr>
                <w:rFonts w:cs="Arial"/>
                <w:sz w:val="18"/>
                <w:szCs w:val="18"/>
              </w:rPr>
              <w:t>Suslow and Callejas (2015)</w:t>
            </w:r>
          </w:p>
        </w:tc>
      </w:tr>
      <w:tr w:rsidR="00285EF0" w:rsidRPr="007C2474" w14:paraId="0599B954" w14:textId="77777777" w:rsidTr="00285EF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502" w:type="dxa"/>
            <w:tcBorders>
              <w:top w:val="none" w:sz="0" w:space="0" w:color="auto"/>
              <w:bottom w:val="none" w:sz="0" w:space="0" w:color="auto"/>
              <w:right w:val="none" w:sz="0" w:space="0" w:color="auto"/>
            </w:tcBorders>
          </w:tcPr>
          <w:p w14:paraId="761EE903" w14:textId="77777777" w:rsidR="00285EF0" w:rsidRPr="007C2474" w:rsidRDefault="00285EF0" w:rsidP="00285EF0">
            <w:pPr>
              <w:rPr>
                <w:rFonts w:cs="Arial"/>
                <w:b w:val="0"/>
                <w:sz w:val="18"/>
                <w:szCs w:val="18"/>
              </w:rPr>
            </w:pPr>
            <w:r w:rsidRPr="007C2474">
              <w:rPr>
                <w:rFonts w:cs="Arial"/>
                <w:b w:val="0"/>
                <w:color w:val="000000" w:themeColor="text1"/>
                <w:sz w:val="18"/>
                <w:szCs w:val="18"/>
              </w:rPr>
              <w:t>Rockmelon</w:t>
            </w:r>
          </w:p>
        </w:tc>
        <w:tc>
          <w:tcPr>
            <w:tcW w:w="2037" w:type="dxa"/>
            <w:tcBorders>
              <w:top w:val="none" w:sz="0" w:space="0" w:color="auto"/>
              <w:bottom w:val="none" w:sz="0" w:space="0" w:color="auto"/>
            </w:tcBorders>
            <w:shd w:val="clear" w:color="auto" w:fill="FFFFFF" w:themeFill="background1"/>
          </w:tcPr>
          <w:p w14:paraId="1ADE0A0F" w14:textId="77777777" w:rsidR="00285EF0" w:rsidRPr="007C2474" w:rsidRDefault="00285EF0" w:rsidP="00285EF0">
            <w:pPr>
              <w:cnfStyle w:val="000000100000" w:firstRow="0" w:lastRow="0" w:firstColumn="0" w:lastColumn="0" w:oddVBand="0" w:evenVBand="0" w:oddHBand="1" w:evenHBand="0" w:firstRowFirstColumn="0" w:firstRowLastColumn="0" w:lastRowFirstColumn="0" w:lastRowLastColumn="0"/>
              <w:rPr>
                <w:rFonts w:cs="Arial"/>
                <w:i/>
                <w:sz w:val="18"/>
                <w:szCs w:val="18"/>
              </w:rPr>
            </w:pPr>
            <w:r w:rsidRPr="00BE211F">
              <w:rPr>
                <w:rFonts w:cs="Arial"/>
                <w:i/>
                <w:sz w:val="18"/>
                <w:szCs w:val="18"/>
              </w:rPr>
              <w:t xml:space="preserve">Salmonella </w:t>
            </w:r>
            <w:r>
              <w:rPr>
                <w:rFonts w:cs="Arial"/>
                <w:iCs/>
                <w:color w:val="000000"/>
                <w:sz w:val="18"/>
                <w:szCs w:val="18"/>
              </w:rPr>
              <w:t>spp.</w:t>
            </w:r>
          </w:p>
        </w:tc>
        <w:tc>
          <w:tcPr>
            <w:tcW w:w="1276" w:type="dxa"/>
            <w:tcBorders>
              <w:top w:val="none" w:sz="0" w:space="0" w:color="auto"/>
              <w:bottom w:val="none" w:sz="0" w:space="0" w:color="auto"/>
            </w:tcBorders>
            <w:shd w:val="clear" w:color="auto" w:fill="FFFFFF" w:themeFill="background1"/>
          </w:tcPr>
          <w:p w14:paraId="53349F90"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76h</w:t>
            </w:r>
          </w:p>
        </w:tc>
        <w:tc>
          <w:tcPr>
            <w:tcW w:w="1134" w:type="dxa"/>
            <w:tcBorders>
              <w:top w:val="none" w:sz="0" w:space="0" w:color="auto"/>
              <w:bottom w:val="none" w:sz="0" w:space="0" w:color="auto"/>
            </w:tcBorders>
            <w:shd w:val="clear" w:color="auto" w:fill="FFFFFF" w:themeFill="background1"/>
          </w:tcPr>
          <w:p w14:paraId="24DA4768"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3.5</w:t>
            </w:r>
          </w:p>
        </w:tc>
        <w:tc>
          <w:tcPr>
            <w:tcW w:w="2268" w:type="dxa"/>
            <w:tcBorders>
              <w:top w:val="none" w:sz="0" w:space="0" w:color="auto"/>
              <w:bottom w:val="none" w:sz="0" w:space="0" w:color="auto"/>
            </w:tcBorders>
            <w:shd w:val="clear" w:color="auto" w:fill="FFFFFF" w:themeFill="background1"/>
          </w:tcPr>
          <w:p w14:paraId="64F2306E" w14:textId="77777777" w:rsidR="00285EF0" w:rsidRPr="007C2474" w:rsidRDefault="00285EF0" w:rsidP="00285EF0">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65˚C Water + 30ppm PAA spray</w:t>
            </w:r>
          </w:p>
        </w:tc>
        <w:tc>
          <w:tcPr>
            <w:tcW w:w="1571" w:type="dxa"/>
            <w:tcBorders>
              <w:top w:val="none" w:sz="0" w:space="0" w:color="auto"/>
              <w:bottom w:val="none" w:sz="0" w:space="0" w:color="auto"/>
            </w:tcBorders>
            <w:shd w:val="clear" w:color="auto" w:fill="FFFFFF" w:themeFill="background1"/>
          </w:tcPr>
          <w:p w14:paraId="3A38C906"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0.75</w:t>
            </w:r>
          </w:p>
        </w:tc>
        <w:tc>
          <w:tcPr>
            <w:tcW w:w="1205" w:type="dxa"/>
            <w:tcBorders>
              <w:top w:val="none" w:sz="0" w:space="0" w:color="auto"/>
              <w:bottom w:val="none" w:sz="0" w:space="0" w:color="auto"/>
            </w:tcBorders>
            <w:shd w:val="clear" w:color="auto" w:fill="FFFFFF" w:themeFill="background1"/>
          </w:tcPr>
          <w:p w14:paraId="2F84B596" w14:textId="77777777" w:rsidR="00285EF0" w:rsidRPr="007C2474" w:rsidRDefault="00285EF0" w:rsidP="00285EF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C2474">
              <w:rPr>
                <w:rFonts w:cs="Arial"/>
                <w:sz w:val="18"/>
                <w:szCs w:val="18"/>
              </w:rPr>
              <w:t>2.8</w:t>
            </w:r>
          </w:p>
        </w:tc>
        <w:tc>
          <w:tcPr>
            <w:tcW w:w="2862" w:type="dxa"/>
            <w:tcBorders>
              <w:top w:val="none" w:sz="0" w:space="0" w:color="auto"/>
              <w:bottom w:val="none" w:sz="0" w:space="0" w:color="auto"/>
            </w:tcBorders>
            <w:shd w:val="clear" w:color="auto" w:fill="FFFFFF" w:themeFill="background1"/>
          </w:tcPr>
          <w:p w14:paraId="1136FD22" w14:textId="77777777" w:rsidR="00285EF0" w:rsidRPr="007B134A" w:rsidRDefault="00285EF0" w:rsidP="00285EF0">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B134A">
              <w:rPr>
                <w:rFonts w:cs="Arial"/>
                <w:sz w:val="18"/>
                <w:szCs w:val="18"/>
              </w:rPr>
              <w:t>Suslow and Callejas (2015)</w:t>
            </w:r>
          </w:p>
        </w:tc>
      </w:tr>
    </w:tbl>
    <w:p w14:paraId="756772ED" w14:textId="77777777" w:rsidR="00285EF0" w:rsidRDefault="00285EF0" w:rsidP="00285EF0">
      <w:pPr>
        <w:widowControl/>
        <w:rPr>
          <w:rFonts w:cs="Arial"/>
        </w:rPr>
      </w:pPr>
    </w:p>
    <w:p w14:paraId="162A7299" w14:textId="77777777" w:rsidR="008B6B64" w:rsidRPr="00145A61" w:rsidRDefault="00285EF0" w:rsidP="00787E56">
      <w:pPr>
        <w:pStyle w:val="Heading3"/>
      </w:pPr>
      <w:bookmarkStart w:id="1455" w:name="_Toc66881491"/>
      <w:bookmarkStart w:id="1456" w:name="_Toc66883117"/>
      <w:bookmarkStart w:id="1457" w:name="_Toc87614516"/>
      <w:bookmarkStart w:id="1458" w:name="_Toc87860155"/>
      <w:r>
        <w:t>References</w:t>
      </w:r>
      <w:bookmarkEnd w:id="1455"/>
      <w:bookmarkEnd w:id="1456"/>
      <w:bookmarkEnd w:id="1457"/>
      <w:bookmarkEnd w:id="1458"/>
    </w:p>
    <w:p w14:paraId="48122FFB" w14:textId="5AA68515" w:rsidR="00285EF0" w:rsidRPr="008B6B64" w:rsidRDefault="00285EF0" w:rsidP="008B6B64">
      <w:pPr>
        <w:spacing w:after="120"/>
        <w:rPr>
          <w:sz w:val="20"/>
          <w:szCs w:val="20"/>
        </w:rPr>
      </w:pPr>
      <w:r w:rsidRPr="008B6B64">
        <w:rPr>
          <w:sz w:val="20"/>
          <w:szCs w:val="20"/>
        </w:rPr>
        <w:t>Annous BA, Burke A, Sites JE, Phillip JG (2013) Commercial th</w:t>
      </w:r>
      <w:r w:rsidR="00C91325">
        <w:rPr>
          <w:sz w:val="20"/>
          <w:szCs w:val="20"/>
        </w:rPr>
        <w:t xml:space="preserve">ermal process for inactivating </w:t>
      </w:r>
      <w:r w:rsidR="00C91325" w:rsidRPr="00C91325">
        <w:rPr>
          <w:i/>
          <w:sz w:val="20"/>
          <w:szCs w:val="20"/>
        </w:rPr>
        <w:t>S</w:t>
      </w:r>
      <w:r w:rsidRPr="00C91325">
        <w:rPr>
          <w:i/>
          <w:sz w:val="20"/>
          <w:szCs w:val="20"/>
        </w:rPr>
        <w:t>almonella</w:t>
      </w:r>
      <w:r w:rsidR="00C91325">
        <w:rPr>
          <w:sz w:val="20"/>
          <w:szCs w:val="20"/>
        </w:rPr>
        <w:t xml:space="preserve"> P</w:t>
      </w:r>
      <w:r w:rsidRPr="008B6B64">
        <w:rPr>
          <w:sz w:val="20"/>
          <w:szCs w:val="20"/>
        </w:rPr>
        <w:t>oona on surfaces of whole fresh cantaloupes</w:t>
      </w:r>
      <w:r w:rsidR="008B6B64">
        <w:rPr>
          <w:sz w:val="20"/>
          <w:szCs w:val="20"/>
        </w:rPr>
        <w:t xml:space="preserve">. Journal of </w:t>
      </w:r>
      <w:r w:rsidRPr="008B6B64">
        <w:rPr>
          <w:sz w:val="20"/>
          <w:szCs w:val="20"/>
        </w:rPr>
        <w:t>Food Prot</w:t>
      </w:r>
      <w:r w:rsidR="008B6B64">
        <w:rPr>
          <w:sz w:val="20"/>
          <w:szCs w:val="20"/>
        </w:rPr>
        <w:t>ection</w:t>
      </w:r>
      <w:r w:rsidRPr="008B6B64">
        <w:rPr>
          <w:sz w:val="20"/>
          <w:szCs w:val="20"/>
        </w:rPr>
        <w:t xml:space="preserve"> 76:420</w:t>
      </w:r>
      <w:r w:rsidR="00114E57">
        <w:rPr>
          <w:sz w:val="20"/>
          <w:szCs w:val="20"/>
        </w:rPr>
        <w:t xml:space="preserve">. </w:t>
      </w:r>
      <w:hyperlink r:id="rId625" w:history="1">
        <w:r w:rsidR="00114E57" w:rsidRPr="00D708E0">
          <w:rPr>
            <w:rStyle w:val="Hyperlink"/>
            <w:sz w:val="20"/>
            <w:szCs w:val="20"/>
          </w:rPr>
          <w:t>https://doi.org/10.4315/0362-028X.JFP-12-414</w:t>
        </w:r>
      </w:hyperlink>
    </w:p>
    <w:p w14:paraId="7CC795C8" w14:textId="5F3018D6" w:rsidR="00285EF0" w:rsidRPr="00F458ED" w:rsidRDefault="00285EF0" w:rsidP="00285EF0">
      <w:pPr>
        <w:pStyle w:val="CitaviBibliographyEntry"/>
        <w:spacing w:after="120"/>
        <w:ind w:left="0" w:firstLine="0"/>
        <w:rPr>
          <w:sz w:val="20"/>
          <w:szCs w:val="20"/>
        </w:rPr>
      </w:pPr>
      <w:r w:rsidRPr="00F458ED">
        <w:rPr>
          <w:sz w:val="20"/>
          <w:szCs w:val="20"/>
        </w:rPr>
        <w:t xml:space="preserve">Solomon EB, Huang L, Sites JE, Annous BA (2006) Thermal inactivation of </w:t>
      </w:r>
      <w:r w:rsidRPr="0045260F">
        <w:rPr>
          <w:i/>
          <w:sz w:val="20"/>
          <w:szCs w:val="20"/>
        </w:rPr>
        <w:t>Salmonella</w:t>
      </w:r>
      <w:r w:rsidRPr="00F458ED">
        <w:rPr>
          <w:sz w:val="20"/>
          <w:szCs w:val="20"/>
        </w:rPr>
        <w:t xml:space="preserve"> on cantaloupes using hot water. Journal of Food Science 71:M25-M30</w:t>
      </w:r>
      <w:r w:rsidR="00114E57">
        <w:rPr>
          <w:sz w:val="20"/>
          <w:szCs w:val="20"/>
        </w:rPr>
        <w:t xml:space="preserve">. </w:t>
      </w:r>
      <w:hyperlink r:id="rId626" w:history="1">
        <w:r w:rsidR="00114E57" w:rsidRPr="00D708E0">
          <w:rPr>
            <w:rStyle w:val="Hyperlink"/>
            <w:sz w:val="20"/>
            <w:szCs w:val="20"/>
          </w:rPr>
          <w:t>https://doi.org/10.1111/j.1365-2621.2006.tb08903.x|</w:t>
        </w:r>
      </w:hyperlink>
    </w:p>
    <w:p w14:paraId="0FCA258D" w14:textId="3984658C" w:rsidR="00285EF0" w:rsidRPr="00F458ED" w:rsidRDefault="00285EF0" w:rsidP="00285EF0">
      <w:pPr>
        <w:pStyle w:val="CitaviBibliographyEntry"/>
        <w:spacing w:after="120"/>
        <w:ind w:left="0" w:firstLine="0"/>
        <w:rPr>
          <w:sz w:val="20"/>
          <w:szCs w:val="20"/>
        </w:rPr>
      </w:pPr>
      <w:r w:rsidRPr="00F458ED">
        <w:rPr>
          <w:sz w:val="20"/>
          <w:szCs w:val="20"/>
        </w:rPr>
        <w:t>Suslow T, Callejas AT (2015) Practical validation of surface pasteuri</w:t>
      </w:r>
      <w:r w:rsidR="0045260F">
        <w:rPr>
          <w:sz w:val="20"/>
          <w:szCs w:val="20"/>
        </w:rPr>
        <w:t>zation of netted melons. Center </w:t>
      </w:r>
      <w:r w:rsidRPr="00F458ED">
        <w:rPr>
          <w:sz w:val="20"/>
          <w:szCs w:val="20"/>
        </w:rPr>
        <w:t xml:space="preserve">for Produce Safety, Woodland. </w:t>
      </w:r>
      <w:hyperlink r:id="rId627" w:history="1">
        <w:r w:rsidRPr="00F458ED">
          <w:rPr>
            <w:rStyle w:val="Hyperlink"/>
            <w:sz w:val="20"/>
            <w:szCs w:val="20"/>
          </w:rPr>
          <w:t>https://www.centerforproducesafety.org/researchproject/348/awards/Practical_validation_of_surface_pasteurization_of_netted_melons.html</w:t>
        </w:r>
      </w:hyperlink>
      <w:r>
        <w:rPr>
          <w:sz w:val="20"/>
          <w:szCs w:val="20"/>
        </w:rPr>
        <w:t>. Accessed 17 </w:t>
      </w:r>
      <w:r w:rsidRPr="00F458ED">
        <w:rPr>
          <w:sz w:val="20"/>
          <w:szCs w:val="20"/>
        </w:rPr>
        <w:t>December 2020</w:t>
      </w:r>
    </w:p>
    <w:p w14:paraId="41B2ACC9" w14:textId="6C783ED6" w:rsidR="00597EE7" w:rsidRPr="00F458ED" w:rsidRDefault="00285EF0" w:rsidP="00285EF0">
      <w:pPr>
        <w:pStyle w:val="CitaviBibliographyEntry"/>
        <w:spacing w:after="120"/>
        <w:ind w:left="0" w:firstLine="0"/>
        <w:rPr>
          <w:sz w:val="20"/>
          <w:szCs w:val="20"/>
        </w:rPr>
      </w:pPr>
      <w:bookmarkStart w:id="1459" w:name="_CTVL001e85370ae534f47d196f787f63436ea0e"/>
      <w:r w:rsidRPr="00F458ED">
        <w:rPr>
          <w:sz w:val="20"/>
          <w:szCs w:val="20"/>
        </w:rPr>
        <w:t>Ukuku DO, Feet WF (2006) Effects of cell surface charge and hydrophobicity on attachmen</w:t>
      </w:r>
      <w:r w:rsidR="0045260F">
        <w:rPr>
          <w:sz w:val="20"/>
          <w:szCs w:val="20"/>
        </w:rPr>
        <w:t>t of 16 </w:t>
      </w:r>
      <w:r w:rsidRPr="0045260F">
        <w:rPr>
          <w:i/>
          <w:sz w:val="20"/>
          <w:szCs w:val="20"/>
        </w:rPr>
        <w:t>Salmonella</w:t>
      </w:r>
      <w:r w:rsidRPr="00F458ED">
        <w:rPr>
          <w:sz w:val="20"/>
          <w:szCs w:val="20"/>
        </w:rPr>
        <w:t xml:space="preserve"> serovars to cantaloupe rind and decontamination with sanitizers. J</w:t>
      </w:r>
      <w:r w:rsidR="008B6B64">
        <w:rPr>
          <w:sz w:val="20"/>
          <w:szCs w:val="20"/>
        </w:rPr>
        <w:t>ournal of</w:t>
      </w:r>
      <w:r w:rsidRPr="00F458ED">
        <w:rPr>
          <w:sz w:val="20"/>
          <w:szCs w:val="20"/>
        </w:rPr>
        <w:t xml:space="preserve"> Food Prot</w:t>
      </w:r>
      <w:r w:rsidR="008B6B64">
        <w:rPr>
          <w:sz w:val="20"/>
          <w:szCs w:val="20"/>
        </w:rPr>
        <w:t>ection</w:t>
      </w:r>
      <w:r w:rsidRPr="00F458ED">
        <w:rPr>
          <w:sz w:val="20"/>
          <w:szCs w:val="20"/>
        </w:rPr>
        <w:t xml:space="preserve"> 69:1835</w:t>
      </w:r>
      <w:r w:rsidR="00597EE7">
        <w:rPr>
          <w:sz w:val="20"/>
          <w:szCs w:val="20"/>
        </w:rPr>
        <w:t xml:space="preserve">-1843. </w:t>
      </w:r>
      <w:hyperlink r:id="rId628" w:history="1">
        <w:r w:rsidR="00F96FD2" w:rsidRPr="00C72075">
          <w:rPr>
            <w:rStyle w:val="Hyperlink"/>
            <w:sz w:val="20"/>
            <w:szCs w:val="20"/>
          </w:rPr>
          <w:t>https://doi.org/10.4315/0362-028x-69.8.1835</w:t>
        </w:r>
      </w:hyperlink>
    </w:p>
    <w:bookmarkEnd w:id="1459"/>
    <w:p w14:paraId="3AA9AD6C" w14:textId="77777777" w:rsidR="00285EF0" w:rsidRPr="00F458ED" w:rsidRDefault="00285EF0" w:rsidP="00285EF0">
      <w:pPr>
        <w:pStyle w:val="CitaviBibliographyEntry"/>
        <w:spacing w:after="120"/>
        <w:ind w:left="0" w:firstLine="0"/>
        <w:rPr>
          <w:sz w:val="20"/>
          <w:szCs w:val="20"/>
        </w:rPr>
      </w:pPr>
      <w:r w:rsidRPr="00F458ED">
        <w:rPr>
          <w:sz w:val="20"/>
          <w:szCs w:val="20"/>
        </w:rPr>
        <w:t xml:space="preserve">Ukuku DO, Geveke DJ, Chau L, Niemira BA (2016) Microbial safety and overall quality of cantaloupe fresh-cut pieces prepared from whole fruit after wet steam treatment. International Journal of Food Microbiology 231:86–92. </w:t>
      </w:r>
      <w:hyperlink r:id="rId629" w:history="1">
        <w:r w:rsidRPr="00F458ED">
          <w:rPr>
            <w:rStyle w:val="Hyperlink"/>
            <w:sz w:val="20"/>
            <w:szCs w:val="20"/>
          </w:rPr>
          <w:t>https://doi.org/10.1016/j.ijfoodmicro.2016.05.019</w:t>
        </w:r>
      </w:hyperlink>
    </w:p>
    <w:sectPr w:rsidR="00285EF0" w:rsidRPr="00F458ED" w:rsidSect="00597EE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696577" w14:textId="77777777" w:rsidR="00C97803" w:rsidRDefault="00C97803">
      <w:r>
        <w:separator/>
      </w:r>
    </w:p>
  </w:endnote>
  <w:endnote w:type="continuationSeparator" w:id="0">
    <w:p w14:paraId="3EE6DA92" w14:textId="77777777" w:rsidR="00C97803" w:rsidRDefault="00C97803">
      <w:r>
        <w:continuationSeparator/>
      </w:r>
    </w:p>
  </w:endnote>
  <w:endnote w:type="continuationNotice" w:id="1">
    <w:p w14:paraId="1645094B" w14:textId="77777777" w:rsidR="00C97803" w:rsidRDefault="00C978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Myriad Pro"/>
    <w:panose1 w:val="00000000000000000000"/>
    <w:charset w:val="00"/>
    <w:family w:val="swiss"/>
    <w:notTrueType/>
    <w:pitch w:val="variable"/>
    <w:sig w:usb0="00000001" w:usb1="00000001" w:usb2="00000000" w:usb3="00000000" w:csb0="0000019F" w:csb1="00000000"/>
  </w:font>
  <w:font w:name="Helvetica Neue">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OpenSans">
    <w:altName w:val="MS Gothic"/>
    <w:panose1 w:val="00000000000000000000"/>
    <w:charset w:val="80"/>
    <w:family w:val="auto"/>
    <w:notTrueType/>
    <w:pitch w:val="default"/>
    <w:sig w:usb0="00000003" w:usb1="08070000" w:usb2="00000010" w:usb3="00000000" w:csb0="00020001" w:csb1="00000000"/>
  </w:font>
  <w:font w:name="Source Sans Pro">
    <w:altName w:val="Times New Roman"/>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750A" w14:textId="25F89E1C" w:rsidR="002C4240" w:rsidRDefault="002C4240" w:rsidP="006B32C8">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end"/>
    </w:r>
  </w:p>
  <w:p w14:paraId="210AC100" w14:textId="77777777" w:rsidR="002C4240" w:rsidRDefault="002C4240" w:rsidP="00B005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95107" w14:textId="5EB6B93D" w:rsidR="002C4240" w:rsidRDefault="002C4240"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072D">
      <w:rPr>
        <w:rStyle w:val="PageNumber"/>
        <w:noProof/>
      </w:rPr>
      <w:t>i</w:t>
    </w:r>
    <w:r>
      <w:rPr>
        <w:rStyle w:val="PageNumber"/>
      </w:rPr>
      <w:fldChar w:fldCharType="end"/>
    </w:r>
  </w:p>
  <w:p w14:paraId="7C4636D5" w14:textId="77777777" w:rsidR="002C4240" w:rsidRDefault="002C4240" w:rsidP="00FA634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37B83" w14:textId="13653560" w:rsidR="002C4240" w:rsidRPr="003973C5" w:rsidRDefault="002C4240" w:rsidP="00837C34">
    <w:pPr>
      <w:pStyle w:val="Header"/>
      <w:jc w:val="center"/>
    </w:pPr>
    <w:r>
      <w:fldChar w:fldCharType="begin" w:fldLock="1"/>
    </w:r>
    <w:r>
      <w:instrText xml:space="preserve"> DOCPROPERTY bjHeaderBothDocProperty \* MERGEFORMAT </w:instrText>
    </w:r>
    <w:r>
      <w:fldChar w:fldCharType="separate"/>
    </w:r>
    <w:r>
      <w:rPr>
        <w:b/>
        <w:bCs/>
        <w:lang w:val="en-US"/>
      </w:rPr>
      <w:t>Error! Unknown document property name.</w:t>
    </w:r>
    <w:r>
      <w:fldChar w:fldCharType="end"/>
    </w:r>
  </w:p>
  <w:p w14:paraId="6146518A" w14:textId="77777777" w:rsidR="002C4240" w:rsidRDefault="002C4240" w:rsidP="00837C34">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end"/>
    </w:r>
  </w:p>
  <w:p w14:paraId="61B30C33" w14:textId="77777777" w:rsidR="002C4240" w:rsidRDefault="002C4240" w:rsidP="00837C34">
    <w:pPr>
      <w:pStyle w:val="Footer"/>
    </w:pPr>
  </w:p>
  <w:p w14:paraId="2CE7DE0A" w14:textId="77777777" w:rsidR="002C4240" w:rsidRPr="003973C5" w:rsidRDefault="002C4240" w:rsidP="00837C34">
    <w:pPr>
      <w:pStyle w:val="Footer"/>
      <w:framePr w:wrap="around" w:vAnchor="text" w:hAnchor="margin" w:xAlign="center" w:y="1"/>
      <w:jc w:val="center"/>
      <w:rPr>
        <w:rStyle w:val="PageNumber"/>
        <w:rFonts w:ascii="Calibri" w:hAnsi="Calibri" w:cs="Calibri"/>
        <w:b/>
        <w:color w:val="F00000"/>
        <w:sz w:val="24"/>
      </w:rPr>
    </w:pPr>
    <w:r>
      <w:rPr>
        <w:rStyle w:val="PageNumber"/>
      </w:rPr>
      <w:t xml:space="preserve">RTY bjFooterEvenPageDocProperty \* MERGEFORMAT </w:t>
    </w:r>
    <w:r w:rsidRPr="003973C5">
      <w:rPr>
        <w:rStyle w:val="PageNumber"/>
        <w:rFonts w:ascii="Calibri" w:hAnsi="Calibri" w:cs="Calibri"/>
        <w:b/>
        <w:color w:val="F00000"/>
        <w:sz w:val="24"/>
      </w:rPr>
      <w:t>For Official Use Only</w:t>
    </w:r>
  </w:p>
  <w:p w14:paraId="563DF37B" w14:textId="77777777" w:rsidR="002C4240" w:rsidRDefault="002C4240" w:rsidP="00837C34">
    <w:pPr>
      <w:pStyle w:val="Footer"/>
      <w:framePr w:wrap="around" w:vAnchor="text" w:hAnchor="margin" w:xAlign="center" w:y="1"/>
      <w:jc w:val="center"/>
      <w:rPr>
        <w:rStyle w:val="PageNumber"/>
      </w:rPr>
    </w:pPr>
    <w:r w:rsidRPr="003973C5">
      <w:rPr>
        <w:rStyle w:val="PageNumber"/>
        <w:rFonts w:ascii="Calibri" w:hAnsi="Calibri" w:cs="Calibri"/>
        <w:b/>
        <w:color w:val="F00000"/>
        <w:sz w:val="24"/>
      </w:rPr>
      <w:t xml:space="preserve"> </w:t>
    </w:r>
    <w:r>
      <w:rPr>
        <w:rStyle w:val="PageNumber"/>
      </w:rPr>
      <w:fldChar w:fldCharType="begin"/>
    </w:r>
    <w:r>
      <w:rPr>
        <w:rStyle w:val="PageNumber"/>
      </w:rPr>
      <w:instrText xml:space="preserve">PAGE  </w:instrText>
    </w:r>
    <w:r>
      <w:rPr>
        <w:rStyle w:val="PageNumber"/>
      </w:rPr>
      <w:fldChar w:fldCharType="end"/>
    </w:r>
  </w:p>
  <w:p w14:paraId="21B2AB53" w14:textId="77777777" w:rsidR="002C4240" w:rsidRDefault="002C4240" w:rsidP="00FA63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282FE" w14:textId="5B879C48" w:rsidR="002C4240" w:rsidRDefault="002C4240"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072D">
      <w:rPr>
        <w:rStyle w:val="PageNumber"/>
        <w:noProof/>
      </w:rPr>
      <w:t>2</w:t>
    </w:r>
    <w:r>
      <w:rPr>
        <w:rStyle w:val="PageNumber"/>
      </w:rPr>
      <w:fldChar w:fldCharType="end"/>
    </w:r>
  </w:p>
  <w:p w14:paraId="3058325A" w14:textId="77777777" w:rsidR="002C4240" w:rsidRDefault="002C4240" w:rsidP="00FA634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8C069" w14:textId="744A0985" w:rsidR="002C4240" w:rsidRPr="00B0055A" w:rsidRDefault="002C4240" w:rsidP="00B0055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108B7" w14:textId="4D2A18C6" w:rsidR="002C4240" w:rsidRPr="00B0055A" w:rsidRDefault="002C4240" w:rsidP="00B0055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929B2" w14:textId="5910EA47" w:rsidR="002C4240" w:rsidRPr="00B0055A" w:rsidRDefault="002C4240" w:rsidP="00B0055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034FD" w14:textId="0E72B943" w:rsidR="002C4240" w:rsidRPr="00B0055A" w:rsidRDefault="002C4240" w:rsidP="00B00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78015C" w14:textId="77777777" w:rsidR="00C97803" w:rsidRDefault="00C97803">
      <w:r>
        <w:separator/>
      </w:r>
    </w:p>
  </w:footnote>
  <w:footnote w:type="continuationSeparator" w:id="0">
    <w:p w14:paraId="7FDD5125" w14:textId="77777777" w:rsidR="00C97803" w:rsidRDefault="00C97803">
      <w:r>
        <w:continuationSeparator/>
      </w:r>
    </w:p>
  </w:footnote>
  <w:footnote w:type="continuationNotice" w:id="1">
    <w:p w14:paraId="69E7A5C1" w14:textId="77777777" w:rsidR="00C97803" w:rsidRDefault="00C97803"/>
  </w:footnote>
  <w:footnote w:id="2">
    <w:p w14:paraId="08DB6CFB" w14:textId="77777777" w:rsidR="002C4240" w:rsidRDefault="002C4240" w:rsidP="00936AB5">
      <w:pPr>
        <w:pStyle w:val="FootnoteText"/>
        <w:rPr>
          <w:sz w:val="18"/>
          <w:szCs w:val="18"/>
        </w:rPr>
      </w:pPr>
      <w:r w:rsidRPr="003376A3">
        <w:rPr>
          <w:rStyle w:val="FootnoteReference"/>
          <w:sz w:val="18"/>
          <w:szCs w:val="18"/>
        </w:rPr>
        <w:footnoteRef/>
      </w:r>
      <w:r w:rsidRPr="003376A3">
        <w:rPr>
          <w:sz w:val="18"/>
          <w:szCs w:val="18"/>
        </w:rPr>
        <w:t xml:space="preserve"> </w:t>
      </w:r>
      <w:r>
        <w:rPr>
          <w:sz w:val="18"/>
          <w:szCs w:val="18"/>
        </w:rPr>
        <w:t xml:space="preserve">Proposal P1015 – </w:t>
      </w:r>
      <w:r w:rsidRPr="00E44DB7">
        <w:rPr>
          <w:i/>
          <w:sz w:val="18"/>
          <w:szCs w:val="18"/>
        </w:rPr>
        <w:t>Primary Production &amp; Processing Standard for Horticulture</w:t>
      </w:r>
      <w:r>
        <w:rPr>
          <w:sz w:val="18"/>
          <w:szCs w:val="18"/>
        </w:rPr>
        <w:t xml:space="preserve">: </w:t>
      </w:r>
    </w:p>
    <w:p w14:paraId="64F088D6" w14:textId="77777777" w:rsidR="002C4240" w:rsidRPr="00C13E1A" w:rsidRDefault="00C97803" w:rsidP="00936AB5">
      <w:pPr>
        <w:pStyle w:val="FootnoteText"/>
        <w:rPr>
          <w:sz w:val="18"/>
          <w:szCs w:val="18"/>
        </w:rPr>
      </w:pPr>
      <w:hyperlink r:id="rId1" w:history="1">
        <w:r w:rsidR="002C4240" w:rsidRPr="00055CFC">
          <w:rPr>
            <w:rStyle w:val="Hyperlink"/>
            <w:sz w:val="18"/>
            <w:szCs w:val="18"/>
          </w:rPr>
          <w:t>https://www.foodstandards.gov.au/code/proposals/Pages/proposalp1015primary5412.aspx</w:t>
        </w:r>
      </w:hyperlink>
    </w:p>
  </w:footnote>
  <w:footnote w:id="3">
    <w:p w14:paraId="686341C8" w14:textId="77777777" w:rsidR="002C4240" w:rsidRPr="003376A3" w:rsidRDefault="002C4240" w:rsidP="00FB04CE">
      <w:pPr>
        <w:pStyle w:val="CommentText"/>
        <w:rPr>
          <w:sz w:val="18"/>
          <w:szCs w:val="18"/>
        </w:rPr>
      </w:pPr>
      <w:r w:rsidRPr="003376A3">
        <w:rPr>
          <w:rStyle w:val="FootnoteReference"/>
          <w:sz w:val="18"/>
          <w:szCs w:val="18"/>
        </w:rPr>
        <w:footnoteRef/>
      </w:r>
      <w:r w:rsidRPr="003376A3">
        <w:rPr>
          <w:sz w:val="18"/>
          <w:szCs w:val="18"/>
        </w:rPr>
        <w:t xml:space="preserve"> Relevant requirements in the Code pertinent to both Australia and New Zealand include general packaging requirements in Standard 1.1.1 (subsections1.1.1—10(10) and (11) (Packaging requirements) and maximum levels (MLs) for three packaging contaminants, regulated by subsection 1.1.1—10(5) and Standard 1.4.1 – Contaminants and natural toxicants. Details of maximum levels for specific foods are provided in Schedule 19 (sections S19—4 (metal contaminants) and S19—5 (non-metal contaminants). For Australia, Standard 3.2.2 – Food Safety Practices and General Requirements have requirements pertaining to food packaging. Standard 3.2.2 contains requirements for food businesses (including manufacturers, importers and retailers) regarding the safety of packaging.</w:t>
      </w:r>
    </w:p>
  </w:footnote>
  <w:footnote w:id="4">
    <w:p w14:paraId="42DF836D" w14:textId="2C3746A3" w:rsidR="002C4240" w:rsidRPr="00E33630" w:rsidRDefault="002C4240" w:rsidP="00FB04CE">
      <w:pPr>
        <w:pStyle w:val="FootnoteText"/>
        <w:rPr>
          <w:sz w:val="18"/>
          <w:szCs w:val="18"/>
          <w:lang w:val="en-AU"/>
        </w:rPr>
      </w:pPr>
      <w:r w:rsidRPr="00E33630">
        <w:rPr>
          <w:rStyle w:val="FootnoteReference"/>
          <w:sz w:val="18"/>
          <w:szCs w:val="18"/>
        </w:rPr>
        <w:footnoteRef/>
      </w:r>
      <w:r w:rsidRPr="00E33630">
        <w:rPr>
          <w:sz w:val="18"/>
          <w:szCs w:val="18"/>
        </w:rPr>
        <w:t xml:space="preserve"> Consistent with FAO/WHO </w:t>
      </w:r>
      <w:r>
        <w:rPr>
          <w:sz w:val="18"/>
          <w:szCs w:val="18"/>
        </w:rPr>
        <w:t>(2008b)</w:t>
      </w:r>
      <w:r w:rsidRPr="00E33630">
        <w:rPr>
          <w:sz w:val="18"/>
          <w:szCs w:val="18"/>
        </w:rPr>
        <w:t xml:space="preserve">, the </w:t>
      </w:r>
      <w:r>
        <w:rPr>
          <w:sz w:val="18"/>
          <w:szCs w:val="18"/>
        </w:rPr>
        <w:t xml:space="preserve">word </w:t>
      </w:r>
      <w:r>
        <w:rPr>
          <w:i/>
          <w:sz w:val="18"/>
          <w:szCs w:val="18"/>
        </w:rPr>
        <w:t xml:space="preserve">green </w:t>
      </w:r>
      <w:r>
        <w:rPr>
          <w:sz w:val="18"/>
          <w:szCs w:val="18"/>
        </w:rPr>
        <w:t>is excluded since ‘</w:t>
      </w:r>
      <w:r w:rsidRPr="00E33630">
        <w:rPr>
          <w:sz w:val="18"/>
          <w:szCs w:val="18"/>
        </w:rPr>
        <w:t xml:space="preserve">some varieties may be colours other than green, and this term may be misleading and result in </w:t>
      </w:r>
      <w:r>
        <w:rPr>
          <w:sz w:val="18"/>
          <w:szCs w:val="18"/>
        </w:rPr>
        <w:t>the exclusion of some varieties’</w:t>
      </w:r>
      <w:r w:rsidRPr="00E33630">
        <w:rPr>
          <w:sz w:val="18"/>
          <w:szCs w:val="18"/>
        </w:rPr>
        <w:t>.</w:t>
      </w:r>
    </w:p>
  </w:footnote>
  <w:footnote w:id="5">
    <w:p w14:paraId="13C1CA69" w14:textId="77777777" w:rsidR="002C4240" w:rsidRPr="003376A3" w:rsidRDefault="002C4240" w:rsidP="00FB04CE">
      <w:pPr>
        <w:pStyle w:val="FootnoteText"/>
        <w:rPr>
          <w:sz w:val="18"/>
          <w:szCs w:val="18"/>
          <w:lang w:val="en-AU"/>
        </w:rPr>
      </w:pPr>
      <w:r w:rsidRPr="003376A3">
        <w:rPr>
          <w:rStyle w:val="FootnoteReference"/>
          <w:sz w:val="18"/>
          <w:szCs w:val="18"/>
        </w:rPr>
        <w:footnoteRef/>
      </w:r>
      <w:r w:rsidRPr="003376A3">
        <w:rPr>
          <w:sz w:val="18"/>
          <w:szCs w:val="18"/>
        </w:rPr>
        <w:t xml:space="preserve"> </w:t>
      </w:r>
      <w:r>
        <w:rPr>
          <w:sz w:val="18"/>
          <w:szCs w:val="18"/>
          <w:lang w:val="en-AU"/>
        </w:rPr>
        <w:t>OzFoodNet Reports:</w:t>
      </w:r>
      <w:r w:rsidRPr="003376A3">
        <w:rPr>
          <w:sz w:val="18"/>
          <w:szCs w:val="18"/>
          <w:lang w:val="en-AU"/>
        </w:rPr>
        <w:t xml:space="preserve"> </w:t>
      </w:r>
      <w:hyperlink r:id="rId2" w:history="1">
        <w:r w:rsidRPr="003376A3">
          <w:rPr>
            <w:rStyle w:val="Hyperlink"/>
            <w:sz w:val="18"/>
            <w:szCs w:val="18"/>
            <w:lang w:val="en-AU"/>
          </w:rPr>
          <w:t>https://www.health.gov.au/internet/main/publishing.nsf/Content/cdna-ozfoodnet-reports.htm</w:t>
        </w:r>
      </w:hyperlink>
    </w:p>
  </w:footnote>
  <w:footnote w:id="6">
    <w:p w14:paraId="0C7EE182" w14:textId="77777777" w:rsidR="002C4240" w:rsidRPr="00206D1F" w:rsidRDefault="002C4240" w:rsidP="00FB04CE">
      <w:pPr>
        <w:pStyle w:val="FootnoteText"/>
        <w:rPr>
          <w:sz w:val="18"/>
          <w:szCs w:val="18"/>
          <w:lang w:val="en-AU"/>
        </w:rPr>
      </w:pPr>
      <w:r w:rsidRPr="00206D1F">
        <w:rPr>
          <w:rStyle w:val="FootnoteReference"/>
          <w:sz w:val="18"/>
          <w:szCs w:val="18"/>
        </w:rPr>
        <w:footnoteRef/>
      </w:r>
      <w:r w:rsidRPr="00206D1F">
        <w:rPr>
          <w:sz w:val="18"/>
          <w:szCs w:val="18"/>
        </w:rPr>
        <w:t xml:space="preserve"> </w:t>
      </w:r>
      <w:r>
        <w:rPr>
          <w:sz w:val="18"/>
          <w:szCs w:val="18"/>
        </w:rPr>
        <w:t xml:space="preserve">A list of </w:t>
      </w:r>
      <w:r w:rsidRPr="00D17816">
        <w:rPr>
          <w:sz w:val="18"/>
          <w:szCs w:val="18"/>
        </w:rPr>
        <w:t xml:space="preserve">Australian national notifiable diseases </w:t>
      </w:r>
      <w:r>
        <w:rPr>
          <w:sz w:val="18"/>
          <w:szCs w:val="18"/>
        </w:rPr>
        <w:t>is available at</w:t>
      </w:r>
      <w:r>
        <w:rPr>
          <w:sz w:val="18"/>
          <w:szCs w:val="18"/>
          <w:lang w:val="en-AU"/>
        </w:rPr>
        <w:t xml:space="preserve">: </w:t>
      </w:r>
      <w:hyperlink r:id="rId3" w:anchor="s" w:history="1">
        <w:r w:rsidRPr="0001797B">
          <w:rPr>
            <w:rStyle w:val="Hyperlink"/>
            <w:sz w:val="18"/>
            <w:szCs w:val="18"/>
            <w:lang w:val="en-AU"/>
          </w:rPr>
          <w:t>https://www1.health.gov.au/internet/main/publishing.nsf/Content/cdna-casedefinitions.htm#s</w:t>
        </w:r>
      </w:hyperlink>
    </w:p>
  </w:footnote>
  <w:footnote w:id="7">
    <w:p w14:paraId="7A9DF703" w14:textId="470C6E1F" w:rsidR="002C4240" w:rsidRPr="00182294" w:rsidRDefault="002C4240" w:rsidP="00FB04CE">
      <w:pPr>
        <w:pStyle w:val="FootnoteText"/>
        <w:rPr>
          <w:sz w:val="18"/>
          <w:szCs w:val="18"/>
          <w:lang w:val="en-AU"/>
        </w:rPr>
      </w:pPr>
      <w:r w:rsidRPr="00182294">
        <w:rPr>
          <w:rStyle w:val="FootnoteReference"/>
          <w:sz w:val="18"/>
          <w:szCs w:val="18"/>
        </w:rPr>
        <w:footnoteRef/>
      </w:r>
      <w:r w:rsidRPr="00182294">
        <w:rPr>
          <w:sz w:val="18"/>
          <w:szCs w:val="18"/>
        </w:rPr>
        <w:t xml:space="preserve"> </w:t>
      </w:r>
      <w:r w:rsidRPr="00182294">
        <w:rPr>
          <w:sz w:val="18"/>
          <w:szCs w:val="18"/>
          <w:lang w:val="en-AU"/>
        </w:rPr>
        <w:t>Refer</w:t>
      </w:r>
      <w:r>
        <w:rPr>
          <w:sz w:val="18"/>
          <w:szCs w:val="18"/>
          <w:lang w:val="en-AU"/>
        </w:rPr>
        <w:t>s to outbreaks listed in Table 1.</w:t>
      </w:r>
    </w:p>
  </w:footnote>
  <w:footnote w:id="8">
    <w:p w14:paraId="1FF4A06A" w14:textId="4F65B511" w:rsidR="002C4240" w:rsidRPr="00182294" w:rsidRDefault="002C4240" w:rsidP="005D0B92">
      <w:pPr>
        <w:pStyle w:val="FootnoteText"/>
        <w:rPr>
          <w:sz w:val="18"/>
          <w:szCs w:val="18"/>
          <w:lang w:val="en-AU"/>
        </w:rPr>
      </w:pPr>
      <w:r w:rsidRPr="00182294">
        <w:rPr>
          <w:rStyle w:val="FootnoteReference"/>
          <w:sz w:val="18"/>
          <w:szCs w:val="18"/>
        </w:rPr>
        <w:footnoteRef/>
      </w:r>
      <w:r w:rsidRPr="00182294">
        <w:rPr>
          <w:sz w:val="18"/>
          <w:szCs w:val="18"/>
        </w:rPr>
        <w:t xml:space="preserve"> </w:t>
      </w:r>
      <w:r w:rsidRPr="00182294">
        <w:rPr>
          <w:sz w:val="18"/>
          <w:szCs w:val="18"/>
          <w:lang w:val="en-AU"/>
        </w:rPr>
        <w:t>Refer</w:t>
      </w:r>
      <w:r>
        <w:rPr>
          <w:sz w:val="18"/>
          <w:szCs w:val="18"/>
          <w:lang w:val="en-AU"/>
        </w:rPr>
        <w:t>s to outbreaks listed in Table 1.</w:t>
      </w:r>
    </w:p>
  </w:footnote>
  <w:footnote w:id="9">
    <w:p w14:paraId="191A3689" w14:textId="77777777" w:rsidR="002C4240" w:rsidRPr="003376A3" w:rsidRDefault="002C4240" w:rsidP="00FB04CE">
      <w:pPr>
        <w:pStyle w:val="FootnoteText"/>
        <w:rPr>
          <w:rFonts w:cs="Arial"/>
          <w:sz w:val="18"/>
          <w:szCs w:val="18"/>
          <w:lang w:val="en-AU"/>
        </w:rPr>
      </w:pPr>
      <w:r w:rsidRPr="003376A3">
        <w:rPr>
          <w:rStyle w:val="FootnoteReference"/>
          <w:rFonts w:cs="Arial"/>
          <w:sz w:val="18"/>
          <w:szCs w:val="18"/>
        </w:rPr>
        <w:footnoteRef/>
      </w:r>
      <w:r w:rsidRPr="003376A3">
        <w:rPr>
          <w:rFonts w:cs="Arial"/>
          <w:sz w:val="18"/>
          <w:szCs w:val="18"/>
        </w:rPr>
        <w:t xml:space="preserve"> </w:t>
      </w:r>
      <w:r w:rsidRPr="003376A3">
        <w:rPr>
          <w:rFonts w:cs="Arial"/>
          <w:sz w:val="18"/>
          <w:szCs w:val="18"/>
          <w:lang w:val="en-AU"/>
        </w:rPr>
        <w:t>Fresh fruit and vegetables are prescribed products. T</w:t>
      </w:r>
      <w:r w:rsidRPr="003376A3">
        <w:rPr>
          <w:rFonts w:cs="Arial"/>
          <w:color w:val="000000"/>
          <w:sz w:val="18"/>
          <w:szCs w:val="18"/>
          <w:lang w:val="en"/>
        </w:rPr>
        <w:t xml:space="preserve">he Export Control legislation defines the compliance requirements for export businesses, refer to the </w:t>
      </w:r>
      <w:hyperlink r:id="rId4" w:history="1">
        <w:r w:rsidRPr="003376A3">
          <w:rPr>
            <w:rStyle w:val="Hyperlink"/>
            <w:rFonts w:cs="Arial"/>
            <w:sz w:val="18"/>
            <w:szCs w:val="18"/>
            <w:lang w:val="en"/>
          </w:rPr>
          <w:t>Department of Agriculture, Water and the Environment</w:t>
        </w:r>
      </w:hyperlink>
      <w:r w:rsidRPr="003376A3">
        <w:rPr>
          <w:rFonts w:cs="Arial"/>
          <w:color w:val="000000"/>
          <w:sz w:val="18"/>
          <w:szCs w:val="18"/>
          <w:lang w:val="en"/>
        </w:rPr>
        <w:t xml:space="preserve"> website.</w:t>
      </w:r>
    </w:p>
  </w:footnote>
  <w:footnote w:id="10">
    <w:p w14:paraId="1DAAF6C5" w14:textId="77777777" w:rsidR="002C4240" w:rsidRPr="003376A3" w:rsidRDefault="002C4240" w:rsidP="00FB04CE">
      <w:pPr>
        <w:pStyle w:val="FootnoteText"/>
        <w:rPr>
          <w:rFonts w:cs="Arial"/>
          <w:sz w:val="18"/>
          <w:szCs w:val="18"/>
          <w:lang w:val="en-AU"/>
        </w:rPr>
      </w:pPr>
      <w:r w:rsidRPr="003376A3">
        <w:rPr>
          <w:rStyle w:val="FootnoteReference"/>
          <w:rFonts w:cs="Arial"/>
          <w:sz w:val="18"/>
          <w:szCs w:val="18"/>
        </w:rPr>
        <w:footnoteRef/>
      </w:r>
      <w:r w:rsidRPr="003376A3">
        <w:rPr>
          <w:rFonts w:cs="Arial"/>
          <w:sz w:val="18"/>
          <w:szCs w:val="18"/>
        </w:rPr>
        <w:t xml:space="preserve"> </w:t>
      </w:r>
      <w:r w:rsidRPr="003376A3">
        <w:rPr>
          <w:rFonts w:cs="Arial"/>
          <w:sz w:val="18"/>
          <w:szCs w:val="18"/>
          <w:lang w:val="en-AU"/>
        </w:rPr>
        <w:t>Fresh fruit and vegetables are prescribed products. T</w:t>
      </w:r>
      <w:r w:rsidRPr="003376A3">
        <w:rPr>
          <w:rFonts w:cs="Arial"/>
          <w:color w:val="000000"/>
          <w:sz w:val="18"/>
          <w:szCs w:val="18"/>
          <w:lang w:val="en"/>
        </w:rPr>
        <w:t xml:space="preserve">he Export Control legislation defines the compliance requirements for export businesses, refer to the </w:t>
      </w:r>
      <w:hyperlink r:id="rId5" w:history="1">
        <w:r w:rsidRPr="003376A3">
          <w:rPr>
            <w:rStyle w:val="Hyperlink"/>
            <w:rFonts w:cs="Arial"/>
            <w:sz w:val="18"/>
            <w:szCs w:val="18"/>
            <w:lang w:val="en"/>
          </w:rPr>
          <w:t>Department of Agriculture, Water and the Environment</w:t>
        </w:r>
      </w:hyperlink>
      <w:r w:rsidRPr="003376A3">
        <w:rPr>
          <w:rFonts w:cs="Arial"/>
          <w:color w:val="000000"/>
          <w:sz w:val="18"/>
          <w:szCs w:val="18"/>
          <w:lang w:val="en"/>
        </w:rPr>
        <w:t xml:space="preserve"> website.</w:t>
      </w:r>
    </w:p>
  </w:footnote>
  <w:footnote w:id="11">
    <w:p w14:paraId="42C9A49B" w14:textId="77777777" w:rsidR="002C4240" w:rsidRPr="003376A3" w:rsidRDefault="002C4240" w:rsidP="00FB04CE">
      <w:pPr>
        <w:pStyle w:val="FootnoteText"/>
        <w:rPr>
          <w:rFonts w:cs="Arial"/>
          <w:sz w:val="18"/>
          <w:szCs w:val="18"/>
          <w:lang w:val="en-AU"/>
        </w:rPr>
      </w:pPr>
      <w:r w:rsidRPr="003376A3">
        <w:rPr>
          <w:rStyle w:val="FootnoteReference"/>
          <w:rFonts w:cs="Arial"/>
          <w:sz w:val="18"/>
          <w:szCs w:val="18"/>
        </w:rPr>
        <w:footnoteRef/>
      </w:r>
      <w:r w:rsidRPr="003376A3">
        <w:rPr>
          <w:rFonts w:cs="Arial"/>
          <w:sz w:val="18"/>
          <w:szCs w:val="18"/>
        </w:rPr>
        <w:t xml:space="preserve"> </w:t>
      </w:r>
      <w:r w:rsidRPr="003376A3">
        <w:rPr>
          <w:rFonts w:cs="Arial"/>
          <w:sz w:val="18"/>
          <w:szCs w:val="18"/>
          <w:lang w:val="en-AU"/>
        </w:rPr>
        <w:t>Fresh fruit and vegetables are prescribed products. T</w:t>
      </w:r>
      <w:r w:rsidRPr="003376A3">
        <w:rPr>
          <w:rFonts w:cs="Arial"/>
          <w:color w:val="000000"/>
          <w:sz w:val="18"/>
          <w:szCs w:val="18"/>
          <w:lang w:val="en"/>
        </w:rPr>
        <w:t xml:space="preserve">he Export Control legislation defines the compliance requirements for export businesses, refer to the </w:t>
      </w:r>
      <w:hyperlink r:id="rId6" w:history="1">
        <w:r w:rsidRPr="003376A3">
          <w:rPr>
            <w:rStyle w:val="Hyperlink"/>
            <w:rFonts w:cs="Arial"/>
            <w:sz w:val="18"/>
            <w:szCs w:val="18"/>
            <w:lang w:val="en"/>
          </w:rPr>
          <w:t>Department of Agriculture, Water and the Environment</w:t>
        </w:r>
      </w:hyperlink>
      <w:r w:rsidRPr="003376A3">
        <w:rPr>
          <w:rFonts w:cs="Arial"/>
          <w:color w:val="000000"/>
          <w:sz w:val="18"/>
          <w:szCs w:val="18"/>
          <w:lang w:val="en"/>
        </w:rPr>
        <w:t xml:space="preserve"> website.</w:t>
      </w:r>
    </w:p>
  </w:footnote>
  <w:footnote w:id="12">
    <w:p w14:paraId="4CD68D42" w14:textId="77777777" w:rsidR="002C4240" w:rsidRPr="00C2575F" w:rsidRDefault="002C4240" w:rsidP="00E44DB7">
      <w:pPr>
        <w:spacing w:after="60"/>
        <w:rPr>
          <w:sz w:val="18"/>
          <w:szCs w:val="18"/>
        </w:rPr>
      </w:pPr>
      <w:r w:rsidRPr="00C2575F">
        <w:rPr>
          <w:rStyle w:val="FootnoteReference"/>
          <w:sz w:val="18"/>
          <w:szCs w:val="18"/>
        </w:rPr>
        <w:footnoteRef/>
      </w:r>
      <w:r w:rsidRPr="00C2575F">
        <w:rPr>
          <w:sz w:val="18"/>
          <w:szCs w:val="18"/>
        </w:rPr>
        <w:t xml:space="preserve"> 2011-12 Australian National Nutrition and Physical Activity Survey (NNPAS), a 1 day 24-hour recall survey of 12,153 respondents aged 2 years and above (with 64% of respondents (n=7735) undertaking a second 24-hour recall on a second non-consecutive day). The results in this report are derived using day 1 of data only. A respondent is counted as a consumer if the food was consumed on day 1 only. These data were weighted during the calculations undertaken in Harvest. </w:t>
      </w:r>
    </w:p>
  </w:footnote>
  <w:footnote w:id="13">
    <w:p w14:paraId="5DF60919" w14:textId="77777777" w:rsidR="002C4240" w:rsidRPr="00D4113E" w:rsidRDefault="002C4240" w:rsidP="00625761">
      <w:pPr>
        <w:pStyle w:val="FootnoteText"/>
        <w:rPr>
          <w:lang w:val="en-AU"/>
        </w:rPr>
      </w:pPr>
      <w:r w:rsidRPr="00C2575F">
        <w:rPr>
          <w:rStyle w:val="FootnoteReference"/>
          <w:sz w:val="18"/>
          <w:szCs w:val="18"/>
        </w:rPr>
        <w:footnoteRef/>
      </w:r>
      <w:r w:rsidRPr="00C2575F">
        <w:rPr>
          <w:sz w:val="18"/>
          <w:szCs w:val="18"/>
        </w:rPr>
        <w:t xml:space="preserve"> ‘Mixed dishes’ represent those dishes that may combine multiple foods and may or may not be </w:t>
      </w:r>
      <w:r>
        <w:rPr>
          <w:sz w:val="18"/>
          <w:szCs w:val="18"/>
        </w:rPr>
        <w:t>cooked</w:t>
      </w:r>
      <w:r w:rsidRPr="00C2575F">
        <w:rPr>
          <w:sz w:val="18"/>
          <w:szCs w:val="18"/>
        </w:rPr>
        <w:t>.</w:t>
      </w:r>
    </w:p>
  </w:footnote>
  <w:footnote w:id="14">
    <w:p w14:paraId="42C7E20B" w14:textId="4487592F" w:rsidR="002C4240" w:rsidRPr="00AF5C4A" w:rsidRDefault="002C4240" w:rsidP="00625761">
      <w:pPr>
        <w:pStyle w:val="FootnoteText"/>
        <w:rPr>
          <w:sz w:val="18"/>
          <w:szCs w:val="18"/>
          <w:lang w:val="en-AU"/>
        </w:rPr>
      </w:pPr>
      <w:r w:rsidRPr="00AF5C4A">
        <w:rPr>
          <w:rStyle w:val="FootnoteReference"/>
          <w:sz w:val="18"/>
          <w:szCs w:val="18"/>
        </w:rPr>
        <w:footnoteRef/>
      </w:r>
      <w:r w:rsidRPr="00AF5C4A">
        <w:rPr>
          <w:sz w:val="18"/>
          <w:szCs w:val="18"/>
        </w:rPr>
        <w:t xml:space="preserve"> </w:t>
      </w:r>
      <w:r w:rsidRPr="00AF5C4A">
        <w:rPr>
          <w:sz w:val="18"/>
          <w:szCs w:val="18"/>
          <w:lang w:val="en-AU"/>
        </w:rPr>
        <w:t>Birds are classed as animals</w:t>
      </w:r>
      <w:r>
        <w:rPr>
          <w:sz w:val="18"/>
          <w:szCs w:val="18"/>
          <w:lang w:val="en-AU"/>
        </w:rPr>
        <w:t>.</w:t>
      </w:r>
    </w:p>
  </w:footnote>
  <w:footnote w:id="15">
    <w:p w14:paraId="61B218E0" w14:textId="18DD0832" w:rsidR="002C4240" w:rsidRPr="006855B1" w:rsidRDefault="002C4240" w:rsidP="004B2589">
      <w:pPr>
        <w:pStyle w:val="FootnoteText"/>
        <w:rPr>
          <w:sz w:val="18"/>
          <w:szCs w:val="18"/>
          <w:lang w:val="en-AU"/>
        </w:rPr>
      </w:pPr>
      <w:r w:rsidRPr="006855B1">
        <w:rPr>
          <w:rStyle w:val="FootnoteReference"/>
          <w:sz w:val="18"/>
          <w:szCs w:val="18"/>
        </w:rPr>
        <w:footnoteRef/>
      </w:r>
      <w:r w:rsidRPr="006855B1">
        <w:rPr>
          <w:sz w:val="18"/>
          <w:szCs w:val="18"/>
        </w:rPr>
        <w:t xml:space="preserve"> Flooding is defined by the FDA as the flowing or overflowing of a field with water outside a growe</w:t>
      </w:r>
      <w:r>
        <w:rPr>
          <w:sz w:val="18"/>
          <w:szCs w:val="18"/>
        </w:rPr>
        <w:t>r’s control. Pooled water (e.g.</w:t>
      </w:r>
      <w:r w:rsidRPr="006855B1">
        <w:rPr>
          <w:sz w:val="18"/>
          <w:szCs w:val="18"/>
        </w:rPr>
        <w:t xml:space="preserve"> after rainfall) that is not reasonably likely to cause contamination of the edible portions of fresh produce is not considered flooding </w:t>
      </w:r>
      <w:r>
        <w:rPr>
          <w:sz w:val="18"/>
          <w:szCs w:val="18"/>
        </w:rPr>
        <w:t>(FDA 2011)</w:t>
      </w:r>
      <w:r w:rsidRPr="006855B1">
        <w:rPr>
          <w:sz w:val="18"/>
          <w:szCs w:val="18"/>
        </w:rPr>
        <w:t>.</w:t>
      </w:r>
    </w:p>
  </w:footnote>
  <w:footnote w:id="16">
    <w:p w14:paraId="08713726" w14:textId="77777777" w:rsidR="002C4240" w:rsidRPr="00315A16" w:rsidRDefault="002C4240" w:rsidP="004B2589">
      <w:pPr>
        <w:pStyle w:val="FootnoteText"/>
        <w:rPr>
          <w:sz w:val="18"/>
          <w:szCs w:val="18"/>
        </w:rPr>
      </w:pPr>
      <w:r w:rsidRPr="00315A16">
        <w:rPr>
          <w:rStyle w:val="FootnoteReference"/>
          <w:sz w:val="18"/>
          <w:szCs w:val="18"/>
        </w:rPr>
        <w:footnoteRef/>
      </w:r>
      <w:r w:rsidRPr="00315A16">
        <w:rPr>
          <w:sz w:val="18"/>
          <w:szCs w:val="18"/>
        </w:rPr>
        <w:t xml:space="preserve"> Standard 4.2.6 </w:t>
      </w:r>
      <w:r w:rsidRPr="00315A16">
        <w:rPr>
          <w:i/>
          <w:sz w:val="18"/>
          <w:szCs w:val="18"/>
        </w:rPr>
        <w:t>Production and Proces</w:t>
      </w:r>
      <w:r>
        <w:rPr>
          <w:i/>
          <w:sz w:val="18"/>
          <w:szCs w:val="18"/>
        </w:rPr>
        <w:t xml:space="preserve">sing Standard for Seed Sprouts: </w:t>
      </w:r>
      <w:hyperlink r:id="rId7" w:history="1">
        <w:r w:rsidRPr="00315A16">
          <w:rPr>
            <w:rStyle w:val="Hyperlink"/>
            <w:sz w:val="18"/>
            <w:szCs w:val="18"/>
          </w:rPr>
          <w:t>www.legislation.gov.au/Details/F2012L00023</w:t>
        </w:r>
      </w:hyperlink>
    </w:p>
  </w:footnote>
  <w:footnote w:id="17">
    <w:p w14:paraId="7A5D6440" w14:textId="77777777" w:rsidR="002C4240" w:rsidRPr="00315A16" w:rsidRDefault="002C4240" w:rsidP="003A5D27">
      <w:pPr>
        <w:pStyle w:val="FootnoteText"/>
        <w:spacing w:after="60"/>
        <w:rPr>
          <w:sz w:val="18"/>
          <w:szCs w:val="18"/>
        </w:rPr>
      </w:pPr>
      <w:r w:rsidRPr="00315A16">
        <w:rPr>
          <w:rStyle w:val="FootnoteReference"/>
          <w:sz w:val="18"/>
          <w:szCs w:val="18"/>
        </w:rPr>
        <w:footnoteRef/>
      </w:r>
      <w:r w:rsidRPr="00315A16">
        <w:rPr>
          <w:sz w:val="18"/>
          <w:szCs w:val="18"/>
        </w:rPr>
        <w:t xml:space="preserve"> Standard 4.2.6 </w:t>
      </w:r>
      <w:r w:rsidRPr="00315A16">
        <w:rPr>
          <w:i/>
          <w:sz w:val="18"/>
          <w:szCs w:val="18"/>
        </w:rPr>
        <w:t xml:space="preserve">Production and Processing Standard for Seed Sprouts: </w:t>
      </w:r>
      <w:hyperlink r:id="rId8" w:history="1">
        <w:r w:rsidRPr="00315A16">
          <w:rPr>
            <w:rStyle w:val="Hyperlink"/>
            <w:sz w:val="18"/>
            <w:szCs w:val="18"/>
          </w:rPr>
          <w:t>www.legislation.gov.au/Details/F2012L00023</w:t>
        </w:r>
      </w:hyperlink>
    </w:p>
  </w:footnote>
  <w:footnote w:id="18">
    <w:p w14:paraId="379B060B" w14:textId="21122165" w:rsidR="002C4240" w:rsidRPr="00315A16" w:rsidRDefault="002C4240" w:rsidP="00CA0DEE">
      <w:pPr>
        <w:pStyle w:val="FootnoteText"/>
        <w:rPr>
          <w:sz w:val="18"/>
          <w:szCs w:val="18"/>
          <w:lang w:val="en-AU"/>
        </w:rPr>
      </w:pPr>
      <w:r w:rsidRPr="00315A16">
        <w:rPr>
          <w:rStyle w:val="FootnoteReference"/>
          <w:sz w:val="18"/>
          <w:szCs w:val="18"/>
        </w:rPr>
        <w:footnoteRef/>
      </w:r>
      <w:r w:rsidRPr="00315A16">
        <w:rPr>
          <w:sz w:val="18"/>
          <w:szCs w:val="18"/>
        </w:rPr>
        <w:t xml:space="preserve"> </w:t>
      </w:r>
      <w:r w:rsidRPr="00315A16">
        <w:rPr>
          <w:sz w:val="18"/>
          <w:szCs w:val="18"/>
          <w:lang w:val="en-AU"/>
        </w:rPr>
        <w:t xml:space="preserve">Soil </w:t>
      </w:r>
      <w:r w:rsidRPr="00315A16">
        <w:rPr>
          <w:rFonts w:cs="Arial"/>
          <w:sz w:val="18"/>
          <w:szCs w:val="18"/>
          <w:lang w:val="en-AU"/>
        </w:rPr>
        <w:t xml:space="preserve">amendment: </w:t>
      </w:r>
      <w:r w:rsidRPr="00315A16">
        <w:rPr>
          <w:rFonts w:cs="Arial"/>
          <w:sz w:val="18"/>
          <w:szCs w:val="18"/>
        </w:rPr>
        <w:t>Physical, chemical and biological material a</w:t>
      </w:r>
      <w:r w:rsidRPr="00315A16">
        <w:rPr>
          <w:rFonts w:cs="Arial"/>
          <w:sz w:val="18"/>
          <w:szCs w:val="18"/>
          <w:lang w:val="en-AU"/>
        </w:rPr>
        <w:t>dded to the soil to improve the health, nutrition and crop productivity of the soil, e.g. inorganic fertilisers, manure and compost (</w:t>
      </w:r>
      <w:r>
        <w:rPr>
          <w:rFonts w:cs="Arial"/>
          <w:sz w:val="18"/>
          <w:szCs w:val="18"/>
          <w:lang w:val="en-AU"/>
        </w:rPr>
        <w:t>NSW DPI 2019).</w:t>
      </w:r>
    </w:p>
  </w:footnote>
  <w:footnote w:id="19">
    <w:p w14:paraId="5143AC09" w14:textId="3479FB9E" w:rsidR="002C4240" w:rsidRPr="00E33630" w:rsidRDefault="002C4240" w:rsidP="00CA0DEE">
      <w:pPr>
        <w:pStyle w:val="FootnoteText"/>
        <w:rPr>
          <w:sz w:val="18"/>
          <w:szCs w:val="18"/>
          <w:lang w:val="en-AU"/>
        </w:rPr>
      </w:pPr>
      <w:r w:rsidRPr="00E33630">
        <w:rPr>
          <w:rStyle w:val="FootnoteReference"/>
          <w:sz w:val="18"/>
          <w:szCs w:val="18"/>
        </w:rPr>
        <w:footnoteRef/>
      </w:r>
      <w:r w:rsidRPr="00E33630">
        <w:rPr>
          <w:sz w:val="18"/>
          <w:szCs w:val="18"/>
        </w:rPr>
        <w:t xml:space="preserve"> </w:t>
      </w:r>
      <w:r>
        <w:rPr>
          <w:sz w:val="18"/>
          <w:szCs w:val="18"/>
          <w:lang w:val="en-AU"/>
        </w:rPr>
        <w:t>N</w:t>
      </w:r>
      <w:r w:rsidRPr="00E33630">
        <w:rPr>
          <w:sz w:val="18"/>
          <w:szCs w:val="18"/>
          <w:lang w:val="en-AU"/>
        </w:rPr>
        <w:t>ot associated with outbreak investigations</w:t>
      </w:r>
      <w:r>
        <w:rPr>
          <w:sz w:val="18"/>
          <w:szCs w:val="18"/>
          <w:lang w:val="en-AU"/>
        </w:rPr>
        <w:t>.</w:t>
      </w:r>
    </w:p>
  </w:footnote>
  <w:footnote w:id="20">
    <w:p w14:paraId="19F68411" w14:textId="0A4BC568" w:rsidR="002C4240" w:rsidRPr="00F404EA" w:rsidRDefault="002C4240" w:rsidP="0055458D">
      <w:pPr>
        <w:pStyle w:val="FootnoteText"/>
        <w:rPr>
          <w:sz w:val="18"/>
          <w:szCs w:val="18"/>
          <w:lang w:val="en-AU"/>
        </w:rPr>
      </w:pPr>
      <w:r w:rsidRPr="00A24260">
        <w:rPr>
          <w:rStyle w:val="FootnoteReference"/>
          <w:sz w:val="18"/>
          <w:szCs w:val="18"/>
        </w:rPr>
        <w:footnoteRef/>
      </w:r>
      <w:r w:rsidRPr="00A24260">
        <w:rPr>
          <w:sz w:val="18"/>
          <w:szCs w:val="18"/>
        </w:rPr>
        <w:t xml:space="preserve"> FPSC A-NZ </w:t>
      </w:r>
      <w:r>
        <w:rPr>
          <w:sz w:val="18"/>
          <w:szCs w:val="18"/>
        </w:rPr>
        <w:t>(2019)</w:t>
      </w:r>
      <w:r w:rsidRPr="00A24260">
        <w:rPr>
          <w:sz w:val="18"/>
          <w:szCs w:val="18"/>
        </w:rPr>
        <w:t xml:space="preserve"> recommends cooling of produce post-harvest, but does not provide a target temperature. FDA </w:t>
      </w:r>
      <w:r>
        <w:rPr>
          <w:sz w:val="18"/>
          <w:szCs w:val="18"/>
        </w:rPr>
        <w:t>(2008)</w:t>
      </w:r>
      <w:r w:rsidRPr="00A24260">
        <w:rPr>
          <w:sz w:val="18"/>
          <w:szCs w:val="18"/>
        </w:rPr>
        <w:t xml:space="preserve"> recommends holding cut melons and any other fresh-cut product determined to need temperature control for safety at </w:t>
      </w:r>
      <w:r w:rsidRPr="00A24260">
        <w:rPr>
          <w:rFonts w:cs="Arial"/>
          <w:sz w:val="18"/>
          <w:szCs w:val="18"/>
        </w:rPr>
        <w:t>≤5</w:t>
      </w:r>
      <w:r w:rsidRPr="00A24260">
        <w:rPr>
          <w:sz w:val="18"/>
          <w:szCs w:val="18"/>
        </w:rPr>
        <w:t>°C, but acknowledges that this is quality-focused.</w:t>
      </w:r>
    </w:p>
  </w:footnote>
  <w:footnote w:id="21">
    <w:p w14:paraId="213550CD" w14:textId="6C80ABBA" w:rsidR="002C4240" w:rsidRPr="00E33630" w:rsidRDefault="002C4240" w:rsidP="0055458D">
      <w:pPr>
        <w:pStyle w:val="FootnoteText"/>
        <w:rPr>
          <w:sz w:val="18"/>
          <w:szCs w:val="18"/>
          <w:lang w:val="en-AU"/>
        </w:rPr>
      </w:pPr>
      <w:r w:rsidRPr="00E33630">
        <w:rPr>
          <w:rStyle w:val="FootnoteReference"/>
          <w:sz w:val="18"/>
          <w:szCs w:val="18"/>
        </w:rPr>
        <w:footnoteRef/>
      </w:r>
      <w:r>
        <w:rPr>
          <w:sz w:val="18"/>
          <w:szCs w:val="18"/>
        </w:rPr>
        <w:t xml:space="preserve"> S</w:t>
      </w:r>
      <w:r w:rsidRPr="00E33630">
        <w:rPr>
          <w:sz w:val="18"/>
          <w:szCs w:val="18"/>
        </w:rPr>
        <w:t>urveys not associated with outbreaks</w:t>
      </w:r>
      <w:r>
        <w:rPr>
          <w:sz w:val="18"/>
          <w:szCs w:val="18"/>
        </w:rPr>
        <w:t>.</w:t>
      </w:r>
    </w:p>
  </w:footnote>
  <w:footnote w:id="22">
    <w:p w14:paraId="09A4BA3D" w14:textId="547FEBAB" w:rsidR="002C4240" w:rsidRPr="003D70E2" w:rsidRDefault="002C4240" w:rsidP="00837C34">
      <w:r>
        <w:rPr>
          <w:rStyle w:val="FootnoteReference"/>
        </w:rPr>
        <w:footnoteRef/>
      </w:r>
      <w:r>
        <w:t xml:space="preserve"> </w:t>
      </w:r>
      <w:r w:rsidRPr="001D7FE7">
        <w:rPr>
          <w:sz w:val="16"/>
        </w:rPr>
        <w:t>2011-12 Australian National Nutrition and Physical Activity Survey (NNPAS), a 1 day 24-hour recall survey of 12,153 respondents aged 2 years and above (with 64% of respondents (n=7735) undertaking a second 24-hour recall on a second non-consecutive day). The results in this report are derived using day 1 of data only. A respondent is counted as a consumer if the food was consumed on day 1 only. These data were weighted during the cal</w:t>
      </w:r>
      <w:r>
        <w:rPr>
          <w:sz w:val="16"/>
        </w:rPr>
        <w:t>culations undertaken in Harvest</w:t>
      </w:r>
      <w:r w:rsidRPr="001D7FE7">
        <w:rPr>
          <w:sz w:val="16"/>
        </w:rPr>
        <w:t>.</w:t>
      </w:r>
    </w:p>
  </w:footnote>
  <w:footnote w:id="23">
    <w:p w14:paraId="0F895DCD" w14:textId="1CC19917" w:rsidR="002C4240" w:rsidRPr="00E33630" w:rsidRDefault="002C4240" w:rsidP="0070225B">
      <w:pPr>
        <w:pStyle w:val="FootnoteText"/>
        <w:spacing w:after="60"/>
        <w:rPr>
          <w:sz w:val="18"/>
          <w:szCs w:val="18"/>
          <w:lang w:val="en-AU"/>
        </w:rPr>
      </w:pPr>
      <w:r w:rsidRPr="00E33630">
        <w:rPr>
          <w:rStyle w:val="FootnoteReference"/>
          <w:sz w:val="18"/>
          <w:szCs w:val="18"/>
        </w:rPr>
        <w:footnoteRef/>
      </w:r>
      <w:r w:rsidRPr="00E33630">
        <w:rPr>
          <w:sz w:val="18"/>
          <w:szCs w:val="18"/>
        </w:rPr>
        <w:t xml:space="preserve"> </w:t>
      </w:r>
      <w:r>
        <w:rPr>
          <w:sz w:val="18"/>
          <w:szCs w:val="18"/>
        </w:rPr>
        <w:t xml:space="preserve">FSANZ risk assessment on antibiotic use in New Zealand apples: </w:t>
      </w:r>
      <w:hyperlink r:id="rId9" w:history="1">
        <w:r w:rsidRPr="00E33630">
          <w:rPr>
            <w:rStyle w:val="Hyperlink"/>
            <w:sz w:val="18"/>
            <w:szCs w:val="18"/>
          </w:rPr>
          <w:t>www.foodstandards.gov.au/publications/Pages/applerisk/fsanzriskassessmento5163.aspx</w:t>
        </w:r>
      </w:hyperlink>
    </w:p>
  </w:footnote>
  <w:footnote w:id="24">
    <w:p w14:paraId="23E03852" w14:textId="77777777" w:rsidR="002C4240" w:rsidRPr="00E33630" w:rsidRDefault="002C4240" w:rsidP="0070225B">
      <w:pPr>
        <w:pStyle w:val="FootnoteText"/>
        <w:spacing w:after="60"/>
        <w:rPr>
          <w:sz w:val="18"/>
          <w:szCs w:val="18"/>
        </w:rPr>
      </w:pPr>
      <w:r w:rsidRPr="00E33630">
        <w:rPr>
          <w:rStyle w:val="FootnoteReference"/>
          <w:sz w:val="18"/>
          <w:szCs w:val="18"/>
        </w:rPr>
        <w:footnoteRef/>
      </w:r>
      <w:r w:rsidRPr="00E33630">
        <w:rPr>
          <w:sz w:val="18"/>
          <w:szCs w:val="18"/>
        </w:rPr>
        <w:t xml:space="preserve"> </w:t>
      </w:r>
      <w:r>
        <w:rPr>
          <w:sz w:val="18"/>
          <w:szCs w:val="18"/>
        </w:rPr>
        <w:t xml:space="preserve">Review of published and grey literature on the presence of antimicrobial resistance in food in Australia and New Zealand: </w:t>
      </w:r>
      <w:hyperlink r:id="rId10" w:history="1">
        <w:r w:rsidRPr="00E33630">
          <w:rPr>
            <w:rStyle w:val="Hyperlink"/>
            <w:sz w:val="18"/>
            <w:szCs w:val="18"/>
          </w:rPr>
          <w:t>https://www.amr.gov.au/resources/review-published-and-grey-literature-presence-antimicrobial-resistance-food-australia-and</w:t>
        </w:r>
      </w:hyperlink>
    </w:p>
  </w:footnote>
  <w:footnote w:id="25">
    <w:p w14:paraId="6BDD7A21" w14:textId="77777777" w:rsidR="002C4240" w:rsidRDefault="002C4240" w:rsidP="00837C34">
      <w:pPr>
        <w:pStyle w:val="FootnoteText"/>
      </w:pPr>
      <w:r w:rsidRPr="00E33630">
        <w:rPr>
          <w:rStyle w:val="FootnoteReference"/>
          <w:sz w:val="18"/>
          <w:szCs w:val="18"/>
        </w:rPr>
        <w:footnoteRef/>
      </w:r>
      <w:r w:rsidRPr="00E33630">
        <w:rPr>
          <w:sz w:val="18"/>
          <w:szCs w:val="18"/>
        </w:rPr>
        <w:t xml:space="preserve"> </w:t>
      </w:r>
      <w:r>
        <w:rPr>
          <w:sz w:val="18"/>
          <w:szCs w:val="18"/>
        </w:rPr>
        <w:t xml:space="preserve">Responding to the threat of antimicrobial resistance: Australia’s first national antimicrobial resistance strategy 2015-2019: </w:t>
      </w:r>
      <w:hyperlink r:id="rId11" w:history="1">
        <w:r w:rsidRPr="00E33630">
          <w:rPr>
            <w:rStyle w:val="Hyperlink"/>
            <w:sz w:val="18"/>
            <w:szCs w:val="18"/>
          </w:rPr>
          <w:t>https://www.amr.gov.au/resources/national-amr-strategy</w:t>
        </w:r>
      </w:hyperlink>
    </w:p>
  </w:footnote>
  <w:footnote w:id="26">
    <w:p w14:paraId="23C8B0B6" w14:textId="586BF1C4" w:rsidR="002C4240" w:rsidRPr="005B23A7" w:rsidRDefault="002C4240" w:rsidP="00285EF0">
      <w:pPr>
        <w:pStyle w:val="CitaviBibliographyEntry"/>
        <w:spacing w:after="120"/>
        <w:ind w:left="0" w:firstLine="0"/>
      </w:pPr>
      <w:r>
        <w:rPr>
          <w:rStyle w:val="FootnoteReference"/>
        </w:rPr>
        <w:footnoteRef/>
      </w:r>
      <w:r>
        <w:t xml:space="preserve"> </w:t>
      </w:r>
      <w:bookmarkStart w:id="1028" w:name="_CTVL001b69be7cb70d745e6bd109eff2439def4"/>
      <w:r w:rsidRPr="005B23A7">
        <w:rPr>
          <w:rFonts w:cs="Arial"/>
          <w:sz w:val="18"/>
          <w:szCs w:val="18"/>
        </w:rPr>
        <w:t>The 2011 – 2012 Australian Nutrition and Physical Activity Survey was part of the 2011 – 2013 Australian Health Survey. The results presented are derived from one day of dietary recall data</w:t>
      </w:r>
      <w:r w:rsidRPr="005B23A7">
        <w:rPr>
          <w:rFonts w:cs="Arial"/>
          <w:sz w:val="18"/>
          <w:szCs w:val="18"/>
          <w:lang w:val="en-US"/>
        </w:rPr>
        <w:t xml:space="preserve"> and do not indicat</w:t>
      </w:r>
      <w:r>
        <w:rPr>
          <w:rFonts w:cs="Arial"/>
          <w:sz w:val="18"/>
          <w:szCs w:val="18"/>
          <w:lang w:val="en-US"/>
        </w:rPr>
        <w:t>e the frequency of consumption.</w:t>
      </w:r>
      <w:r w:rsidRPr="005B23A7">
        <w:rPr>
          <w:rFonts w:cs="Arial"/>
          <w:sz w:val="18"/>
          <w:szCs w:val="18"/>
          <w:lang w:val="en-US"/>
        </w:rPr>
        <w:t xml:space="preserve"> Refer to</w:t>
      </w:r>
      <w:r w:rsidRPr="005B23A7">
        <w:rPr>
          <w:rFonts w:cs="Arial"/>
          <w:sz w:val="18"/>
          <w:szCs w:val="18"/>
        </w:rPr>
        <w:t xml:space="preserve"> ABS (2014) Australian health survey: Nutrition first results - Foods and nutrients, 2011-12. Australian Bureau of Statistics, Canberra. </w:t>
      </w:r>
      <w:hyperlink r:id="rId12" w:history="1">
        <w:r w:rsidRPr="005B23A7">
          <w:rPr>
            <w:rStyle w:val="Hyperlink"/>
            <w:rFonts w:cs="Arial"/>
            <w:sz w:val="18"/>
            <w:szCs w:val="18"/>
          </w:rPr>
          <w:t>https://www.abs.gov.au/ausstats/abs@.nsf/Lookup/4364.0.55.007main+features12011-12</w:t>
        </w:r>
      </w:hyperlink>
      <w:r w:rsidRPr="005B23A7">
        <w:rPr>
          <w:rFonts w:cs="Arial"/>
          <w:sz w:val="18"/>
          <w:szCs w:val="18"/>
        </w:rPr>
        <w:t>.</w:t>
      </w:r>
      <w:r>
        <w:rPr>
          <w:rFonts w:asciiTheme="minorHAnsi" w:hAnsiTheme="minorHAnsi" w:cstheme="minorHAnsi"/>
          <w:sz w:val="20"/>
          <w:szCs w:val="20"/>
        </w:rPr>
        <w:t xml:space="preserve"> </w:t>
      </w:r>
      <w:bookmarkEnd w:id="1028"/>
    </w:p>
  </w:footnote>
  <w:footnote w:id="27">
    <w:p w14:paraId="652FFB33" w14:textId="77777777" w:rsidR="002C4240" w:rsidRPr="00905ABF" w:rsidRDefault="002C4240" w:rsidP="00285EF0">
      <w:pPr>
        <w:pStyle w:val="FootnoteText"/>
        <w:rPr>
          <w:szCs w:val="18"/>
          <w:lang w:val="en-AU"/>
        </w:rPr>
      </w:pPr>
      <w:r w:rsidRPr="00905ABF">
        <w:rPr>
          <w:rStyle w:val="FootnoteReference"/>
          <w:szCs w:val="18"/>
        </w:rPr>
        <w:footnoteRef/>
      </w:r>
      <w:r w:rsidRPr="00905ABF">
        <w:rPr>
          <w:szCs w:val="18"/>
        </w:rPr>
        <w:t xml:space="preserve"> Not all ‘mixed dishes’ are cooked or processed. An example of different mixed dishes is provided for berries in Appendix 5.</w:t>
      </w:r>
    </w:p>
  </w:footnote>
  <w:footnote w:id="28">
    <w:p w14:paraId="7CC4BF7F" w14:textId="77777777" w:rsidR="002C4240" w:rsidRPr="00905ABF" w:rsidRDefault="002C4240" w:rsidP="00285EF0">
      <w:pPr>
        <w:rPr>
          <w:sz w:val="18"/>
          <w:szCs w:val="18"/>
        </w:rPr>
      </w:pPr>
      <w:r w:rsidRPr="00905ABF">
        <w:rPr>
          <w:rStyle w:val="FootnoteReference"/>
          <w:sz w:val="18"/>
          <w:szCs w:val="18"/>
        </w:rPr>
        <w:footnoteRef/>
      </w:r>
      <w:r w:rsidRPr="00905ABF">
        <w:rPr>
          <w:sz w:val="18"/>
          <w:szCs w:val="18"/>
        </w:rPr>
        <w:t xml:space="preserve"> 2011-12 Australian National Nutrition and Physical Activity Survey (NNPAS), a 1 day 24-hour recall survey of 12,153 respondents aged 2 years and above (with 64% of respondents (n=7735) undertaking a second 24-hour recall on a second non-consecutive day). The results in this report are derived using day 1 of data only. A respondent is counted as a consumer if the food was consumed on day 1 only. These data were weighted during the calculations undertaken in Harvest. </w:t>
      </w:r>
    </w:p>
  </w:footnote>
  <w:footnote w:id="29">
    <w:p w14:paraId="22F36187" w14:textId="77777777" w:rsidR="002C4240" w:rsidRPr="00905ABF" w:rsidRDefault="002C4240" w:rsidP="00285EF0">
      <w:pPr>
        <w:rPr>
          <w:sz w:val="18"/>
          <w:szCs w:val="18"/>
          <w:lang w:bidi="ar-SA"/>
        </w:rPr>
      </w:pPr>
      <w:r w:rsidRPr="00905ABF">
        <w:rPr>
          <w:rStyle w:val="FootnoteReference"/>
          <w:sz w:val="18"/>
          <w:szCs w:val="18"/>
        </w:rPr>
        <w:footnoteRef/>
      </w:r>
      <w:r w:rsidRPr="00905ABF">
        <w:rPr>
          <w:sz w:val="18"/>
          <w:szCs w:val="18"/>
        </w:rPr>
        <w:t xml:space="preserve"> From FSANZ’s </w:t>
      </w:r>
      <w:r w:rsidRPr="00905ABF">
        <w:rPr>
          <w:i/>
          <w:sz w:val="18"/>
          <w:szCs w:val="18"/>
        </w:rPr>
        <w:t>Agents of Foodborne Illness</w:t>
      </w:r>
      <w:r w:rsidRPr="00905ABF">
        <w:rPr>
          <w:sz w:val="18"/>
          <w:szCs w:val="18"/>
        </w:rPr>
        <w:t xml:space="preserve"> publication, available at: </w:t>
      </w:r>
      <w:hyperlink r:id="rId13" w:history="1">
        <w:r w:rsidRPr="00905ABF">
          <w:rPr>
            <w:rStyle w:val="Hyperlink"/>
            <w:rFonts w:eastAsiaTheme="majorEastAsia"/>
            <w:sz w:val="18"/>
            <w:szCs w:val="18"/>
          </w:rPr>
          <w:t>https://www.foodstandards.gov.au/publications/Pages/agents-foodborne-illness.aspx</w:t>
        </w:r>
      </w:hyperlink>
    </w:p>
  </w:footnote>
  <w:footnote w:id="30">
    <w:p w14:paraId="6DF12B37" w14:textId="77777777" w:rsidR="002C4240" w:rsidRPr="00905ABF" w:rsidRDefault="002C4240" w:rsidP="00285EF0">
      <w:pPr>
        <w:rPr>
          <w:sz w:val="18"/>
          <w:szCs w:val="18"/>
          <w:lang w:bidi="ar-SA"/>
        </w:rPr>
      </w:pPr>
      <w:r w:rsidRPr="00905ABF">
        <w:rPr>
          <w:rStyle w:val="FootnoteReference"/>
          <w:sz w:val="18"/>
          <w:szCs w:val="18"/>
        </w:rPr>
        <w:footnoteRef/>
      </w:r>
      <w:r w:rsidRPr="00905ABF">
        <w:rPr>
          <w:sz w:val="18"/>
          <w:szCs w:val="18"/>
        </w:rPr>
        <w:t xml:space="preserve"> From FSANZ’s </w:t>
      </w:r>
      <w:r w:rsidRPr="00905ABF">
        <w:rPr>
          <w:i/>
          <w:sz w:val="18"/>
          <w:szCs w:val="18"/>
        </w:rPr>
        <w:t>Agents of Foodborne Illness</w:t>
      </w:r>
      <w:r w:rsidRPr="00905ABF">
        <w:rPr>
          <w:sz w:val="18"/>
          <w:szCs w:val="18"/>
        </w:rPr>
        <w:t xml:space="preserve"> publication, available at: </w:t>
      </w:r>
      <w:hyperlink r:id="rId14" w:history="1">
        <w:r w:rsidRPr="00905ABF">
          <w:rPr>
            <w:rStyle w:val="Hyperlink"/>
            <w:rFonts w:eastAsiaTheme="majorEastAsia"/>
            <w:sz w:val="18"/>
            <w:szCs w:val="18"/>
          </w:rPr>
          <w:t>https://www.foodstandards.gov.au/publications/Pages/agents-foodborne-illness.aspx</w:t>
        </w:r>
      </w:hyperlink>
    </w:p>
  </w:footnote>
  <w:footnote w:id="31">
    <w:p w14:paraId="5813DF81" w14:textId="77777777" w:rsidR="002C4240" w:rsidRPr="00905ABF" w:rsidRDefault="002C4240" w:rsidP="00285EF0">
      <w:pPr>
        <w:rPr>
          <w:sz w:val="18"/>
          <w:szCs w:val="18"/>
          <w:lang w:bidi="ar-SA"/>
        </w:rPr>
      </w:pPr>
      <w:r w:rsidRPr="00905ABF">
        <w:rPr>
          <w:rStyle w:val="FootnoteReference"/>
          <w:sz w:val="18"/>
          <w:szCs w:val="18"/>
        </w:rPr>
        <w:footnoteRef/>
      </w:r>
      <w:r w:rsidRPr="00905ABF">
        <w:rPr>
          <w:sz w:val="18"/>
          <w:szCs w:val="18"/>
        </w:rPr>
        <w:t xml:space="preserve"> From FSANZ’s </w:t>
      </w:r>
      <w:r w:rsidRPr="00905ABF">
        <w:rPr>
          <w:i/>
          <w:sz w:val="18"/>
          <w:szCs w:val="18"/>
        </w:rPr>
        <w:t>Agents of Foodborne Illness</w:t>
      </w:r>
      <w:r w:rsidRPr="00905ABF">
        <w:rPr>
          <w:sz w:val="18"/>
          <w:szCs w:val="18"/>
        </w:rPr>
        <w:t xml:space="preserve"> publication, available at: </w:t>
      </w:r>
      <w:hyperlink r:id="rId15" w:history="1">
        <w:r w:rsidRPr="00905ABF">
          <w:rPr>
            <w:rStyle w:val="Hyperlink"/>
            <w:rFonts w:eastAsiaTheme="majorEastAsia"/>
            <w:sz w:val="18"/>
            <w:szCs w:val="18"/>
          </w:rPr>
          <w:t>https://www.foodstandards.gov.au/publications/Pages/agents-foodborne-illness.aspx</w:t>
        </w:r>
      </w:hyperlink>
    </w:p>
  </w:footnote>
  <w:footnote w:id="32">
    <w:p w14:paraId="0D7241E4" w14:textId="77777777" w:rsidR="002C4240" w:rsidRPr="00905ABF" w:rsidRDefault="002C4240" w:rsidP="00285EF0">
      <w:pPr>
        <w:pStyle w:val="FootnoteText"/>
        <w:rPr>
          <w:szCs w:val="18"/>
          <w:lang w:val="en-AU"/>
        </w:rPr>
      </w:pPr>
      <w:r w:rsidRPr="00905ABF">
        <w:rPr>
          <w:rStyle w:val="FootnoteReference"/>
          <w:szCs w:val="18"/>
        </w:rPr>
        <w:footnoteRef/>
      </w:r>
      <w:r w:rsidRPr="00905ABF">
        <w:rPr>
          <w:szCs w:val="18"/>
        </w:rPr>
        <w:t xml:space="preserve"> From FSANZ’s </w:t>
      </w:r>
      <w:r w:rsidRPr="00905ABF">
        <w:rPr>
          <w:i/>
          <w:szCs w:val="18"/>
        </w:rPr>
        <w:t>Agents of Foodborne Illness</w:t>
      </w:r>
      <w:r w:rsidRPr="00905ABF">
        <w:rPr>
          <w:szCs w:val="18"/>
        </w:rPr>
        <w:t xml:space="preserve"> publication, available at: </w:t>
      </w:r>
      <w:hyperlink r:id="rId16" w:history="1">
        <w:r w:rsidRPr="00905ABF">
          <w:rPr>
            <w:rStyle w:val="Hyperlink"/>
            <w:rFonts w:eastAsiaTheme="majorEastAsia"/>
            <w:szCs w:val="18"/>
          </w:rPr>
          <w:t>https://www.foodstandards.gov.au/publications/Pages/agents-foodborne-illness.aspx</w:t>
        </w:r>
      </w:hyperlink>
    </w:p>
  </w:footnote>
  <w:footnote w:id="33">
    <w:p w14:paraId="73567C20" w14:textId="77777777" w:rsidR="002C4240" w:rsidRPr="00905ABF" w:rsidRDefault="002C4240" w:rsidP="00285EF0">
      <w:pPr>
        <w:pStyle w:val="FootnoteText"/>
        <w:rPr>
          <w:szCs w:val="18"/>
          <w:lang w:val="en-AU"/>
        </w:rPr>
      </w:pPr>
      <w:r w:rsidRPr="00905ABF">
        <w:rPr>
          <w:rStyle w:val="FootnoteReference"/>
          <w:szCs w:val="18"/>
        </w:rPr>
        <w:footnoteRef/>
      </w:r>
      <w:r w:rsidRPr="00905ABF">
        <w:rPr>
          <w:szCs w:val="18"/>
        </w:rPr>
        <w:t xml:space="preserve"> From FSANZ’s </w:t>
      </w:r>
      <w:r w:rsidRPr="00905ABF">
        <w:rPr>
          <w:i/>
          <w:szCs w:val="18"/>
        </w:rPr>
        <w:t>Agents of Foodborne Illness</w:t>
      </w:r>
      <w:r w:rsidRPr="00905ABF">
        <w:rPr>
          <w:szCs w:val="18"/>
        </w:rPr>
        <w:t xml:space="preserve"> publication, available at: </w:t>
      </w:r>
      <w:hyperlink r:id="rId17" w:history="1">
        <w:r w:rsidRPr="00905ABF">
          <w:rPr>
            <w:rStyle w:val="Hyperlink"/>
            <w:rFonts w:eastAsiaTheme="majorEastAsia"/>
            <w:szCs w:val="18"/>
          </w:rPr>
          <w:t>https://www.foodstandards.gov.au/publications/Pages/agents-foodborne-illness.aspx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0B202" w14:textId="26A2CB32" w:rsidR="002C4240" w:rsidRDefault="002C4240">
    <w:pPr>
      <w:pStyle w:val="Header"/>
      <w:jc w:val="center"/>
      <w:rPr>
        <w:b/>
        <w:bCs/>
      </w:rPr>
    </w:pPr>
    <w:r>
      <w:rPr>
        <w:b/>
        <w:bCs/>
      </w:rPr>
      <w:t>BOARD-IN-CONFIDENCE</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BFE53" w14:textId="29E8AFF0" w:rsidR="002C4240" w:rsidRPr="00B0055A" w:rsidRDefault="002C4240" w:rsidP="00B0055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6BB45" w14:textId="324EBF21" w:rsidR="002C4240" w:rsidRDefault="002C424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ABC28" w14:textId="1207252A" w:rsidR="002C4240" w:rsidRPr="00B0055A" w:rsidRDefault="002C4240" w:rsidP="00B0055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2DF12" w14:textId="69C47F26" w:rsidR="002C4240" w:rsidRDefault="002C42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1963C" w14:textId="4C971089" w:rsidR="002C4240" w:rsidRDefault="002C42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FFF99" w14:textId="5A6247B6" w:rsidR="002C4240" w:rsidRDefault="002C42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14D7C" w14:textId="01203B7E" w:rsidR="002C4240" w:rsidRDefault="002C4240">
    <w:pPr>
      <w:pStyle w:val="Header"/>
      <w:jc w:val="center"/>
      <w:rPr>
        <w:b/>
        <w:bCs/>
      </w:rPr>
    </w:pPr>
    <w:r>
      <w:rPr>
        <w:b/>
        <w:bCs/>
      </w:rPr>
      <w:t>BOARD-IN-CONFIDENCE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C7FFC" w14:textId="6FCD7E50" w:rsidR="002C4240" w:rsidRPr="00B0055A" w:rsidRDefault="002C4240" w:rsidP="00B0055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E9463" w14:textId="3973C8BC" w:rsidR="002C4240" w:rsidRPr="00B0055A" w:rsidRDefault="002C4240" w:rsidP="00B005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1EC2D" w14:textId="076604A9" w:rsidR="002C4240" w:rsidRPr="00B0055A" w:rsidRDefault="002C4240" w:rsidP="00B0055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2F99E" w14:textId="5EB24348" w:rsidR="002C4240" w:rsidRPr="00B0055A" w:rsidRDefault="002C4240" w:rsidP="00B0055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44BC8" w14:textId="77CC0ABA" w:rsidR="002C4240" w:rsidRPr="00B0055A" w:rsidRDefault="002C4240" w:rsidP="00B00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42C5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525F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D2AD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5EF1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AC804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DE88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20BC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100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003C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7AB3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22E10"/>
    <w:multiLevelType w:val="hybridMultilevel"/>
    <w:tmpl w:val="C56A30B2"/>
    <w:lvl w:ilvl="0" w:tplc="FA0400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E277BC"/>
    <w:multiLevelType w:val="hybridMultilevel"/>
    <w:tmpl w:val="5C6E6132"/>
    <w:lvl w:ilvl="0" w:tplc="FA0400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C5737C"/>
    <w:multiLevelType w:val="hybridMultilevel"/>
    <w:tmpl w:val="7F9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9E51D0"/>
    <w:multiLevelType w:val="hybridMultilevel"/>
    <w:tmpl w:val="9E26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1B0C1D"/>
    <w:multiLevelType w:val="hybridMultilevel"/>
    <w:tmpl w:val="CCF6B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30314DC"/>
    <w:multiLevelType w:val="hybridMultilevel"/>
    <w:tmpl w:val="BBD6778A"/>
    <w:lvl w:ilvl="0" w:tplc="7CF644FE">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231B6E"/>
    <w:multiLevelType w:val="hybridMultilevel"/>
    <w:tmpl w:val="3732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AA0F09"/>
    <w:multiLevelType w:val="hybridMultilevel"/>
    <w:tmpl w:val="D98E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CA4087"/>
    <w:multiLevelType w:val="hybridMultilevel"/>
    <w:tmpl w:val="53D0B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1D2FBA"/>
    <w:multiLevelType w:val="hybridMultilevel"/>
    <w:tmpl w:val="6B18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5A1816"/>
    <w:multiLevelType w:val="hybridMultilevel"/>
    <w:tmpl w:val="77D47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FC5C71"/>
    <w:multiLevelType w:val="hybridMultilevel"/>
    <w:tmpl w:val="5980E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01339B1"/>
    <w:multiLevelType w:val="multilevel"/>
    <w:tmpl w:val="0138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D017A4"/>
    <w:multiLevelType w:val="multilevel"/>
    <w:tmpl w:val="9BF822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29FE3A80"/>
    <w:multiLevelType w:val="hybridMultilevel"/>
    <w:tmpl w:val="3C6A3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DE60013"/>
    <w:multiLevelType w:val="hybridMultilevel"/>
    <w:tmpl w:val="5A5ABAF6"/>
    <w:lvl w:ilvl="0" w:tplc="7CF644FE">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5E67D6"/>
    <w:multiLevelType w:val="hybridMultilevel"/>
    <w:tmpl w:val="8C5C25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3B590024"/>
    <w:multiLevelType w:val="hybridMultilevel"/>
    <w:tmpl w:val="0B4CD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4B55CD"/>
    <w:multiLevelType w:val="hybridMultilevel"/>
    <w:tmpl w:val="D8860792"/>
    <w:lvl w:ilvl="0" w:tplc="FCB8C9B8">
      <w:start w:val="1"/>
      <w:numFmt w:val="bullet"/>
      <w:lvlText w:val=""/>
      <w:lvlJc w:val="left"/>
      <w:pPr>
        <w:ind w:left="720" w:hanging="360"/>
      </w:pPr>
      <w:rPr>
        <w:rFonts w:ascii="Symbol" w:hAnsi="Symbol" w:hint="default"/>
        <w:strike w:val="0"/>
        <w:color w:val="000000" w:themeColor="text1"/>
        <w:spacing w:val="12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804760"/>
    <w:multiLevelType w:val="hybridMultilevel"/>
    <w:tmpl w:val="FEE0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883B07"/>
    <w:multiLevelType w:val="hybridMultilevel"/>
    <w:tmpl w:val="80B4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73095D"/>
    <w:multiLevelType w:val="hybridMultilevel"/>
    <w:tmpl w:val="DA78F074"/>
    <w:lvl w:ilvl="0" w:tplc="62E455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4E8E53E8"/>
    <w:multiLevelType w:val="hybridMultilevel"/>
    <w:tmpl w:val="BB9827BC"/>
    <w:lvl w:ilvl="0" w:tplc="26A84216">
      <w:start w:val="1"/>
      <w:numFmt w:val="bullet"/>
      <w:lvlText w:val="-"/>
      <w:lvlJc w:val="left"/>
      <w:pPr>
        <w:ind w:left="410" w:hanging="360"/>
      </w:pPr>
      <w:rPr>
        <w:rFonts w:ascii="Arial" w:eastAsia="Times New Roman" w:hAnsi="Arial" w:cs="Aria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6" w15:restartNumberingAfterBreak="0">
    <w:nsid w:val="530124A0"/>
    <w:multiLevelType w:val="hybridMultilevel"/>
    <w:tmpl w:val="C3AE7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E40A96"/>
    <w:multiLevelType w:val="hybridMultilevel"/>
    <w:tmpl w:val="82580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E04A53"/>
    <w:multiLevelType w:val="hybridMultilevel"/>
    <w:tmpl w:val="2C2C1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552A0561"/>
    <w:multiLevelType w:val="hybridMultilevel"/>
    <w:tmpl w:val="F33E12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567756E2"/>
    <w:multiLevelType w:val="hybridMultilevel"/>
    <w:tmpl w:val="B7802080"/>
    <w:lvl w:ilvl="0" w:tplc="80A261D6">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1F06E91"/>
    <w:multiLevelType w:val="hybridMultilevel"/>
    <w:tmpl w:val="13585D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6409061B"/>
    <w:multiLevelType w:val="hybridMultilevel"/>
    <w:tmpl w:val="CE16D2F8"/>
    <w:lvl w:ilvl="0" w:tplc="FA0400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3C0472"/>
    <w:multiLevelType w:val="hybridMultilevel"/>
    <w:tmpl w:val="81C62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3C1D81"/>
    <w:multiLevelType w:val="hybridMultilevel"/>
    <w:tmpl w:val="A080F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755AD1"/>
    <w:multiLevelType w:val="hybridMultilevel"/>
    <w:tmpl w:val="407E9A48"/>
    <w:lvl w:ilvl="0" w:tplc="EEB421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6" w15:restartNumberingAfterBreak="0">
    <w:nsid w:val="71B04996"/>
    <w:multiLevelType w:val="hybridMultilevel"/>
    <w:tmpl w:val="C55CE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3D44FC"/>
    <w:multiLevelType w:val="hybridMultilevel"/>
    <w:tmpl w:val="6DC0CD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15:restartNumberingAfterBreak="0">
    <w:nsid w:val="74971AC6"/>
    <w:multiLevelType w:val="multilevel"/>
    <w:tmpl w:val="8C10EB70"/>
    <w:lvl w:ilvl="0">
      <w:start w:val="2"/>
      <w:numFmt w:val="decimal"/>
      <w:lvlText w:val="%1"/>
      <w:lvlJc w:val="left"/>
      <w:pPr>
        <w:ind w:left="567" w:hanging="567"/>
      </w:pPr>
      <w:rPr>
        <w:rFonts w:hint="default"/>
      </w:rPr>
    </w:lvl>
    <w:lvl w:ilvl="1">
      <w:start w:val="1"/>
      <w:numFmt w:val="decimal"/>
      <w:lvlText w:val="%1.%2"/>
      <w:lvlJc w:val="left"/>
      <w:pPr>
        <w:ind w:left="794" w:hanging="794"/>
      </w:pPr>
      <w:rPr>
        <w:rFonts w:hint="default"/>
        <w:i w:val="0"/>
      </w:rPr>
    </w:lvl>
    <w:lvl w:ilvl="2">
      <w:start w:val="1"/>
      <w:numFmt w:val="decimal"/>
      <w:lvlText w:val="%1.%2.%3"/>
      <w:lvlJc w:val="left"/>
      <w:pPr>
        <w:ind w:left="964" w:hanging="964"/>
      </w:pPr>
      <w:rPr>
        <w:rFonts w:hint="default"/>
        <w:b/>
      </w:rPr>
    </w:lvl>
    <w:lvl w:ilvl="3">
      <w:start w:val="1"/>
      <w:numFmt w:val="decimal"/>
      <w:lvlText w:val="%1.%2.%3.%4"/>
      <w:lvlJc w:val="left"/>
      <w:pPr>
        <w:ind w:left="1134"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7E8931B8"/>
    <w:multiLevelType w:val="hybridMultilevel"/>
    <w:tmpl w:val="25BAD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4"/>
  </w:num>
  <w:num w:numId="3">
    <w:abstractNumId w:val="15"/>
  </w:num>
  <w:num w:numId="4">
    <w:abstractNumId w:val="31"/>
  </w:num>
  <w:num w:numId="5">
    <w:abstractNumId w:val="26"/>
  </w:num>
  <w:num w:numId="6">
    <w:abstractNumId w:val="25"/>
  </w:num>
  <w:num w:numId="7">
    <w:abstractNumId w:val="11"/>
  </w:num>
  <w:num w:numId="8">
    <w:abstractNumId w:val="42"/>
  </w:num>
  <w:num w:numId="9">
    <w:abstractNumId w:val="10"/>
  </w:num>
  <w:num w:numId="10">
    <w:abstractNumId w:val="38"/>
  </w:num>
  <w:num w:numId="11">
    <w:abstractNumId w:val="48"/>
  </w:num>
  <w:num w:numId="12">
    <w:abstractNumId w:val="21"/>
  </w:num>
  <w:num w:numId="13">
    <w:abstractNumId w:val="0"/>
  </w:num>
  <w:num w:numId="14">
    <w:abstractNumId w:val="1"/>
  </w:num>
  <w:num w:numId="15">
    <w:abstractNumId w:val="2"/>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46"/>
  </w:num>
  <w:num w:numId="24">
    <w:abstractNumId w:val="18"/>
  </w:num>
  <w:num w:numId="25">
    <w:abstractNumId w:val="14"/>
  </w:num>
  <w:num w:numId="26">
    <w:abstractNumId w:val="36"/>
  </w:num>
  <w:num w:numId="27">
    <w:abstractNumId w:val="37"/>
  </w:num>
  <w:num w:numId="28">
    <w:abstractNumId w:val="27"/>
  </w:num>
  <w:num w:numId="29">
    <w:abstractNumId w:val="30"/>
  </w:num>
  <w:num w:numId="30">
    <w:abstractNumId w:val="19"/>
  </w:num>
  <w:num w:numId="31">
    <w:abstractNumId w:val="44"/>
  </w:num>
  <w:num w:numId="32">
    <w:abstractNumId w:val="32"/>
  </w:num>
  <w:num w:numId="33">
    <w:abstractNumId w:val="20"/>
  </w:num>
  <w:num w:numId="34">
    <w:abstractNumId w:val="12"/>
  </w:num>
  <w:num w:numId="35">
    <w:abstractNumId w:val="16"/>
  </w:num>
  <w:num w:numId="36">
    <w:abstractNumId w:val="13"/>
  </w:num>
  <w:num w:numId="37">
    <w:abstractNumId w:val="17"/>
  </w:num>
  <w:num w:numId="38">
    <w:abstractNumId w:val="23"/>
  </w:num>
  <w:num w:numId="39">
    <w:abstractNumId w:val="45"/>
  </w:num>
  <w:num w:numId="40">
    <w:abstractNumId w:val="33"/>
  </w:num>
  <w:num w:numId="41">
    <w:abstractNumId w:val="40"/>
  </w:num>
  <w:num w:numId="42">
    <w:abstractNumId w:val="22"/>
  </w:num>
  <w:num w:numId="43">
    <w:abstractNumId w:val="41"/>
  </w:num>
  <w:num w:numId="44">
    <w:abstractNumId w:val="28"/>
  </w:num>
  <w:num w:numId="45">
    <w:abstractNumId w:val="47"/>
  </w:num>
  <w:num w:numId="46">
    <w:abstractNumId w:val="39"/>
  </w:num>
  <w:num w:numId="47">
    <w:abstractNumId w:val="35"/>
  </w:num>
  <w:num w:numId="48">
    <w:abstractNumId w:val="29"/>
  </w:num>
  <w:num w:numId="49">
    <w:abstractNumId w:val="49"/>
  </w:num>
  <w:num w:numId="50">
    <w:abstractNumId w:val="4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342"/>
    <w:rsid w:val="00001CF2"/>
    <w:rsid w:val="0000247B"/>
    <w:rsid w:val="0000469B"/>
    <w:rsid w:val="00010BAE"/>
    <w:rsid w:val="000213DF"/>
    <w:rsid w:val="00027E9E"/>
    <w:rsid w:val="00035FF3"/>
    <w:rsid w:val="00051021"/>
    <w:rsid w:val="00051ED9"/>
    <w:rsid w:val="00057181"/>
    <w:rsid w:val="0006473A"/>
    <w:rsid w:val="00064B2D"/>
    <w:rsid w:val="00065F1F"/>
    <w:rsid w:val="00076D33"/>
    <w:rsid w:val="00092CDA"/>
    <w:rsid w:val="000A27E9"/>
    <w:rsid w:val="000A3D8B"/>
    <w:rsid w:val="000A5DF8"/>
    <w:rsid w:val="000B6AF2"/>
    <w:rsid w:val="000B736F"/>
    <w:rsid w:val="000D6FD4"/>
    <w:rsid w:val="000E0AE4"/>
    <w:rsid w:val="000E3DBC"/>
    <w:rsid w:val="000F1AB3"/>
    <w:rsid w:val="000F1BD3"/>
    <w:rsid w:val="00113CE3"/>
    <w:rsid w:val="00114E57"/>
    <w:rsid w:val="00117522"/>
    <w:rsid w:val="00134145"/>
    <w:rsid w:val="001542D8"/>
    <w:rsid w:val="00156B99"/>
    <w:rsid w:val="00157348"/>
    <w:rsid w:val="001618E9"/>
    <w:rsid w:val="00180C41"/>
    <w:rsid w:val="00182C4C"/>
    <w:rsid w:val="0018685E"/>
    <w:rsid w:val="0019564E"/>
    <w:rsid w:val="00197D8D"/>
    <w:rsid w:val="001A1A75"/>
    <w:rsid w:val="001A3597"/>
    <w:rsid w:val="001A7E9A"/>
    <w:rsid w:val="001B3336"/>
    <w:rsid w:val="001B4D3A"/>
    <w:rsid w:val="001C27A3"/>
    <w:rsid w:val="001C5295"/>
    <w:rsid w:val="001D13E2"/>
    <w:rsid w:val="001E09FA"/>
    <w:rsid w:val="001F2457"/>
    <w:rsid w:val="001F39CB"/>
    <w:rsid w:val="002011F1"/>
    <w:rsid w:val="00203540"/>
    <w:rsid w:val="00207885"/>
    <w:rsid w:val="00210021"/>
    <w:rsid w:val="00213249"/>
    <w:rsid w:val="0021612B"/>
    <w:rsid w:val="0022083A"/>
    <w:rsid w:val="00221D07"/>
    <w:rsid w:val="002223B1"/>
    <w:rsid w:val="002227AF"/>
    <w:rsid w:val="00227E4A"/>
    <w:rsid w:val="00230D4F"/>
    <w:rsid w:val="00230D8D"/>
    <w:rsid w:val="002451DF"/>
    <w:rsid w:val="0024582E"/>
    <w:rsid w:val="00245C56"/>
    <w:rsid w:val="002547EF"/>
    <w:rsid w:val="00256D65"/>
    <w:rsid w:val="00271F00"/>
    <w:rsid w:val="00273A80"/>
    <w:rsid w:val="0027412E"/>
    <w:rsid w:val="00285EF0"/>
    <w:rsid w:val="00286019"/>
    <w:rsid w:val="0029204E"/>
    <w:rsid w:val="0029631C"/>
    <w:rsid w:val="002A0194"/>
    <w:rsid w:val="002A3314"/>
    <w:rsid w:val="002A5F8B"/>
    <w:rsid w:val="002A7F6C"/>
    <w:rsid w:val="002B69A2"/>
    <w:rsid w:val="002C4240"/>
    <w:rsid w:val="002D6809"/>
    <w:rsid w:val="002E23E0"/>
    <w:rsid w:val="002F6488"/>
    <w:rsid w:val="00320839"/>
    <w:rsid w:val="003213F9"/>
    <w:rsid w:val="00323DBF"/>
    <w:rsid w:val="00326D85"/>
    <w:rsid w:val="003309A8"/>
    <w:rsid w:val="00332B12"/>
    <w:rsid w:val="00351B07"/>
    <w:rsid w:val="00352CF2"/>
    <w:rsid w:val="00354E14"/>
    <w:rsid w:val="00361819"/>
    <w:rsid w:val="00364841"/>
    <w:rsid w:val="00371B29"/>
    <w:rsid w:val="0037267B"/>
    <w:rsid w:val="0037656B"/>
    <w:rsid w:val="00391769"/>
    <w:rsid w:val="003953E1"/>
    <w:rsid w:val="003956B3"/>
    <w:rsid w:val="003A54DA"/>
    <w:rsid w:val="003A5D27"/>
    <w:rsid w:val="003A68BE"/>
    <w:rsid w:val="003B1805"/>
    <w:rsid w:val="003B3C9D"/>
    <w:rsid w:val="003B6029"/>
    <w:rsid w:val="003B78E0"/>
    <w:rsid w:val="003C21C2"/>
    <w:rsid w:val="003C4969"/>
    <w:rsid w:val="003D60B7"/>
    <w:rsid w:val="003E41D5"/>
    <w:rsid w:val="003E46BA"/>
    <w:rsid w:val="003E7D22"/>
    <w:rsid w:val="003F74C1"/>
    <w:rsid w:val="00405B1A"/>
    <w:rsid w:val="00410C76"/>
    <w:rsid w:val="00411907"/>
    <w:rsid w:val="00413CA8"/>
    <w:rsid w:val="00413EB5"/>
    <w:rsid w:val="00417EE3"/>
    <w:rsid w:val="004207EB"/>
    <w:rsid w:val="004279C7"/>
    <w:rsid w:val="004371CF"/>
    <w:rsid w:val="00437276"/>
    <w:rsid w:val="0045260F"/>
    <w:rsid w:val="00455A97"/>
    <w:rsid w:val="00456B54"/>
    <w:rsid w:val="004574D8"/>
    <w:rsid w:val="0046448C"/>
    <w:rsid w:val="00464643"/>
    <w:rsid w:val="00482DC1"/>
    <w:rsid w:val="00486271"/>
    <w:rsid w:val="00486793"/>
    <w:rsid w:val="00492EF7"/>
    <w:rsid w:val="004A05B1"/>
    <w:rsid w:val="004A2037"/>
    <w:rsid w:val="004B2589"/>
    <w:rsid w:val="004B3D31"/>
    <w:rsid w:val="004C2CE7"/>
    <w:rsid w:val="004D4AD7"/>
    <w:rsid w:val="004E0C49"/>
    <w:rsid w:val="004E4771"/>
    <w:rsid w:val="004E7546"/>
    <w:rsid w:val="004F4F98"/>
    <w:rsid w:val="004F69F6"/>
    <w:rsid w:val="004F79AC"/>
    <w:rsid w:val="005017CF"/>
    <w:rsid w:val="00506B61"/>
    <w:rsid w:val="0051072D"/>
    <w:rsid w:val="00514987"/>
    <w:rsid w:val="0052075C"/>
    <w:rsid w:val="005207D8"/>
    <w:rsid w:val="00524069"/>
    <w:rsid w:val="00531D32"/>
    <w:rsid w:val="0053464E"/>
    <w:rsid w:val="0054272D"/>
    <w:rsid w:val="0055458D"/>
    <w:rsid w:val="00562917"/>
    <w:rsid w:val="005710C9"/>
    <w:rsid w:val="0057615C"/>
    <w:rsid w:val="0057637C"/>
    <w:rsid w:val="00586228"/>
    <w:rsid w:val="00597EE7"/>
    <w:rsid w:val="005A1D97"/>
    <w:rsid w:val="005A58F3"/>
    <w:rsid w:val="005B6AF4"/>
    <w:rsid w:val="005B7A73"/>
    <w:rsid w:val="005C04CB"/>
    <w:rsid w:val="005D0B92"/>
    <w:rsid w:val="005D16AD"/>
    <w:rsid w:val="005D72E1"/>
    <w:rsid w:val="005E6E16"/>
    <w:rsid w:val="005F400E"/>
    <w:rsid w:val="005F7342"/>
    <w:rsid w:val="006032FF"/>
    <w:rsid w:val="00603A08"/>
    <w:rsid w:val="00610A3C"/>
    <w:rsid w:val="00625761"/>
    <w:rsid w:val="00627F48"/>
    <w:rsid w:val="00630C23"/>
    <w:rsid w:val="00636CBB"/>
    <w:rsid w:val="006460AB"/>
    <w:rsid w:val="0065393A"/>
    <w:rsid w:val="00657FDB"/>
    <w:rsid w:val="006603BD"/>
    <w:rsid w:val="00663FCF"/>
    <w:rsid w:val="006652A2"/>
    <w:rsid w:val="00675BB0"/>
    <w:rsid w:val="00690206"/>
    <w:rsid w:val="006937FF"/>
    <w:rsid w:val="006A48A7"/>
    <w:rsid w:val="006B32C8"/>
    <w:rsid w:val="006B4BA1"/>
    <w:rsid w:val="006B5EBE"/>
    <w:rsid w:val="006C5CF5"/>
    <w:rsid w:val="006F4A82"/>
    <w:rsid w:val="00702034"/>
    <w:rsid w:val="0070225B"/>
    <w:rsid w:val="00702CD0"/>
    <w:rsid w:val="0070373B"/>
    <w:rsid w:val="00705359"/>
    <w:rsid w:val="0071510D"/>
    <w:rsid w:val="00724FA4"/>
    <w:rsid w:val="00730800"/>
    <w:rsid w:val="0073537F"/>
    <w:rsid w:val="0074625D"/>
    <w:rsid w:val="007512C3"/>
    <w:rsid w:val="0075672D"/>
    <w:rsid w:val="007602AA"/>
    <w:rsid w:val="007652EF"/>
    <w:rsid w:val="007721A1"/>
    <w:rsid w:val="00772BDC"/>
    <w:rsid w:val="007756E3"/>
    <w:rsid w:val="00780792"/>
    <w:rsid w:val="00787E56"/>
    <w:rsid w:val="00796562"/>
    <w:rsid w:val="007A44B4"/>
    <w:rsid w:val="007A4902"/>
    <w:rsid w:val="007A7D3D"/>
    <w:rsid w:val="007B225D"/>
    <w:rsid w:val="007C174F"/>
    <w:rsid w:val="007C1C64"/>
    <w:rsid w:val="007C4D68"/>
    <w:rsid w:val="007D03EA"/>
    <w:rsid w:val="007E48BC"/>
    <w:rsid w:val="007E79F7"/>
    <w:rsid w:val="007F3630"/>
    <w:rsid w:val="00803222"/>
    <w:rsid w:val="008041E8"/>
    <w:rsid w:val="00804706"/>
    <w:rsid w:val="00807559"/>
    <w:rsid w:val="00813091"/>
    <w:rsid w:val="0083511C"/>
    <w:rsid w:val="00837C34"/>
    <w:rsid w:val="00843DE5"/>
    <w:rsid w:val="008450BC"/>
    <w:rsid w:val="0085334B"/>
    <w:rsid w:val="00870214"/>
    <w:rsid w:val="00885C51"/>
    <w:rsid w:val="00885EB0"/>
    <w:rsid w:val="00891F4B"/>
    <w:rsid w:val="0089264A"/>
    <w:rsid w:val="00896B85"/>
    <w:rsid w:val="008A11B3"/>
    <w:rsid w:val="008A22BE"/>
    <w:rsid w:val="008A298D"/>
    <w:rsid w:val="008B6B64"/>
    <w:rsid w:val="008C1B36"/>
    <w:rsid w:val="008D06C6"/>
    <w:rsid w:val="008E5E67"/>
    <w:rsid w:val="008E6250"/>
    <w:rsid w:val="00902AF6"/>
    <w:rsid w:val="00904642"/>
    <w:rsid w:val="00911588"/>
    <w:rsid w:val="00911B49"/>
    <w:rsid w:val="009155E4"/>
    <w:rsid w:val="00920249"/>
    <w:rsid w:val="00924C80"/>
    <w:rsid w:val="009320AA"/>
    <w:rsid w:val="009327FE"/>
    <w:rsid w:val="00932F14"/>
    <w:rsid w:val="00936AB5"/>
    <w:rsid w:val="0094247F"/>
    <w:rsid w:val="00942D60"/>
    <w:rsid w:val="0096523B"/>
    <w:rsid w:val="00966EE3"/>
    <w:rsid w:val="00972D06"/>
    <w:rsid w:val="00984068"/>
    <w:rsid w:val="009854E7"/>
    <w:rsid w:val="00992999"/>
    <w:rsid w:val="009A391C"/>
    <w:rsid w:val="009A50F2"/>
    <w:rsid w:val="009B6531"/>
    <w:rsid w:val="009B6FA4"/>
    <w:rsid w:val="009B7095"/>
    <w:rsid w:val="009C3E8C"/>
    <w:rsid w:val="009C538B"/>
    <w:rsid w:val="009E0A61"/>
    <w:rsid w:val="009E3010"/>
    <w:rsid w:val="009F007E"/>
    <w:rsid w:val="009F0156"/>
    <w:rsid w:val="009F6A5D"/>
    <w:rsid w:val="009F7065"/>
    <w:rsid w:val="009F73F2"/>
    <w:rsid w:val="00A1728B"/>
    <w:rsid w:val="00A20428"/>
    <w:rsid w:val="00A4175D"/>
    <w:rsid w:val="00A56DC7"/>
    <w:rsid w:val="00A74FD1"/>
    <w:rsid w:val="00A77BFA"/>
    <w:rsid w:val="00A84A58"/>
    <w:rsid w:val="00A854E7"/>
    <w:rsid w:val="00A952A2"/>
    <w:rsid w:val="00AC1B7D"/>
    <w:rsid w:val="00AE471C"/>
    <w:rsid w:val="00AE6722"/>
    <w:rsid w:val="00AF06FC"/>
    <w:rsid w:val="00AF3391"/>
    <w:rsid w:val="00AF387F"/>
    <w:rsid w:val="00B0055A"/>
    <w:rsid w:val="00B00E7F"/>
    <w:rsid w:val="00B05684"/>
    <w:rsid w:val="00B12F1E"/>
    <w:rsid w:val="00B173DA"/>
    <w:rsid w:val="00B21DCC"/>
    <w:rsid w:val="00B25F37"/>
    <w:rsid w:val="00B25FD1"/>
    <w:rsid w:val="00B33F57"/>
    <w:rsid w:val="00B36DA8"/>
    <w:rsid w:val="00B37BF0"/>
    <w:rsid w:val="00B41BBA"/>
    <w:rsid w:val="00B44422"/>
    <w:rsid w:val="00B46EA0"/>
    <w:rsid w:val="00B731D3"/>
    <w:rsid w:val="00B809B0"/>
    <w:rsid w:val="00B839A3"/>
    <w:rsid w:val="00B902BD"/>
    <w:rsid w:val="00B96115"/>
    <w:rsid w:val="00BA1341"/>
    <w:rsid w:val="00BA24E2"/>
    <w:rsid w:val="00BA3533"/>
    <w:rsid w:val="00BB3F91"/>
    <w:rsid w:val="00BC2DE9"/>
    <w:rsid w:val="00BD2A39"/>
    <w:rsid w:val="00BD2E80"/>
    <w:rsid w:val="00BE11B8"/>
    <w:rsid w:val="00BE68BE"/>
    <w:rsid w:val="00BF7FF0"/>
    <w:rsid w:val="00C013B4"/>
    <w:rsid w:val="00C04FCF"/>
    <w:rsid w:val="00C057F4"/>
    <w:rsid w:val="00C1011C"/>
    <w:rsid w:val="00C12502"/>
    <w:rsid w:val="00C26487"/>
    <w:rsid w:val="00C36578"/>
    <w:rsid w:val="00C40AA5"/>
    <w:rsid w:val="00C46F70"/>
    <w:rsid w:val="00C476D0"/>
    <w:rsid w:val="00C534EC"/>
    <w:rsid w:val="00C56523"/>
    <w:rsid w:val="00C61AC1"/>
    <w:rsid w:val="00C7249A"/>
    <w:rsid w:val="00C829B1"/>
    <w:rsid w:val="00C836E3"/>
    <w:rsid w:val="00C839B6"/>
    <w:rsid w:val="00C848EA"/>
    <w:rsid w:val="00C86577"/>
    <w:rsid w:val="00C91325"/>
    <w:rsid w:val="00C92E07"/>
    <w:rsid w:val="00C95AF7"/>
    <w:rsid w:val="00C96868"/>
    <w:rsid w:val="00C97803"/>
    <w:rsid w:val="00CA0416"/>
    <w:rsid w:val="00CA0DEE"/>
    <w:rsid w:val="00CA641D"/>
    <w:rsid w:val="00CB57B0"/>
    <w:rsid w:val="00CC560B"/>
    <w:rsid w:val="00CC75E2"/>
    <w:rsid w:val="00CD46EB"/>
    <w:rsid w:val="00CD7EBF"/>
    <w:rsid w:val="00CE156D"/>
    <w:rsid w:val="00D02901"/>
    <w:rsid w:val="00D056F1"/>
    <w:rsid w:val="00D11171"/>
    <w:rsid w:val="00D11B9D"/>
    <w:rsid w:val="00D11D26"/>
    <w:rsid w:val="00D22F3C"/>
    <w:rsid w:val="00D23DB6"/>
    <w:rsid w:val="00D34C73"/>
    <w:rsid w:val="00D34CCB"/>
    <w:rsid w:val="00D43FE6"/>
    <w:rsid w:val="00D51A95"/>
    <w:rsid w:val="00D60568"/>
    <w:rsid w:val="00D620D9"/>
    <w:rsid w:val="00D70C7A"/>
    <w:rsid w:val="00D81D38"/>
    <w:rsid w:val="00D87820"/>
    <w:rsid w:val="00D92BF2"/>
    <w:rsid w:val="00D9620E"/>
    <w:rsid w:val="00D97ACC"/>
    <w:rsid w:val="00DA10A8"/>
    <w:rsid w:val="00DB1E08"/>
    <w:rsid w:val="00DB2973"/>
    <w:rsid w:val="00DB681B"/>
    <w:rsid w:val="00DC1B56"/>
    <w:rsid w:val="00DC2129"/>
    <w:rsid w:val="00DC6570"/>
    <w:rsid w:val="00DD3C5E"/>
    <w:rsid w:val="00DD6999"/>
    <w:rsid w:val="00DF25C3"/>
    <w:rsid w:val="00E04062"/>
    <w:rsid w:val="00E05177"/>
    <w:rsid w:val="00E063C6"/>
    <w:rsid w:val="00E066BA"/>
    <w:rsid w:val="00E2003B"/>
    <w:rsid w:val="00E203C2"/>
    <w:rsid w:val="00E279D8"/>
    <w:rsid w:val="00E319B1"/>
    <w:rsid w:val="00E37503"/>
    <w:rsid w:val="00E44DB7"/>
    <w:rsid w:val="00E44E0D"/>
    <w:rsid w:val="00E5492F"/>
    <w:rsid w:val="00E5657D"/>
    <w:rsid w:val="00E62DEF"/>
    <w:rsid w:val="00E70A86"/>
    <w:rsid w:val="00E777EC"/>
    <w:rsid w:val="00E80FCD"/>
    <w:rsid w:val="00E94ED2"/>
    <w:rsid w:val="00EA0485"/>
    <w:rsid w:val="00EA7F2F"/>
    <w:rsid w:val="00EC00DE"/>
    <w:rsid w:val="00EC19BD"/>
    <w:rsid w:val="00EC30E1"/>
    <w:rsid w:val="00ED172A"/>
    <w:rsid w:val="00EF1D27"/>
    <w:rsid w:val="00EF60B9"/>
    <w:rsid w:val="00F04B3F"/>
    <w:rsid w:val="00F04E22"/>
    <w:rsid w:val="00F11F6C"/>
    <w:rsid w:val="00F14BEC"/>
    <w:rsid w:val="00F225C5"/>
    <w:rsid w:val="00F22D1A"/>
    <w:rsid w:val="00F2587A"/>
    <w:rsid w:val="00F3172E"/>
    <w:rsid w:val="00F3715D"/>
    <w:rsid w:val="00F420C8"/>
    <w:rsid w:val="00F42A4C"/>
    <w:rsid w:val="00F55E26"/>
    <w:rsid w:val="00F57E1E"/>
    <w:rsid w:val="00F604DE"/>
    <w:rsid w:val="00F87CC5"/>
    <w:rsid w:val="00F96FD2"/>
    <w:rsid w:val="00FA01B2"/>
    <w:rsid w:val="00FA3236"/>
    <w:rsid w:val="00FA4F4A"/>
    <w:rsid w:val="00FA6344"/>
    <w:rsid w:val="00FA76C9"/>
    <w:rsid w:val="00FB04CE"/>
    <w:rsid w:val="00FB4F66"/>
    <w:rsid w:val="00FB7512"/>
    <w:rsid w:val="00FD7547"/>
    <w:rsid w:val="00FE3E3F"/>
    <w:rsid w:val="00FF5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2E9F72"/>
  <w15:docId w15:val="{C9FA3EB3-0F34-4271-9614-3C5ACCAB1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qFormat="1"/>
    <w:lsdException w:name="annotation text" w:semiHidden="1" w:uiPriority="99" w:unhideWhenUsed="1"/>
    <w:lsdException w:name="header" w:semiHidden="1" w:uiPriority="3" w:unhideWhenUsed="1" w:qFormat="1"/>
    <w:lsdException w:name="footer" w:semiHidden="1" w:uiPriority="4"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2"/>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2"/>
    <w:unhideWhenUsed/>
    <w:qFormat/>
    <w:rsid w:val="00C839B6"/>
    <w:pPr>
      <w:keepNext/>
      <w:spacing w:before="240" w:after="240"/>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2"/>
    <w:unhideWhenUsed/>
    <w:qFormat/>
    <w:rsid w:val="00787E56"/>
    <w:pPr>
      <w:keepNext/>
      <w:spacing w:before="240" w:after="240"/>
      <w:ind w:left="851" w:hanging="851"/>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2"/>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2"/>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qFormat/>
    <w:rsid w:val="00B731D3"/>
    <w:pPr>
      <w:spacing w:before="240" w:after="60"/>
      <w:outlineLvl w:val="7"/>
    </w:pPr>
    <w:rPr>
      <w:i/>
      <w:iCs/>
    </w:rPr>
  </w:style>
  <w:style w:type="paragraph" w:styleId="Heading9">
    <w:name w:val="heading 9"/>
    <w:basedOn w:val="Normal"/>
    <w:next w:val="Normal"/>
    <w:link w:val="Heading9Char"/>
    <w:uiPriority w:val="9"/>
    <w:unhideWhenUsed/>
    <w:qFormat/>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2"/>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2"/>
    <w:rsid w:val="00C839B6"/>
    <w:rPr>
      <w:rFonts w:ascii="Arial" w:hAnsi="Arial" w:cs="Arial"/>
      <w:b/>
      <w:bCs/>
      <w:sz w:val="28"/>
      <w:szCs w:val="22"/>
      <w:lang w:eastAsia="en-US"/>
    </w:rPr>
  </w:style>
  <w:style w:type="character" w:customStyle="1" w:styleId="Heading3Char">
    <w:name w:val="Heading 3 Char"/>
    <w:aliases w:val="FSHeading 3 Char,Subheading 1 Char"/>
    <w:link w:val="Heading3"/>
    <w:uiPriority w:val="2"/>
    <w:rsid w:val="00787E56"/>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2"/>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2"/>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FSHeader"/>
    <w:basedOn w:val="Normal"/>
    <w:link w:val="HeaderChar"/>
    <w:uiPriority w:val="3"/>
    <w:qFormat/>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aliases w:val="FSFooter"/>
    <w:basedOn w:val="Normal"/>
    <w:link w:val="FooterChar"/>
    <w:uiPriority w:val="4"/>
    <w:qFormat/>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uiPriority w:val="39"/>
    <w:pPr>
      <w:ind w:left="660"/>
    </w:pPr>
    <w:rPr>
      <w:rFonts w:asciiTheme="minorHAnsi" w:hAnsiTheme="minorHAnsi"/>
      <w:sz w:val="18"/>
      <w:szCs w:val="18"/>
    </w:rPr>
  </w:style>
  <w:style w:type="paragraph" w:styleId="TOC5">
    <w:name w:val="toc 5"/>
    <w:basedOn w:val="Normal"/>
    <w:next w:val="Normal"/>
    <w:autoRedefine/>
    <w:uiPriority w:val="39"/>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uiPriority w:val="39"/>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uiPriority w:val="39"/>
    <w:pPr>
      <w:ind w:left="1320"/>
    </w:pPr>
    <w:rPr>
      <w:rFonts w:asciiTheme="minorHAnsi" w:hAnsiTheme="minorHAnsi"/>
      <w:sz w:val="18"/>
      <w:szCs w:val="18"/>
    </w:rPr>
  </w:style>
  <w:style w:type="paragraph" w:styleId="TOC8">
    <w:name w:val="toc 8"/>
    <w:basedOn w:val="Normal"/>
    <w:next w:val="Normal"/>
    <w:autoRedefine/>
    <w:uiPriority w:val="39"/>
    <w:pPr>
      <w:ind w:left="1540"/>
    </w:pPr>
    <w:rPr>
      <w:rFonts w:asciiTheme="minorHAnsi" w:hAnsiTheme="minorHAnsi"/>
      <w:sz w:val="18"/>
      <w:szCs w:val="18"/>
    </w:rPr>
  </w:style>
  <w:style w:type="paragraph" w:styleId="TOC9">
    <w:name w:val="toc 9"/>
    <w:basedOn w:val="Normal"/>
    <w:next w:val="Normal"/>
    <w:autoRedefine/>
    <w:uiPriority w:val="39"/>
    <w:pPr>
      <w:ind w:left="1760"/>
    </w:pPr>
    <w:rPr>
      <w:rFonts w:asciiTheme="minorHAnsi" w:hAnsiTheme="minorHAnsi"/>
      <w:sz w:val="18"/>
      <w:szCs w:val="18"/>
    </w:rPr>
  </w:style>
  <w:style w:type="paragraph" w:styleId="FootnoteText">
    <w:name w:val="footnote text"/>
    <w:aliases w:val="FSFootnote Text,Footnotes Text,FSFootnotes Text"/>
    <w:basedOn w:val="Normal"/>
    <w:link w:val="FootnoteTextChar"/>
    <w:uiPriority w:val="5"/>
    <w:qFormat/>
    <w:rPr>
      <w:sz w:val="20"/>
      <w:szCs w:val="20"/>
    </w:rPr>
  </w:style>
  <w:style w:type="character" w:styleId="FootnoteReference">
    <w:name w:val="footnote reference"/>
    <w:basedOn w:val="DefaultParagraphFont"/>
    <w:uiPriority w:val="99"/>
    <w:rPr>
      <w:vertAlign w:val="superscript"/>
    </w:rPr>
  </w:style>
  <w:style w:type="paragraph" w:styleId="BalloonText">
    <w:name w:val="Balloon Text"/>
    <w:basedOn w:val="Normal"/>
    <w:link w:val="BalloonTextChar"/>
    <w:uiPriority w:val="99"/>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29631C"/>
    <w:pPr>
      <w:widowControl/>
      <w:numPr>
        <w:numId w:val="1"/>
      </w:numPr>
      <w:ind w:left="567" w:hanging="567"/>
    </w:pPr>
    <w:rPr>
      <w:rFonts w:cs="Arial"/>
      <w:lang w:bidi="ar-SA"/>
    </w:rPr>
  </w:style>
  <w:style w:type="character" w:customStyle="1" w:styleId="FSBullet1Char">
    <w:name w:val="FSBullet 1 Char"/>
    <w:link w:val="FSBullet1"/>
    <w:uiPriority w:val="6"/>
    <w:rsid w:val="0029631C"/>
    <w:rPr>
      <w:rFonts w:ascii="Arial" w:hAnsi="Arial" w:cs="Arial"/>
      <w:sz w:val="22"/>
      <w:szCs w:val="24"/>
      <w:lang w:eastAsia="en-US"/>
    </w:rPr>
  </w:style>
  <w:style w:type="paragraph" w:customStyle="1" w:styleId="FSBullet2">
    <w:name w:val="FSBullet 2"/>
    <w:basedOn w:val="Normal"/>
    <w:uiPriority w:val="6"/>
    <w:qFormat/>
    <w:rsid w:val="0029631C"/>
    <w:pPr>
      <w:widowControl/>
      <w:numPr>
        <w:numId w:val="2"/>
      </w:numPr>
      <w:ind w:left="1134" w:hanging="567"/>
    </w:pPr>
    <w:rPr>
      <w:rFonts w:eastAsia="Calibri"/>
      <w:szCs w:val="22"/>
      <w:lang w:bidi="ar-SA"/>
    </w:rPr>
  </w:style>
  <w:style w:type="paragraph" w:customStyle="1" w:styleId="FSBullet3">
    <w:name w:val="FSBullet 3"/>
    <w:basedOn w:val="Normal"/>
    <w:uiPriority w:val="6"/>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FSHeader Char"/>
    <w:basedOn w:val="DefaultParagraphFont"/>
    <w:link w:val="Header"/>
    <w:uiPriority w:val="3"/>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Arial" w:hAnsi="Arial"/>
      <w:lang w:eastAsia="en-US" w:bidi="en-US"/>
    </w:rPr>
  </w:style>
  <w:style w:type="paragraph" w:styleId="ListParagraph">
    <w:name w:val="List Paragraph"/>
    <w:basedOn w:val="Normal"/>
    <w:uiPriority w:val="34"/>
    <w:qFormat/>
    <w:rsid w:val="00936AB5"/>
    <w:pPr>
      <w:widowControl/>
      <w:ind w:left="720"/>
      <w:contextualSpacing/>
    </w:pPr>
    <w:rPr>
      <w:rFonts w:eastAsiaTheme="minorHAnsi" w:cstheme="minorBidi"/>
      <w:szCs w:val="22"/>
      <w:lang w:bidi="ar-SA"/>
    </w:rPr>
  </w:style>
  <w:style w:type="character" w:customStyle="1" w:styleId="FootnoteTextChar">
    <w:name w:val="Footnote Text Char"/>
    <w:aliases w:val="FSFootnote Text Char,Footnotes Text Char,FSFootnotes Text Char"/>
    <w:basedOn w:val="DefaultParagraphFont"/>
    <w:link w:val="FootnoteText"/>
    <w:uiPriority w:val="5"/>
    <w:rsid w:val="00936AB5"/>
    <w:rPr>
      <w:rFonts w:ascii="Arial" w:hAnsi="Arial"/>
      <w:lang w:eastAsia="en-US" w:bidi="en-US"/>
    </w:rPr>
  </w:style>
  <w:style w:type="paragraph" w:customStyle="1" w:styleId="Default">
    <w:name w:val="Default"/>
    <w:rsid w:val="00936AB5"/>
    <w:pPr>
      <w:autoSpaceDE w:val="0"/>
      <w:autoSpaceDN w:val="0"/>
      <w:adjustRightInd w:val="0"/>
    </w:pPr>
    <w:rPr>
      <w:rFonts w:ascii="Arial" w:hAnsi="Arial" w:cs="Arial"/>
      <w:color w:val="000000"/>
      <w:sz w:val="24"/>
      <w:szCs w:val="24"/>
    </w:rPr>
  </w:style>
  <w:style w:type="paragraph" w:customStyle="1" w:styleId="CitaviBibliographyEntry">
    <w:name w:val="Citavi Bibliography Entry"/>
    <w:basedOn w:val="Normal"/>
    <w:link w:val="CitaviBibliographyEntryChar"/>
    <w:rsid w:val="00FB04CE"/>
    <w:pPr>
      <w:tabs>
        <w:tab w:val="left" w:pos="397"/>
      </w:tabs>
      <w:ind w:left="397" w:hanging="397"/>
    </w:pPr>
    <w:rPr>
      <w:color w:val="000000" w:themeColor="text1"/>
    </w:rPr>
  </w:style>
  <w:style w:type="character" w:customStyle="1" w:styleId="CitaviBibliographyEntryChar">
    <w:name w:val="Citavi Bibliography Entry Char"/>
    <w:basedOn w:val="Heading3Char"/>
    <w:link w:val="CitaviBibliographyEntry"/>
    <w:rsid w:val="00FB04CE"/>
    <w:rPr>
      <w:rFonts w:ascii="Arial" w:hAnsi="Arial"/>
      <w:b w:val="0"/>
      <w:bCs w:val="0"/>
      <w:color w:val="000000" w:themeColor="text1"/>
      <w:sz w:val="22"/>
      <w:szCs w:val="24"/>
      <w:lang w:eastAsia="en-US" w:bidi="en-US"/>
    </w:rPr>
  </w:style>
  <w:style w:type="paragraph" w:customStyle="1" w:styleId="CitaviBibliographyHeading">
    <w:name w:val="Citavi Bibliography Heading"/>
    <w:basedOn w:val="Heading1"/>
    <w:link w:val="CitaviBibliographyHeadingChar"/>
    <w:rsid w:val="00FB04CE"/>
    <w:pPr>
      <w:ind w:left="567" w:right="454" w:hanging="567"/>
    </w:pPr>
    <w:rPr>
      <w:color w:val="000000" w:themeColor="text1"/>
    </w:rPr>
  </w:style>
  <w:style w:type="character" w:customStyle="1" w:styleId="CitaviBibliographyHeadingChar">
    <w:name w:val="Citavi Bibliography Heading Char"/>
    <w:basedOn w:val="Heading3Char"/>
    <w:link w:val="CitaviBibliographyHeading"/>
    <w:rsid w:val="00FB04CE"/>
    <w:rPr>
      <w:rFonts w:ascii="Arial" w:hAnsi="Arial"/>
      <w:b/>
      <w:bCs/>
      <w:color w:val="000000" w:themeColor="text1"/>
      <w:sz w:val="36"/>
      <w:szCs w:val="28"/>
      <w:lang w:eastAsia="en-US"/>
    </w:rPr>
  </w:style>
  <w:style w:type="paragraph" w:customStyle="1" w:styleId="CitaviBibliographySubheading1">
    <w:name w:val="Citavi Bibliography Subheading 1"/>
    <w:basedOn w:val="Heading2"/>
    <w:link w:val="CitaviBibliographySubheading1Char"/>
    <w:rsid w:val="00FB04CE"/>
    <w:pPr>
      <w:numPr>
        <w:ilvl w:val="1"/>
      </w:numPr>
      <w:ind w:left="1474" w:hanging="1474"/>
      <w:outlineLvl w:val="9"/>
    </w:pPr>
    <w:rPr>
      <w:i/>
      <w:color w:val="000000" w:themeColor="text1"/>
    </w:rPr>
  </w:style>
  <w:style w:type="character" w:customStyle="1" w:styleId="CitaviBibliographySubheading1Char">
    <w:name w:val="Citavi Bibliography Subheading 1 Char"/>
    <w:basedOn w:val="Heading3Char"/>
    <w:link w:val="CitaviBibliographySubheading1"/>
    <w:rsid w:val="00FB04CE"/>
    <w:rPr>
      <w:rFonts w:ascii="Arial" w:hAnsi="Arial" w:cs="Arial"/>
      <w:b/>
      <w:bCs/>
      <w:i/>
      <w:color w:val="000000" w:themeColor="text1"/>
      <w:sz w:val="28"/>
      <w:szCs w:val="22"/>
      <w:lang w:eastAsia="en-US"/>
    </w:rPr>
  </w:style>
  <w:style w:type="paragraph" w:customStyle="1" w:styleId="CitaviBibliographySubheading2">
    <w:name w:val="Citavi Bibliography Subheading 2"/>
    <w:basedOn w:val="Heading3"/>
    <w:link w:val="CitaviBibliographySubheading2Char"/>
    <w:rsid w:val="00FB04CE"/>
    <w:pPr>
      <w:widowControl/>
      <w:numPr>
        <w:ilvl w:val="2"/>
      </w:numPr>
      <w:ind w:left="964" w:hanging="964"/>
      <w:outlineLvl w:val="9"/>
    </w:pPr>
    <w:rPr>
      <w:rFonts w:ascii="Arial Bold" w:hAnsi="Arial Bold"/>
      <w:bCs w:val="0"/>
    </w:rPr>
  </w:style>
  <w:style w:type="character" w:customStyle="1" w:styleId="CitaviBibliographySubheading2Char">
    <w:name w:val="Citavi Bibliography Subheading 2 Char"/>
    <w:basedOn w:val="Heading3Char"/>
    <w:link w:val="CitaviBibliographySubheading2"/>
    <w:rsid w:val="00FB04CE"/>
    <w:rPr>
      <w:rFonts w:ascii="Arial Bold" w:hAnsi="Arial Bold"/>
      <w:b/>
      <w:bCs w:val="0"/>
      <w:color w:val="000000" w:themeColor="text1"/>
      <w:sz w:val="22"/>
      <w:szCs w:val="24"/>
      <w:lang w:eastAsia="en-AU"/>
    </w:rPr>
  </w:style>
  <w:style w:type="paragraph" w:customStyle="1" w:styleId="CitaviBibliographySubheading3">
    <w:name w:val="Citavi Bibliography Subheading 3"/>
    <w:basedOn w:val="Heading4"/>
    <w:link w:val="CitaviBibliographySubheading3Char"/>
    <w:rsid w:val="00FB04CE"/>
    <w:pPr>
      <w:numPr>
        <w:ilvl w:val="3"/>
      </w:numPr>
      <w:ind w:left="1474" w:hanging="1474"/>
      <w:outlineLvl w:val="9"/>
    </w:pPr>
    <w:rPr>
      <w:color w:val="000000" w:themeColor="text1"/>
    </w:rPr>
  </w:style>
  <w:style w:type="character" w:customStyle="1" w:styleId="CitaviBibliographySubheading3Char">
    <w:name w:val="Citavi Bibliography Subheading 3 Char"/>
    <w:basedOn w:val="Heading3Char"/>
    <w:link w:val="CitaviBibliographySubheading3"/>
    <w:rsid w:val="00FB04CE"/>
    <w:rPr>
      <w:rFonts w:ascii="Arial" w:hAnsi="Arial"/>
      <w:b/>
      <w:bCs/>
      <w:i/>
      <w:iCs/>
      <w:color w:val="000000" w:themeColor="text1"/>
      <w:sz w:val="22"/>
      <w:szCs w:val="22"/>
      <w:lang w:eastAsia="en-US"/>
    </w:rPr>
  </w:style>
  <w:style w:type="paragraph" w:customStyle="1" w:styleId="CitaviBibliographySubheading4">
    <w:name w:val="Citavi Bibliography Subheading 4"/>
    <w:basedOn w:val="Heading5"/>
    <w:link w:val="CitaviBibliographySubheading4Char"/>
    <w:rsid w:val="00FB04CE"/>
    <w:pPr>
      <w:numPr>
        <w:ilvl w:val="4"/>
      </w:numPr>
      <w:ind w:left="1474" w:hanging="1474"/>
      <w:outlineLvl w:val="9"/>
    </w:pPr>
    <w:rPr>
      <w:color w:val="000000" w:themeColor="text1"/>
    </w:rPr>
  </w:style>
  <w:style w:type="character" w:customStyle="1" w:styleId="CitaviBibliographySubheading4Char">
    <w:name w:val="Citavi Bibliography Subheading 4 Char"/>
    <w:basedOn w:val="Heading3Char"/>
    <w:link w:val="CitaviBibliographySubheading4"/>
    <w:rsid w:val="00FB04CE"/>
    <w:rPr>
      <w:rFonts w:ascii="Arial" w:hAnsi="Arial"/>
      <w:b w:val="0"/>
      <w:bCs w:val="0"/>
      <w:i/>
      <w:color w:val="000000" w:themeColor="text1"/>
      <w:sz w:val="22"/>
      <w:szCs w:val="22"/>
      <w:lang w:eastAsia="en-US"/>
    </w:rPr>
  </w:style>
  <w:style w:type="paragraph" w:customStyle="1" w:styleId="CitaviBibliographySubheading5">
    <w:name w:val="Citavi Bibliography Subheading 5"/>
    <w:basedOn w:val="Heading6"/>
    <w:link w:val="CitaviBibliographySubheading5Char"/>
    <w:rsid w:val="00FB04CE"/>
    <w:pPr>
      <w:numPr>
        <w:ilvl w:val="5"/>
      </w:numPr>
      <w:ind w:left="1474" w:hanging="1474"/>
      <w:outlineLvl w:val="9"/>
    </w:pPr>
    <w:rPr>
      <w:color w:val="000000" w:themeColor="text1"/>
    </w:rPr>
  </w:style>
  <w:style w:type="character" w:customStyle="1" w:styleId="CitaviBibliographySubheading5Char">
    <w:name w:val="Citavi Bibliography Subheading 5 Char"/>
    <w:basedOn w:val="Heading3Char"/>
    <w:link w:val="CitaviBibliographySubheading5"/>
    <w:rsid w:val="00FB04CE"/>
    <w:rPr>
      <w:rFonts w:ascii="Arial" w:hAnsi="Arial" w:cs="Arial Unicode MS"/>
      <w:b/>
      <w:bCs/>
      <w:color w:val="000000" w:themeColor="text1"/>
      <w:sz w:val="22"/>
      <w:szCs w:val="22"/>
      <w:lang w:eastAsia="en-US" w:bidi="en-US"/>
    </w:rPr>
  </w:style>
  <w:style w:type="paragraph" w:customStyle="1" w:styleId="CitaviBibliographySubheading6">
    <w:name w:val="Citavi Bibliography Subheading 6"/>
    <w:basedOn w:val="Heading7"/>
    <w:link w:val="CitaviBibliographySubheading6Char"/>
    <w:rsid w:val="00FB04CE"/>
    <w:pPr>
      <w:numPr>
        <w:ilvl w:val="6"/>
      </w:numPr>
      <w:ind w:left="1474" w:hanging="1474"/>
      <w:outlineLvl w:val="9"/>
    </w:pPr>
    <w:rPr>
      <w:color w:val="000000" w:themeColor="text1"/>
    </w:rPr>
  </w:style>
  <w:style w:type="character" w:customStyle="1" w:styleId="CitaviBibliographySubheading6Char">
    <w:name w:val="Citavi Bibliography Subheading 6 Char"/>
    <w:basedOn w:val="Heading3Char"/>
    <w:link w:val="CitaviBibliographySubheading6"/>
    <w:rsid w:val="00FB04CE"/>
    <w:rPr>
      <w:rFonts w:ascii="Arial" w:hAnsi="Arial"/>
      <w:b w:val="0"/>
      <w:bCs w:val="0"/>
      <w:color w:val="000000" w:themeColor="text1"/>
      <w:sz w:val="22"/>
      <w:szCs w:val="24"/>
      <w:lang w:eastAsia="en-US" w:bidi="en-US"/>
    </w:rPr>
  </w:style>
  <w:style w:type="paragraph" w:customStyle="1" w:styleId="CitaviBibliographySubheading7">
    <w:name w:val="Citavi Bibliography Subheading 7"/>
    <w:basedOn w:val="Heading8"/>
    <w:link w:val="CitaviBibliographySubheading7Char"/>
    <w:rsid w:val="00FB04CE"/>
    <w:pPr>
      <w:numPr>
        <w:ilvl w:val="7"/>
      </w:numPr>
      <w:ind w:left="1474" w:hanging="1474"/>
      <w:outlineLvl w:val="9"/>
    </w:pPr>
    <w:rPr>
      <w:color w:val="000000" w:themeColor="text1"/>
    </w:rPr>
  </w:style>
  <w:style w:type="character" w:customStyle="1" w:styleId="CitaviBibliographySubheading7Char">
    <w:name w:val="Citavi Bibliography Subheading 7 Char"/>
    <w:basedOn w:val="Heading3Char"/>
    <w:link w:val="CitaviBibliographySubheading7"/>
    <w:rsid w:val="00FB04CE"/>
    <w:rPr>
      <w:rFonts w:ascii="Arial" w:hAnsi="Arial"/>
      <w:b w:val="0"/>
      <w:bCs w:val="0"/>
      <w:i/>
      <w:iCs/>
      <w:color w:val="000000" w:themeColor="text1"/>
      <w:sz w:val="22"/>
      <w:szCs w:val="24"/>
      <w:lang w:eastAsia="en-US" w:bidi="en-US"/>
    </w:rPr>
  </w:style>
  <w:style w:type="paragraph" w:customStyle="1" w:styleId="CitaviBibliographySubheading8">
    <w:name w:val="Citavi Bibliography Subheading 8"/>
    <w:basedOn w:val="Heading9"/>
    <w:link w:val="CitaviBibliographySubheading8Char"/>
    <w:rsid w:val="00FB04CE"/>
    <w:pPr>
      <w:numPr>
        <w:ilvl w:val="8"/>
      </w:numPr>
      <w:ind w:left="1474" w:hanging="1474"/>
      <w:outlineLvl w:val="9"/>
    </w:pPr>
    <w:rPr>
      <w:color w:val="000000" w:themeColor="text1"/>
    </w:rPr>
  </w:style>
  <w:style w:type="character" w:customStyle="1" w:styleId="CitaviBibliographySubheading8Char">
    <w:name w:val="Citavi Bibliography Subheading 8 Char"/>
    <w:basedOn w:val="Heading3Char"/>
    <w:link w:val="CitaviBibliographySubheading8"/>
    <w:rsid w:val="00FB04CE"/>
    <w:rPr>
      <w:rFonts w:ascii="Cambria" w:hAnsi="Cambria"/>
      <w:b w:val="0"/>
      <w:bCs w:val="0"/>
      <w:color w:val="000000" w:themeColor="text1"/>
      <w:sz w:val="22"/>
      <w:szCs w:val="22"/>
      <w:lang w:eastAsia="en-US" w:bidi="en-US"/>
    </w:rPr>
  </w:style>
  <w:style w:type="paragraph" w:styleId="CommentSubject">
    <w:name w:val="annotation subject"/>
    <w:basedOn w:val="CommentText"/>
    <w:next w:val="CommentText"/>
    <w:link w:val="CommentSubjectChar"/>
    <w:uiPriority w:val="99"/>
    <w:semiHidden/>
    <w:unhideWhenUsed/>
    <w:rsid w:val="00FB04CE"/>
    <w:rPr>
      <w:b/>
      <w:bCs/>
    </w:rPr>
  </w:style>
  <w:style w:type="character" w:customStyle="1" w:styleId="CommentSubjectChar">
    <w:name w:val="Comment Subject Char"/>
    <w:basedOn w:val="CommentTextChar"/>
    <w:link w:val="CommentSubject"/>
    <w:uiPriority w:val="99"/>
    <w:semiHidden/>
    <w:rsid w:val="00FB04CE"/>
    <w:rPr>
      <w:rFonts w:ascii="Arial" w:hAnsi="Arial"/>
      <w:b/>
      <w:bCs/>
      <w:lang w:eastAsia="en-US" w:bidi="en-US"/>
    </w:rPr>
  </w:style>
  <w:style w:type="paragraph" w:styleId="Bibliography">
    <w:name w:val="Bibliography"/>
    <w:basedOn w:val="Normal"/>
    <w:next w:val="Normal"/>
    <w:uiPriority w:val="37"/>
    <w:semiHidden/>
    <w:unhideWhenUsed/>
    <w:rsid w:val="00FB04CE"/>
  </w:style>
  <w:style w:type="character" w:styleId="BookTitle">
    <w:name w:val="Book Title"/>
    <w:basedOn w:val="DefaultParagraphFont"/>
    <w:uiPriority w:val="33"/>
    <w:rsid w:val="00FB04CE"/>
    <w:rPr>
      <w:b/>
      <w:bCs/>
      <w:i/>
      <w:iCs/>
      <w:spacing w:val="5"/>
    </w:rPr>
  </w:style>
  <w:style w:type="character" w:styleId="IntenseReference">
    <w:name w:val="Intense Reference"/>
    <w:basedOn w:val="DefaultParagraphFont"/>
    <w:uiPriority w:val="32"/>
    <w:rsid w:val="00FB04CE"/>
    <w:rPr>
      <w:b/>
      <w:bCs/>
      <w:smallCaps/>
      <w:color w:val="4F81BD" w:themeColor="accent1"/>
      <w:spacing w:val="5"/>
    </w:rPr>
  </w:style>
  <w:style w:type="character" w:styleId="SubtleReference">
    <w:name w:val="Subtle Reference"/>
    <w:basedOn w:val="DefaultParagraphFont"/>
    <w:uiPriority w:val="31"/>
    <w:rsid w:val="00FB04CE"/>
    <w:rPr>
      <w:smallCaps/>
      <w:color w:val="5A5A5A" w:themeColor="text1" w:themeTint="A5"/>
    </w:rPr>
  </w:style>
  <w:style w:type="character" w:styleId="IntenseEmphasis">
    <w:name w:val="Intense Emphasis"/>
    <w:basedOn w:val="DefaultParagraphFont"/>
    <w:uiPriority w:val="21"/>
    <w:rsid w:val="00FB04CE"/>
    <w:rPr>
      <w:i/>
      <w:iCs/>
      <w:color w:val="4F81BD" w:themeColor="accent1"/>
    </w:rPr>
  </w:style>
  <w:style w:type="character" w:styleId="SubtleEmphasis">
    <w:name w:val="Subtle Emphasis"/>
    <w:basedOn w:val="DefaultParagraphFont"/>
    <w:uiPriority w:val="19"/>
    <w:qFormat/>
    <w:rsid w:val="00FB04CE"/>
    <w:rPr>
      <w:i/>
      <w:iCs/>
      <w:color w:val="404040" w:themeColor="text1" w:themeTint="BF"/>
    </w:rPr>
  </w:style>
  <w:style w:type="paragraph" w:styleId="IntenseQuote">
    <w:name w:val="Intense Quote"/>
    <w:basedOn w:val="Normal"/>
    <w:next w:val="Normal"/>
    <w:link w:val="IntenseQuoteChar"/>
    <w:uiPriority w:val="30"/>
    <w:rsid w:val="00FB04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B04CE"/>
    <w:rPr>
      <w:rFonts w:ascii="Arial" w:hAnsi="Arial"/>
      <w:i/>
      <w:iCs/>
      <w:color w:val="4F81BD" w:themeColor="accent1"/>
      <w:sz w:val="22"/>
      <w:szCs w:val="24"/>
      <w:lang w:eastAsia="en-US" w:bidi="en-US"/>
    </w:rPr>
  </w:style>
  <w:style w:type="paragraph" w:styleId="Quote">
    <w:name w:val="Quote"/>
    <w:basedOn w:val="Normal"/>
    <w:next w:val="Normal"/>
    <w:link w:val="QuoteChar"/>
    <w:uiPriority w:val="29"/>
    <w:rsid w:val="00FB04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04CE"/>
    <w:rPr>
      <w:rFonts w:ascii="Arial" w:hAnsi="Arial"/>
      <w:i/>
      <w:iCs/>
      <w:color w:val="404040" w:themeColor="text1" w:themeTint="BF"/>
      <w:sz w:val="22"/>
      <w:szCs w:val="24"/>
      <w:lang w:eastAsia="en-US" w:bidi="en-US"/>
    </w:rPr>
  </w:style>
  <w:style w:type="table" w:styleId="MediumList1-Accent1">
    <w:name w:val="Medium List 1 Accent 1"/>
    <w:basedOn w:val="TableNormal"/>
    <w:uiPriority w:val="65"/>
    <w:semiHidden/>
    <w:unhideWhenUsed/>
    <w:rsid w:val="00FB04C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semiHidden/>
    <w:unhideWhenUsed/>
    <w:rsid w:val="00FB04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FB04C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FB04C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semiHidden/>
    <w:unhideWhenUsed/>
    <w:rsid w:val="00FB04C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semiHidden/>
    <w:unhideWhenUsed/>
    <w:rsid w:val="00FB04C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
    <w:name w:val="Colorful Grid"/>
    <w:basedOn w:val="TableNormal"/>
    <w:uiPriority w:val="73"/>
    <w:semiHidden/>
    <w:unhideWhenUsed/>
    <w:rsid w:val="00FB04C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FB04C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FB04C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B04C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FB04C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FB04C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FB04C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FB04C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FB04C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FB04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FB04C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FB04C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FB04C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FB04C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20"/>
    <w:rsid w:val="00FB04CE"/>
    <w:pPr>
      <w:widowControl w:val="0"/>
    </w:pPr>
    <w:rPr>
      <w:rFonts w:ascii="Arial" w:hAnsi="Arial"/>
      <w:sz w:val="22"/>
      <w:szCs w:val="24"/>
      <w:lang w:eastAsia="en-US" w:bidi="en-US"/>
    </w:rPr>
  </w:style>
  <w:style w:type="character" w:styleId="HTMLVariable">
    <w:name w:val="HTML Variable"/>
    <w:basedOn w:val="DefaultParagraphFont"/>
    <w:semiHidden/>
    <w:unhideWhenUsed/>
    <w:rsid w:val="00FB04CE"/>
    <w:rPr>
      <w:i/>
      <w:iCs/>
    </w:rPr>
  </w:style>
  <w:style w:type="character" w:styleId="HTMLTypewriter">
    <w:name w:val="HTML Typewriter"/>
    <w:basedOn w:val="DefaultParagraphFont"/>
    <w:semiHidden/>
    <w:unhideWhenUsed/>
    <w:rsid w:val="00FB04CE"/>
    <w:rPr>
      <w:rFonts w:ascii="Consolas" w:hAnsi="Consolas"/>
      <w:sz w:val="20"/>
      <w:szCs w:val="20"/>
    </w:rPr>
  </w:style>
  <w:style w:type="character" w:styleId="HTMLSample">
    <w:name w:val="HTML Sample"/>
    <w:basedOn w:val="DefaultParagraphFont"/>
    <w:semiHidden/>
    <w:unhideWhenUsed/>
    <w:rsid w:val="00FB04CE"/>
    <w:rPr>
      <w:rFonts w:ascii="Consolas" w:hAnsi="Consolas"/>
      <w:sz w:val="24"/>
      <w:szCs w:val="24"/>
    </w:rPr>
  </w:style>
  <w:style w:type="paragraph" w:styleId="HTMLPreformatted">
    <w:name w:val="HTML Preformatted"/>
    <w:basedOn w:val="Normal"/>
    <w:link w:val="HTMLPreformattedChar"/>
    <w:semiHidden/>
    <w:unhideWhenUsed/>
    <w:rsid w:val="00FB04CE"/>
    <w:rPr>
      <w:rFonts w:ascii="Consolas" w:hAnsi="Consolas"/>
      <w:sz w:val="20"/>
      <w:szCs w:val="20"/>
    </w:rPr>
  </w:style>
  <w:style w:type="character" w:customStyle="1" w:styleId="HTMLPreformattedChar">
    <w:name w:val="HTML Preformatted Char"/>
    <w:basedOn w:val="DefaultParagraphFont"/>
    <w:link w:val="HTMLPreformatted"/>
    <w:semiHidden/>
    <w:rsid w:val="00FB04CE"/>
    <w:rPr>
      <w:rFonts w:ascii="Consolas" w:hAnsi="Consolas"/>
      <w:lang w:eastAsia="en-US" w:bidi="en-US"/>
    </w:rPr>
  </w:style>
  <w:style w:type="character" w:styleId="HTMLKeyboard">
    <w:name w:val="HTML Keyboard"/>
    <w:basedOn w:val="DefaultParagraphFont"/>
    <w:semiHidden/>
    <w:unhideWhenUsed/>
    <w:rsid w:val="00FB04CE"/>
    <w:rPr>
      <w:rFonts w:ascii="Consolas" w:hAnsi="Consolas"/>
      <w:sz w:val="20"/>
      <w:szCs w:val="20"/>
    </w:rPr>
  </w:style>
  <w:style w:type="character" w:styleId="HTMLDefinition">
    <w:name w:val="HTML Definition"/>
    <w:basedOn w:val="DefaultParagraphFont"/>
    <w:semiHidden/>
    <w:unhideWhenUsed/>
    <w:rsid w:val="00FB04CE"/>
    <w:rPr>
      <w:i/>
      <w:iCs/>
    </w:rPr>
  </w:style>
  <w:style w:type="character" w:styleId="HTMLCode">
    <w:name w:val="HTML Code"/>
    <w:basedOn w:val="DefaultParagraphFont"/>
    <w:semiHidden/>
    <w:unhideWhenUsed/>
    <w:rsid w:val="00FB04CE"/>
    <w:rPr>
      <w:rFonts w:ascii="Consolas" w:hAnsi="Consolas"/>
      <w:sz w:val="20"/>
      <w:szCs w:val="20"/>
    </w:rPr>
  </w:style>
  <w:style w:type="character" w:styleId="HTMLCite">
    <w:name w:val="HTML Cite"/>
    <w:basedOn w:val="DefaultParagraphFont"/>
    <w:semiHidden/>
    <w:unhideWhenUsed/>
    <w:rsid w:val="00FB04CE"/>
    <w:rPr>
      <w:i/>
      <w:iCs/>
    </w:rPr>
  </w:style>
  <w:style w:type="paragraph" w:styleId="HTMLAddress">
    <w:name w:val="HTML Address"/>
    <w:basedOn w:val="Normal"/>
    <w:link w:val="HTMLAddressChar"/>
    <w:semiHidden/>
    <w:unhideWhenUsed/>
    <w:rsid w:val="00FB04CE"/>
    <w:rPr>
      <w:i/>
      <w:iCs/>
    </w:rPr>
  </w:style>
  <w:style w:type="character" w:customStyle="1" w:styleId="HTMLAddressChar">
    <w:name w:val="HTML Address Char"/>
    <w:basedOn w:val="DefaultParagraphFont"/>
    <w:link w:val="HTMLAddress"/>
    <w:semiHidden/>
    <w:rsid w:val="00FB04CE"/>
    <w:rPr>
      <w:rFonts w:ascii="Arial" w:hAnsi="Arial"/>
      <w:i/>
      <w:iCs/>
      <w:sz w:val="22"/>
      <w:szCs w:val="24"/>
      <w:lang w:eastAsia="en-US" w:bidi="en-US"/>
    </w:rPr>
  </w:style>
  <w:style w:type="character" w:styleId="HTMLAcronym">
    <w:name w:val="HTML Acronym"/>
    <w:basedOn w:val="DefaultParagraphFont"/>
    <w:semiHidden/>
    <w:unhideWhenUsed/>
    <w:rsid w:val="00FB04CE"/>
  </w:style>
  <w:style w:type="paragraph" w:styleId="NormalWeb">
    <w:name w:val="Normal (Web)"/>
    <w:basedOn w:val="Normal"/>
    <w:uiPriority w:val="99"/>
    <w:semiHidden/>
    <w:unhideWhenUsed/>
    <w:rsid w:val="00FB04CE"/>
    <w:rPr>
      <w:rFonts w:ascii="Times New Roman" w:hAnsi="Times New Roman"/>
      <w:sz w:val="24"/>
    </w:rPr>
  </w:style>
  <w:style w:type="paragraph" w:styleId="PlainText">
    <w:name w:val="Plain Text"/>
    <w:basedOn w:val="Normal"/>
    <w:link w:val="PlainTextChar"/>
    <w:semiHidden/>
    <w:unhideWhenUsed/>
    <w:rsid w:val="00FB04CE"/>
    <w:rPr>
      <w:rFonts w:ascii="Consolas" w:hAnsi="Consolas"/>
      <w:sz w:val="21"/>
      <w:szCs w:val="21"/>
    </w:rPr>
  </w:style>
  <w:style w:type="character" w:customStyle="1" w:styleId="PlainTextChar">
    <w:name w:val="Plain Text Char"/>
    <w:basedOn w:val="DefaultParagraphFont"/>
    <w:link w:val="PlainText"/>
    <w:semiHidden/>
    <w:rsid w:val="00FB04CE"/>
    <w:rPr>
      <w:rFonts w:ascii="Consolas" w:hAnsi="Consolas"/>
      <w:sz w:val="21"/>
      <w:szCs w:val="21"/>
      <w:lang w:eastAsia="en-US" w:bidi="en-US"/>
    </w:rPr>
  </w:style>
  <w:style w:type="paragraph" w:styleId="DocumentMap">
    <w:name w:val="Document Map"/>
    <w:basedOn w:val="Normal"/>
    <w:link w:val="DocumentMapChar"/>
    <w:semiHidden/>
    <w:unhideWhenUsed/>
    <w:rsid w:val="00FB04CE"/>
    <w:rPr>
      <w:rFonts w:ascii="Segoe UI" w:hAnsi="Segoe UI" w:cs="Segoe UI"/>
      <w:sz w:val="16"/>
      <w:szCs w:val="16"/>
    </w:rPr>
  </w:style>
  <w:style w:type="character" w:customStyle="1" w:styleId="DocumentMapChar">
    <w:name w:val="Document Map Char"/>
    <w:basedOn w:val="DefaultParagraphFont"/>
    <w:link w:val="DocumentMap"/>
    <w:semiHidden/>
    <w:rsid w:val="00FB04CE"/>
    <w:rPr>
      <w:rFonts w:ascii="Segoe UI" w:hAnsi="Segoe UI" w:cs="Segoe UI"/>
      <w:sz w:val="16"/>
      <w:szCs w:val="16"/>
      <w:lang w:eastAsia="en-US" w:bidi="en-US"/>
    </w:rPr>
  </w:style>
  <w:style w:type="character" w:styleId="Emphasis">
    <w:name w:val="Emphasis"/>
    <w:basedOn w:val="DefaultParagraphFont"/>
    <w:uiPriority w:val="20"/>
    <w:qFormat/>
    <w:rsid w:val="00FB04CE"/>
    <w:rPr>
      <w:i/>
      <w:iCs/>
    </w:rPr>
  </w:style>
  <w:style w:type="character" w:styleId="Strong">
    <w:name w:val="Strong"/>
    <w:basedOn w:val="DefaultParagraphFont"/>
    <w:uiPriority w:val="22"/>
    <w:qFormat/>
    <w:rsid w:val="00FB04CE"/>
    <w:rPr>
      <w:b/>
      <w:bCs/>
    </w:rPr>
  </w:style>
  <w:style w:type="paragraph" w:styleId="BlockText">
    <w:name w:val="Block Text"/>
    <w:basedOn w:val="Normal"/>
    <w:semiHidden/>
    <w:unhideWhenUsed/>
    <w:rsid w:val="00FB04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Indent3">
    <w:name w:val="Body Text Indent 3"/>
    <w:basedOn w:val="Normal"/>
    <w:link w:val="BodyTextIndent3Char"/>
    <w:semiHidden/>
    <w:unhideWhenUsed/>
    <w:rsid w:val="00FB04CE"/>
    <w:pPr>
      <w:spacing w:after="120"/>
      <w:ind w:left="283"/>
    </w:pPr>
    <w:rPr>
      <w:sz w:val="16"/>
      <w:szCs w:val="16"/>
    </w:rPr>
  </w:style>
  <w:style w:type="character" w:customStyle="1" w:styleId="BodyTextIndent3Char">
    <w:name w:val="Body Text Indent 3 Char"/>
    <w:basedOn w:val="DefaultParagraphFont"/>
    <w:link w:val="BodyTextIndent3"/>
    <w:semiHidden/>
    <w:rsid w:val="00FB04CE"/>
    <w:rPr>
      <w:rFonts w:ascii="Arial" w:hAnsi="Arial"/>
      <w:sz w:val="16"/>
      <w:szCs w:val="16"/>
      <w:lang w:eastAsia="en-US" w:bidi="en-US"/>
    </w:rPr>
  </w:style>
  <w:style w:type="paragraph" w:styleId="BodyTextIndent2">
    <w:name w:val="Body Text Indent 2"/>
    <w:basedOn w:val="Normal"/>
    <w:link w:val="BodyTextIndent2Char"/>
    <w:semiHidden/>
    <w:unhideWhenUsed/>
    <w:rsid w:val="00FB04CE"/>
    <w:pPr>
      <w:spacing w:after="120" w:line="480" w:lineRule="auto"/>
      <w:ind w:left="283"/>
    </w:pPr>
  </w:style>
  <w:style w:type="character" w:customStyle="1" w:styleId="BodyTextIndent2Char">
    <w:name w:val="Body Text Indent 2 Char"/>
    <w:basedOn w:val="DefaultParagraphFont"/>
    <w:link w:val="BodyTextIndent2"/>
    <w:semiHidden/>
    <w:rsid w:val="00FB04CE"/>
    <w:rPr>
      <w:rFonts w:ascii="Arial" w:hAnsi="Arial"/>
      <w:sz w:val="22"/>
      <w:szCs w:val="24"/>
      <w:lang w:eastAsia="en-US" w:bidi="en-US"/>
    </w:rPr>
  </w:style>
  <w:style w:type="paragraph" w:styleId="BodyText3">
    <w:name w:val="Body Text 3"/>
    <w:basedOn w:val="Normal"/>
    <w:link w:val="BodyText3Char"/>
    <w:semiHidden/>
    <w:unhideWhenUsed/>
    <w:rsid w:val="00FB04CE"/>
    <w:pPr>
      <w:spacing w:after="120"/>
    </w:pPr>
    <w:rPr>
      <w:sz w:val="16"/>
      <w:szCs w:val="16"/>
    </w:rPr>
  </w:style>
  <w:style w:type="character" w:customStyle="1" w:styleId="BodyText3Char">
    <w:name w:val="Body Text 3 Char"/>
    <w:basedOn w:val="DefaultParagraphFont"/>
    <w:link w:val="BodyText3"/>
    <w:semiHidden/>
    <w:rsid w:val="00FB04CE"/>
    <w:rPr>
      <w:rFonts w:ascii="Arial" w:hAnsi="Arial"/>
      <w:sz w:val="16"/>
      <w:szCs w:val="16"/>
      <w:lang w:eastAsia="en-US" w:bidi="en-US"/>
    </w:rPr>
  </w:style>
  <w:style w:type="paragraph" w:styleId="BodyText2">
    <w:name w:val="Body Text 2"/>
    <w:basedOn w:val="Normal"/>
    <w:link w:val="BodyText2Char"/>
    <w:semiHidden/>
    <w:unhideWhenUsed/>
    <w:rsid w:val="00FB04CE"/>
    <w:pPr>
      <w:spacing w:after="120" w:line="480" w:lineRule="auto"/>
    </w:pPr>
  </w:style>
  <w:style w:type="character" w:customStyle="1" w:styleId="BodyText2Char">
    <w:name w:val="Body Text 2 Char"/>
    <w:basedOn w:val="DefaultParagraphFont"/>
    <w:link w:val="BodyText2"/>
    <w:semiHidden/>
    <w:rsid w:val="00FB04CE"/>
    <w:rPr>
      <w:rFonts w:ascii="Arial" w:hAnsi="Arial"/>
      <w:sz w:val="22"/>
      <w:szCs w:val="24"/>
      <w:lang w:eastAsia="en-US" w:bidi="en-US"/>
    </w:rPr>
  </w:style>
  <w:style w:type="paragraph" w:styleId="NoteHeading">
    <w:name w:val="Note Heading"/>
    <w:basedOn w:val="Normal"/>
    <w:next w:val="Normal"/>
    <w:link w:val="NoteHeadingChar"/>
    <w:semiHidden/>
    <w:unhideWhenUsed/>
    <w:rsid w:val="00FB04CE"/>
  </w:style>
  <w:style w:type="character" w:customStyle="1" w:styleId="NoteHeadingChar">
    <w:name w:val="Note Heading Char"/>
    <w:basedOn w:val="DefaultParagraphFont"/>
    <w:link w:val="NoteHeading"/>
    <w:semiHidden/>
    <w:rsid w:val="00FB04CE"/>
    <w:rPr>
      <w:rFonts w:ascii="Arial" w:hAnsi="Arial"/>
      <w:sz w:val="22"/>
      <w:szCs w:val="24"/>
      <w:lang w:eastAsia="en-US" w:bidi="en-US"/>
    </w:rPr>
  </w:style>
  <w:style w:type="paragraph" w:styleId="BodyTextIndent">
    <w:name w:val="Body Text Indent"/>
    <w:basedOn w:val="Normal"/>
    <w:link w:val="BodyTextIndentChar"/>
    <w:semiHidden/>
    <w:unhideWhenUsed/>
    <w:rsid w:val="00FB04CE"/>
    <w:pPr>
      <w:spacing w:after="120"/>
      <w:ind w:left="283"/>
    </w:pPr>
  </w:style>
  <w:style w:type="character" w:customStyle="1" w:styleId="BodyTextIndentChar">
    <w:name w:val="Body Text Indent Char"/>
    <w:basedOn w:val="DefaultParagraphFont"/>
    <w:link w:val="BodyTextIndent"/>
    <w:semiHidden/>
    <w:rsid w:val="00FB04CE"/>
    <w:rPr>
      <w:rFonts w:ascii="Arial" w:hAnsi="Arial"/>
      <w:sz w:val="22"/>
      <w:szCs w:val="24"/>
      <w:lang w:eastAsia="en-US" w:bidi="en-US"/>
    </w:rPr>
  </w:style>
  <w:style w:type="paragraph" w:styleId="BodyTextFirstIndent2">
    <w:name w:val="Body Text First Indent 2"/>
    <w:basedOn w:val="BodyTextIndent"/>
    <w:link w:val="BodyTextFirstIndent2Char"/>
    <w:semiHidden/>
    <w:unhideWhenUsed/>
    <w:rsid w:val="00FB04CE"/>
    <w:pPr>
      <w:spacing w:after="0"/>
      <w:ind w:left="360" w:firstLine="360"/>
    </w:pPr>
  </w:style>
  <w:style w:type="character" w:customStyle="1" w:styleId="BodyTextFirstIndent2Char">
    <w:name w:val="Body Text First Indent 2 Char"/>
    <w:basedOn w:val="BodyTextIndentChar"/>
    <w:link w:val="BodyTextFirstIndent2"/>
    <w:semiHidden/>
    <w:rsid w:val="00FB04CE"/>
    <w:rPr>
      <w:rFonts w:ascii="Arial" w:hAnsi="Arial"/>
      <w:sz w:val="22"/>
      <w:szCs w:val="24"/>
      <w:lang w:eastAsia="en-US" w:bidi="en-US"/>
    </w:rPr>
  </w:style>
  <w:style w:type="paragraph" w:styleId="BodyText">
    <w:name w:val="Body Text"/>
    <w:basedOn w:val="Normal"/>
    <w:link w:val="BodyTextChar"/>
    <w:unhideWhenUsed/>
    <w:rsid w:val="00FB04CE"/>
    <w:pPr>
      <w:spacing w:after="120"/>
    </w:pPr>
  </w:style>
  <w:style w:type="character" w:customStyle="1" w:styleId="BodyTextChar">
    <w:name w:val="Body Text Char"/>
    <w:basedOn w:val="DefaultParagraphFont"/>
    <w:link w:val="BodyText"/>
    <w:rsid w:val="00FB04CE"/>
    <w:rPr>
      <w:rFonts w:ascii="Arial" w:hAnsi="Arial"/>
      <w:sz w:val="22"/>
      <w:szCs w:val="24"/>
      <w:lang w:eastAsia="en-US" w:bidi="en-US"/>
    </w:rPr>
  </w:style>
  <w:style w:type="paragraph" w:styleId="BodyTextFirstIndent">
    <w:name w:val="Body Text First Indent"/>
    <w:basedOn w:val="BodyText"/>
    <w:link w:val="BodyTextFirstIndentChar"/>
    <w:rsid w:val="00FB04CE"/>
    <w:pPr>
      <w:spacing w:after="0"/>
      <w:ind w:firstLine="360"/>
    </w:pPr>
  </w:style>
  <w:style w:type="character" w:customStyle="1" w:styleId="BodyTextFirstIndentChar">
    <w:name w:val="Body Text First Indent Char"/>
    <w:basedOn w:val="BodyTextChar"/>
    <w:link w:val="BodyTextFirstIndent"/>
    <w:rsid w:val="00FB04CE"/>
    <w:rPr>
      <w:rFonts w:ascii="Arial" w:hAnsi="Arial"/>
      <w:sz w:val="22"/>
      <w:szCs w:val="24"/>
      <w:lang w:eastAsia="en-US" w:bidi="en-US"/>
    </w:rPr>
  </w:style>
  <w:style w:type="paragraph" w:styleId="Date">
    <w:name w:val="Date"/>
    <w:basedOn w:val="Normal"/>
    <w:next w:val="Normal"/>
    <w:link w:val="DateChar"/>
    <w:rsid w:val="00FB04CE"/>
  </w:style>
  <w:style w:type="character" w:customStyle="1" w:styleId="DateChar">
    <w:name w:val="Date Char"/>
    <w:basedOn w:val="DefaultParagraphFont"/>
    <w:link w:val="Date"/>
    <w:rsid w:val="00FB04CE"/>
    <w:rPr>
      <w:rFonts w:ascii="Arial" w:hAnsi="Arial"/>
      <w:sz w:val="22"/>
      <w:szCs w:val="24"/>
      <w:lang w:eastAsia="en-US" w:bidi="en-US"/>
    </w:rPr>
  </w:style>
  <w:style w:type="paragraph" w:styleId="Salutation">
    <w:name w:val="Salutation"/>
    <w:basedOn w:val="Normal"/>
    <w:next w:val="Normal"/>
    <w:link w:val="SalutationChar"/>
    <w:rsid w:val="00FB04CE"/>
  </w:style>
  <w:style w:type="character" w:customStyle="1" w:styleId="SalutationChar">
    <w:name w:val="Salutation Char"/>
    <w:basedOn w:val="DefaultParagraphFont"/>
    <w:link w:val="Salutation"/>
    <w:rsid w:val="00FB04CE"/>
    <w:rPr>
      <w:rFonts w:ascii="Arial" w:hAnsi="Arial"/>
      <w:sz w:val="22"/>
      <w:szCs w:val="24"/>
      <w:lang w:eastAsia="en-US" w:bidi="en-US"/>
    </w:rPr>
  </w:style>
  <w:style w:type="paragraph" w:styleId="Subtitle">
    <w:name w:val="Subtitle"/>
    <w:basedOn w:val="Normal"/>
    <w:next w:val="Normal"/>
    <w:link w:val="SubtitleChar"/>
    <w:uiPriority w:val="11"/>
    <w:rsid w:val="00FB04C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FB04CE"/>
    <w:rPr>
      <w:rFonts w:asciiTheme="minorHAnsi" w:eastAsiaTheme="minorEastAsia" w:hAnsiTheme="minorHAnsi" w:cstheme="minorBidi"/>
      <w:color w:val="5A5A5A" w:themeColor="text1" w:themeTint="A5"/>
      <w:spacing w:val="15"/>
      <w:sz w:val="22"/>
      <w:szCs w:val="22"/>
      <w:lang w:eastAsia="en-US" w:bidi="en-US"/>
    </w:rPr>
  </w:style>
  <w:style w:type="paragraph" w:styleId="MessageHeader">
    <w:name w:val="Message Header"/>
    <w:basedOn w:val="Normal"/>
    <w:link w:val="MessageHeaderChar"/>
    <w:semiHidden/>
    <w:unhideWhenUsed/>
    <w:rsid w:val="00FB04C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FB04CE"/>
    <w:rPr>
      <w:rFonts w:asciiTheme="majorHAnsi" w:eastAsiaTheme="majorEastAsia" w:hAnsiTheme="majorHAnsi" w:cstheme="majorBidi"/>
      <w:sz w:val="24"/>
      <w:szCs w:val="24"/>
      <w:shd w:val="pct20" w:color="auto" w:fill="auto"/>
      <w:lang w:eastAsia="en-US" w:bidi="en-US"/>
    </w:rPr>
  </w:style>
  <w:style w:type="paragraph" w:styleId="ListContinue5">
    <w:name w:val="List Continue 5"/>
    <w:basedOn w:val="Normal"/>
    <w:semiHidden/>
    <w:unhideWhenUsed/>
    <w:rsid w:val="00FB04CE"/>
    <w:pPr>
      <w:spacing w:after="120"/>
      <w:ind w:left="1415"/>
      <w:contextualSpacing/>
    </w:pPr>
  </w:style>
  <w:style w:type="paragraph" w:styleId="ListContinue4">
    <w:name w:val="List Continue 4"/>
    <w:basedOn w:val="Normal"/>
    <w:semiHidden/>
    <w:unhideWhenUsed/>
    <w:rsid w:val="00FB04CE"/>
    <w:pPr>
      <w:spacing w:after="120"/>
      <w:ind w:left="1132"/>
      <w:contextualSpacing/>
    </w:pPr>
  </w:style>
  <w:style w:type="paragraph" w:styleId="ListContinue3">
    <w:name w:val="List Continue 3"/>
    <w:basedOn w:val="Normal"/>
    <w:semiHidden/>
    <w:unhideWhenUsed/>
    <w:rsid w:val="00FB04CE"/>
    <w:pPr>
      <w:spacing w:after="120"/>
      <w:ind w:left="849"/>
      <w:contextualSpacing/>
    </w:pPr>
  </w:style>
  <w:style w:type="paragraph" w:styleId="ListContinue2">
    <w:name w:val="List Continue 2"/>
    <w:basedOn w:val="Normal"/>
    <w:semiHidden/>
    <w:unhideWhenUsed/>
    <w:rsid w:val="00FB04CE"/>
    <w:pPr>
      <w:spacing w:after="120"/>
      <w:ind w:left="566"/>
      <w:contextualSpacing/>
    </w:pPr>
  </w:style>
  <w:style w:type="paragraph" w:styleId="ListContinue">
    <w:name w:val="List Continue"/>
    <w:basedOn w:val="Normal"/>
    <w:semiHidden/>
    <w:unhideWhenUsed/>
    <w:rsid w:val="00FB04CE"/>
    <w:pPr>
      <w:spacing w:after="120"/>
      <w:ind w:left="283"/>
      <w:contextualSpacing/>
    </w:pPr>
  </w:style>
  <w:style w:type="paragraph" w:styleId="Signature">
    <w:name w:val="Signature"/>
    <w:basedOn w:val="Normal"/>
    <w:link w:val="SignatureChar"/>
    <w:semiHidden/>
    <w:unhideWhenUsed/>
    <w:rsid w:val="00FB04CE"/>
    <w:pPr>
      <w:ind w:left="4252"/>
    </w:pPr>
  </w:style>
  <w:style w:type="character" w:customStyle="1" w:styleId="SignatureChar">
    <w:name w:val="Signature Char"/>
    <w:basedOn w:val="DefaultParagraphFont"/>
    <w:link w:val="Signature"/>
    <w:semiHidden/>
    <w:rsid w:val="00FB04CE"/>
    <w:rPr>
      <w:rFonts w:ascii="Arial" w:hAnsi="Arial"/>
      <w:sz w:val="22"/>
      <w:szCs w:val="24"/>
      <w:lang w:eastAsia="en-US" w:bidi="en-US"/>
    </w:rPr>
  </w:style>
  <w:style w:type="paragraph" w:styleId="Closing">
    <w:name w:val="Closing"/>
    <w:basedOn w:val="Normal"/>
    <w:link w:val="ClosingChar"/>
    <w:semiHidden/>
    <w:unhideWhenUsed/>
    <w:rsid w:val="00FB04CE"/>
    <w:pPr>
      <w:ind w:left="4252"/>
    </w:pPr>
  </w:style>
  <w:style w:type="character" w:customStyle="1" w:styleId="ClosingChar">
    <w:name w:val="Closing Char"/>
    <w:basedOn w:val="DefaultParagraphFont"/>
    <w:link w:val="Closing"/>
    <w:semiHidden/>
    <w:rsid w:val="00FB04CE"/>
    <w:rPr>
      <w:rFonts w:ascii="Arial" w:hAnsi="Arial"/>
      <w:sz w:val="22"/>
      <w:szCs w:val="24"/>
      <w:lang w:eastAsia="en-US" w:bidi="en-US"/>
    </w:rPr>
  </w:style>
  <w:style w:type="paragraph" w:styleId="Title">
    <w:name w:val="Title"/>
    <w:basedOn w:val="Normal"/>
    <w:next w:val="Normal"/>
    <w:link w:val="TitleChar"/>
    <w:uiPriority w:val="10"/>
    <w:rsid w:val="00FB04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4CE"/>
    <w:rPr>
      <w:rFonts w:asciiTheme="majorHAnsi" w:eastAsiaTheme="majorEastAsia" w:hAnsiTheme="majorHAnsi" w:cstheme="majorBidi"/>
      <w:spacing w:val="-10"/>
      <w:kern w:val="28"/>
      <w:sz w:val="56"/>
      <w:szCs w:val="56"/>
      <w:lang w:eastAsia="en-US" w:bidi="en-US"/>
    </w:rPr>
  </w:style>
  <w:style w:type="paragraph" w:styleId="ListNumber5">
    <w:name w:val="List Number 5"/>
    <w:basedOn w:val="Normal"/>
    <w:semiHidden/>
    <w:unhideWhenUsed/>
    <w:rsid w:val="00FB04CE"/>
    <w:pPr>
      <w:tabs>
        <w:tab w:val="num" w:pos="1492"/>
      </w:tabs>
      <w:ind w:left="1492" w:hanging="360"/>
      <w:contextualSpacing/>
    </w:pPr>
  </w:style>
  <w:style w:type="paragraph" w:styleId="ListNumber4">
    <w:name w:val="List Number 4"/>
    <w:basedOn w:val="Normal"/>
    <w:semiHidden/>
    <w:unhideWhenUsed/>
    <w:rsid w:val="00FB04CE"/>
    <w:pPr>
      <w:tabs>
        <w:tab w:val="num" w:pos="1209"/>
      </w:tabs>
      <w:ind w:left="1209" w:hanging="360"/>
      <w:contextualSpacing/>
    </w:pPr>
  </w:style>
  <w:style w:type="paragraph" w:styleId="ListNumber3">
    <w:name w:val="List Number 3"/>
    <w:basedOn w:val="Normal"/>
    <w:semiHidden/>
    <w:unhideWhenUsed/>
    <w:rsid w:val="00FB04CE"/>
    <w:pPr>
      <w:tabs>
        <w:tab w:val="num" w:pos="926"/>
      </w:tabs>
      <w:ind w:left="926" w:hanging="360"/>
      <w:contextualSpacing/>
    </w:pPr>
  </w:style>
  <w:style w:type="paragraph" w:styleId="ListNumber2">
    <w:name w:val="List Number 2"/>
    <w:basedOn w:val="Normal"/>
    <w:semiHidden/>
    <w:unhideWhenUsed/>
    <w:rsid w:val="00FB04CE"/>
    <w:pPr>
      <w:tabs>
        <w:tab w:val="num" w:pos="643"/>
      </w:tabs>
      <w:ind w:left="643" w:hanging="360"/>
      <w:contextualSpacing/>
    </w:pPr>
  </w:style>
  <w:style w:type="paragraph" w:styleId="ListBullet5">
    <w:name w:val="List Bullet 5"/>
    <w:basedOn w:val="Normal"/>
    <w:semiHidden/>
    <w:unhideWhenUsed/>
    <w:rsid w:val="00FB04CE"/>
    <w:pPr>
      <w:tabs>
        <w:tab w:val="num" w:pos="1492"/>
      </w:tabs>
      <w:ind w:left="1492" w:hanging="360"/>
      <w:contextualSpacing/>
    </w:pPr>
  </w:style>
  <w:style w:type="paragraph" w:styleId="ListBullet4">
    <w:name w:val="List Bullet 4"/>
    <w:basedOn w:val="Normal"/>
    <w:semiHidden/>
    <w:unhideWhenUsed/>
    <w:rsid w:val="00FB04CE"/>
    <w:pPr>
      <w:tabs>
        <w:tab w:val="num" w:pos="1209"/>
      </w:tabs>
      <w:ind w:left="1209" w:hanging="360"/>
      <w:contextualSpacing/>
    </w:pPr>
  </w:style>
  <w:style w:type="paragraph" w:styleId="ListBullet3">
    <w:name w:val="List Bullet 3"/>
    <w:basedOn w:val="Normal"/>
    <w:semiHidden/>
    <w:unhideWhenUsed/>
    <w:rsid w:val="00FB04CE"/>
    <w:pPr>
      <w:tabs>
        <w:tab w:val="num" w:pos="926"/>
      </w:tabs>
      <w:ind w:left="926" w:hanging="360"/>
      <w:contextualSpacing/>
    </w:pPr>
  </w:style>
  <w:style w:type="paragraph" w:styleId="ListBullet2">
    <w:name w:val="List Bullet 2"/>
    <w:basedOn w:val="Normal"/>
    <w:semiHidden/>
    <w:unhideWhenUsed/>
    <w:rsid w:val="00FB04CE"/>
    <w:pPr>
      <w:tabs>
        <w:tab w:val="num" w:pos="643"/>
      </w:tabs>
      <w:ind w:left="643" w:hanging="360"/>
      <w:contextualSpacing/>
    </w:pPr>
  </w:style>
  <w:style w:type="paragraph" w:styleId="List5">
    <w:name w:val="List 5"/>
    <w:basedOn w:val="Normal"/>
    <w:rsid w:val="00FB04CE"/>
    <w:pPr>
      <w:ind w:left="1415" w:hanging="283"/>
      <w:contextualSpacing/>
    </w:pPr>
  </w:style>
  <w:style w:type="paragraph" w:styleId="List4">
    <w:name w:val="List 4"/>
    <w:basedOn w:val="Normal"/>
    <w:rsid w:val="00FB04CE"/>
    <w:pPr>
      <w:ind w:left="1132" w:hanging="283"/>
      <w:contextualSpacing/>
    </w:pPr>
  </w:style>
  <w:style w:type="paragraph" w:styleId="List3">
    <w:name w:val="List 3"/>
    <w:basedOn w:val="Normal"/>
    <w:semiHidden/>
    <w:unhideWhenUsed/>
    <w:rsid w:val="00FB04CE"/>
    <w:pPr>
      <w:ind w:left="849" w:hanging="283"/>
      <w:contextualSpacing/>
    </w:pPr>
  </w:style>
  <w:style w:type="paragraph" w:styleId="List2">
    <w:name w:val="List 2"/>
    <w:basedOn w:val="Normal"/>
    <w:semiHidden/>
    <w:unhideWhenUsed/>
    <w:rsid w:val="00FB04CE"/>
    <w:pPr>
      <w:ind w:left="566" w:hanging="283"/>
      <w:contextualSpacing/>
    </w:pPr>
  </w:style>
  <w:style w:type="paragraph" w:styleId="ListNumber">
    <w:name w:val="List Number"/>
    <w:basedOn w:val="Normal"/>
    <w:rsid w:val="00FB04CE"/>
    <w:pPr>
      <w:tabs>
        <w:tab w:val="num" w:pos="360"/>
      </w:tabs>
      <w:ind w:left="360" w:hanging="360"/>
      <w:contextualSpacing/>
    </w:pPr>
  </w:style>
  <w:style w:type="paragraph" w:styleId="ListBullet">
    <w:name w:val="List Bullet"/>
    <w:basedOn w:val="Normal"/>
    <w:semiHidden/>
    <w:unhideWhenUsed/>
    <w:rsid w:val="00FB04CE"/>
    <w:pPr>
      <w:tabs>
        <w:tab w:val="num" w:pos="360"/>
      </w:tabs>
      <w:ind w:left="360" w:hanging="360"/>
      <w:contextualSpacing/>
    </w:pPr>
  </w:style>
  <w:style w:type="paragraph" w:styleId="List">
    <w:name w:val="List"/>
    <w:basedOn w:val="Normal"/>
    <w:semiHidden/>
    <w:unhideWhenUsed/>
    <w:rsid w:val="00FB04CE"/>
    <w:pPr>
      <w:ind w:left="283" w:hanging="283"/>
      <w:contextualSpacing/>
    </w:pPr>
  </w:style>
  <w:style w:type="paragraph" w:styleId="TOAHeading">
    <w:name w:val="toa heading"/>
    <w:basedOn w:val="Normal"/>
    <w:next w:val="Normal"/>
    <w:semiHidden/>
    <w:unhideWhenUsed/>
    <w:rsid w:val="00FB04CE"/>
    <w:pPr>
      <w:spacing w:before="120"/>
    </w:pPr>
    <w:rPr>
      <w:rFonts w:asciiTheme="majorHAnsi" w:eastAsiaTheme="majorEastAsia" w:hAnsiTheme="majorHAnsi" w:cstheme="majorBidi"/>
      <w:b/>
      <w:bCs/>
      <w:sz w:val="24"/>
    </w:rPr>
  </w:style>
  <w:style w:type="paragraph" w:styleId="MacroText">
    <w:name w:val="macro"/>
    <w:link w:val="MacroTextChar"/>
    <w:semiHidden/>
    <w:unhideWhenUsed/>
    <w:rsid w:val="00FB04CE"/>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bidi="en-US"/>
    </w:rPr>
  </w:style>
  <w:style w:type="character" w:customStyle="1" w:styleId="MacroTextChar">
    <w:name w:val="Macro Text Char"/>
    <w:basedOn w:val="DefaultParagraphFont"/>
    <w:link w:val="MacroText"/>
    <w:semiHidden/>
    <w:rsid w:val="00FB04CE"/>
    <w:rPr>
      <w:rFonts w:ascii="Consolas" w:hAnsi="Consolas"/>
      <w:lang w:eastAsia="en-US" w:bidi="en-US"/>
    </w:rPr>
  </w:style>
  <w:style w:type="paragraph" w:styleId="TableofAuthorities">
    <w:name w:val="table of authorities"/>
    <w:basedOn w:val="Normal"/>
    <w:next w:val="Normal"/>
    <w:semiHidden/>
    <w:unhideWhenUsed/>
    <w:rsid w:val="00FB04CE"/>
    <w:pPr>
      <w:ind w:left="220" w:hanging="220"/>
    </w:pPr>
  </w:style>
  <w:style w:type="paragraph" w:styleId="EndnoteText">
    <w:name w:val="endnote text"/>
    <w:basedOn w:val="Normal"/>
    <w:link w:val="EndnoteTextChar"/>
    <w:semiHidden/>
    <w:unhideWhenUsed/>
    <w:rsid w:val="00FB04CE"/>
    <w:rPr>
      <w:sz w:val="20"/>
      <w:szCs w:val="20"/>
    </w:rPr>
  </w:style>
  <w:style w:type="character" w:customStyle="1" w:styleId="EndnoteTextChar">
    <w:name w:val="Endnote Text Char"/>
    <w:basedOn w:val="DefaultParagraphFont"/>
    <w:link w:val="EndnoteText"/>
    <w:semiHidden/>
    <w:rsid w:val="00FB04CE"/>
    <w:rPr>
      <w:rFonts w:ascii="Arial" w:hAnsi="Arial"/>
      <w:lang w:eastAsia="en-US" w:bidi="en-US"/>
    </w:rPr>
  </w:style>
  <w:style w:type="character" w:styleId="EndnoteReference">
    <w:name w:val="endnote reference"/>
    <w:basedOn w:val="DefaultParagraphFont"/>
    <w:semiHidden/>
    <w:unhideWhenUsed/>
    <w:rsid w:val="00FB04CE"/>
    <w:rPr>
      <w:vertAlign w:val="superscript"/>
    </w:rPr>
  </w:style>
  <w:style w:type="character" w:styleId="LineNumber">
    <w:name w:val="line number"/>
    <w:basedOn w:val="DefaultParagraphFont"/>
    <w:semiHidden/>
    <w:unhideWhenUsed/>
    <w:rsid w:val="00FB04CE"/>
  </w:style>
  <w:style w:type="paragraph" w:styleId="EnvelopeReturn">
    <w:name w:val="envelope return"/>
    <w:basedOn w:val="Normal"/>
    <w:semiHidden/>
    <w:unhideWhenUsed/>
    <w:rsid w:val="00FB04CE"/>
    <w:rPr>
      <w:rFonts w:asciiTheme="majorHAnsi" w:eastAsiaTheme="majorEastAsia" w:hAnsiTheme="majorHAnsi" w:cstheme="majorBidi"/>
      <w:sz w:val="20"/>
      <w:szCs w:val="20"/>
    </w:rPr>
  </w:style>
  <w:style w:type="paragraph" w:styleId="EnvelopeAddress">
    <w:name w:val="envelope address"/>
    <w:basedOn w:val="Normal"/>
    <w:semiHidden/>
    <w:unhideWhenUsed/>
    <w:rsid w:val="00FB04CE"/>
    <w:pPr>
      <w:framePr w:w="7920" w:h="1980" w:hRule="exact" w:hSpace="180" w:wrap="auto" w:hAnchor="page" w:xAlign="center" w:yAlign="bottom"/>
      <w:ind w:left="2880"/>
    </w:pPr>
    <w:rPr>
      <w:rFonts w:asciiTheme="majorHAnsi" w:eastAsiaTheme="majorEastAsia" w:hAnsiTheme="majorHAnsi" w:cstheme="majorBidi"/>
      <w:sz w:val="24"/>
    </w:rPr>
  </w:style>
  <w:style w:type="paragraph" w:styleId="TableofFigures">
    <w:name w:val="table of figures"/>
    <w:basedOn w:val="Normal"/>
    <w:next w:val="Normal"/>
    <w:semiHidden/>
    <w:unhideWhenUsed/>
    <w:rsid w:val="00FB04CE"/>
  </w:style>
  <w:style w:type="paragraph" w:styleId="Caption">
    <w:name w:val="caption"/>
    <w:basedOn w:val="Normal"/>
    <w:next w:val="Normal"/>
    <w:uiPriority w:val="35"/>
    <w:unhideWhenUsed/>
    <w:qFormat/>
    <w:rsid w:val="00FB04CE"/>
    <w:pPr>
      <w:spacing w:after="200"/>
    </w:pPr>
    <w:rPr>
      <w:iCs/>
      <w:szCs w:val="18"/>
    </w:rPr>
  </w:style>
  <w:style w:type="paragraph" w:styleId="Index1">
    <w:name w:val="index 1"/>
    <w:basedOn w:val="Normal"/>
    <w:next w:val="Normal"/>
    <w:autoRedefine/>
    <w:semiHidden/>
    <w:unhideWhenUsed/>
    <w:rsid w:val="00FB04CE"/>
    <w:pPr>
      <w:ind w:left="220" w:hanging="220"/>
    </w:pPr>
  </w:style>
  <w:style w:type="paragraph" w:styleId="IndexHeading">
    <w:name w:val="index heading"/>
    <w:basedOn w:val="Normal"/>
    <w:next w:val="Index1"/>
    <w:semiHidden/>
    <w:unhideWhenUsed/>
    <w:rsid w:val="00FB04CE"/>
    <w:rPr>
      <w:rFonts w:asciiTheme="majorHAnsi" w:eastAsiaTheme="majorEastAsia" w:hAnsiTheme="majorHAnsi" w:cstheme="majorBidi"/>
      <w:b/>
      <w:bCs/>
    </w:rPr>
  </w:style>
  <w:style w:type="paragraph" w:styleId="NormalIndent">
    <w:name w:val="Normal Indent"/>
    <w:basedOn w:val="Normal"/>
    <w:semiHidden/>
    <w:unhideWhenUsed/>
    <w:rsid w:val="00FB04CE"/>
    <w:pPr>
      <w:ind w:left="567"/>
    </w:pPr>
  </w:style>
  <w:style w:type="paragraph" w:styleId="Index9">
    <w:name w:val="index 9"/>
    <w:basedOn w:val="Normal"/>
    <w:next w:val="Normal"/>
    <w:autoRedefine/>
    <w:semiHidden/>
    <w:unhideWhenUsed/>
    <w:rsid w:val="00FB04CE"/>
    <w:pPr>
      <w:ind w:left="1980" w:hanging="220"/>
    </w:pPr>
  </w:style>
  <w:style w:type="paragraph" w:styleId="Index8">
    <w:name w:val="index 8"/>
    <w:basedOn w:val="Normal"/>
    <w:next w:val="Normal"/>
    <w:autoRedefine/>
    <w:semiHidden/>
    <w:unhideWhenUsed/>
    <w:rsid w:val="00FB04CE"/>
    <w:pPr>
      <w:ind w:left="1760" w:hanging="220"/>
    </w:pPr>
  </w:style>
  <w:style w:type="paragraph" w:styleId="Index7">
    <w:name w:val="index 7"/>
    <w:basedOn w:val="Normal"/>
    <w:next w:val="Normal"/>
    <w:autoRedefine/>
    <w:semiHidden/>
    <w:unhideWhenUsed/>
    <w:rsid w:val="00FB04CE"/>
    <w:pPr>
      <w:ind w:left="1540" w:hanging="220"/>
    </w:pPr>
  </w:style>
  <w:style w:type="paragraph" w:styleId="Index6">
    <w:name w:val="index 6"/>
    <w:basedOn w:val="Normal"/>
    <w:next w:val="Normal"/>
    <w:autoRedefine/>
    <w:semiHidden/>
    <w:unhideWhenUsed/>
    <w:rsid w:val="00FB04CE"/>
    <w:pPr>
      <w:ind w:left="1320" w:hanging="220"/>
    </w:pPr>
  </w:style>
  <w:style w:type="paragraph" w:styleId="Index5">
    <w:name w:val="index 5"/>
    <w:basedOn w:val="Normal"/>
    <w:next w:val="Normal"/>
    <w:autoRedefine/>
    <w:semiHidden/>
    <w:unhideWhenUsed/>
    <w:rsid w:val="00FB04CE"/>
    <w:pPr>
      <w:ind w:left="1100" w:hanging="220"/>
    </w:pPr>
  </w:style>
  <w:style w:type="paragraph" w:styleId="Index4">
    <w:name w:val="index 4"/>
    <w:basedOn w:val="Normal"/>
    <w:next w:val="Normal"/>
    <w:autoRedefine/>
    <w:semiHidden/>
    <w:unhideWhenUsed/>
    <w:rsid w:val="00FB04CE"/>
    <w:pPr>
      <w:ind w:left="880" w:hanging="220"/>
    </w:pPr>
  </w:style>
  <w:style w:type="paragraph" w:styleId="Index3">
    <w:name w:val="index 3"/>
    <w:basedOn w:val="Normal"/>
    <w:next w:val="Normal"/>
    <w:autoRedefine/>
    <w:semiHidden/>
    <w:unhideWhenUsed/>
    <w:rsid w:val="00FB04CE"/>
    <w:pPr>
      <w:ind w:left="660" w:hanging="220"/>
    </w:pPr>
  </w:style>
  <w:style w:type="paragraph" w:styleId="Index2">
    <w:name w:val="index 2"/>
    <w:basedOn w:val="Normal"/>
    <w:next w:val="Normal"/>
    <w:autoRedefine/>
    <w:semiHidden/>
    <w:unhideWhenUsed/>
    <w:rsid w:val="00FB04CE"/>
    <w:pPr>
      <w:ind w:left="440" w:hanging="220"/>
    </w:pPr>
  </w:style>
  <w:style w:type="character" w:styleId="PlaceholderText">
    <w:name w:val="Placeholder Text"/>
    <w:basedOn w:val="DefaultParagraphFont"/>
    <w:uiPriority w:val="99"/>
    <w:semiHidden/>
    <w:rsid w:val="00FB04CE"/>
    <w:rPr>
      <w:color w:val="808080"/>
    </w:rPr>
  </w:style>
  <w:style w:type="paragraph" w:customStyle="1" w:styleId="CitaviBibliography">
    <w:name w:val="Citavi Bibliography"/>
    <w:basedOn w:val="Normal"/>
    <w:rsid w:val="00FB04CE"/>
    <w:pPr>
      <w:widowControl/>
      <w:spacing w:after="120" w:line="240" w:lineRule="atLeast"/>
    </w:pPr>
    <w:rPr>
      <w:rFonts w:cs="Arial"/>
      <w:szCs w:val="18"/>
      <w:lang w:eastAsia="en-GB" w:bidi="ar-SA"/>
    </w:rPr>
  </w:style>
  <w:style w:type="paragraph" w:customStyle="1" w:styleId="DecimalAligned">
    <w:name w:val="Decimal Aligned"/>
    <w:basedOn w:val="Normal"/>
    <w:uiPriority w:val="40"/>
    <w:qFormat/>
    <w:rsid w:val="00FB04CE"/>
    <w:pPr>
      <w:widowControl/>
      <w:tabs>
        <w:tab w:val="decimal" w:pos="360"/>
      </w:tabs>
      <w:spacing w:after="200" w:line="276" w:lineRule="auto"/>
    </w:pPr>
    <w:rPr>
      <w:rFonts w:asciiTheme="minorHAnsi" w:eastAsiaTheme="minorEastAsia" w:hAnsiTheme="minorHAnsi"/>
      <w:szCs w:val="22"/>
      <w:lang w:val="en-US" w:bidi="ar-SA"/>
    </w:rPr>
  </w:style>
  <w:style w:type="table" w:styleId="MediumShading2-Accent5">
    <w:name w:val="Medium Shading 2 Accent 5"/>
    <w:basedOn w:val="TableNormal"/>
    <w:uiPriority w:val="64"/>
    <w:rsid w:val="00FB04CE"/>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3-Accent4">
    <w:name w:val="List Table 3 Accent 4"/>
    <w:basedOn w:val="TableNormal"/>
    <w:uiPriority w:val="48"/>
    <w:rsid w:val="00FB04C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FB04CE"/>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sr-only1">
    <w:name w:val="sr-only1"/>
    <w:basedOn w:val="DefaultParagraphFont"/>
    <w:rsid w:val="00FB04CE"/>
    <w:rPr>
      <w:bdr w:val="none" w:sz="0" w:space="0" w:color="auto" w:frame="1"/>
    </w:rPr>
  </w:style>
  <w:style w:type="paragraph" w:customStyle="1" w:styleId="Table2">
    <w:name w:val="Table 2"/>
    <w:basedOn w:val="Normal"/>
    <w:uiPriority w:val="20"/>
    <w:qFormat/>
    <w:rsid w:val="00FB04CE"/>
    <w:pPr>
      <w:widowControl/>
      <w:ind w:left="142" w:hanging="142"/>
    </w:pPr>
    <w:rPr>
      <w:bCs/>
      <w:sz w:val="18"/>
      <w:szCs w:val="20"/>
      <w:lang w:bidi="ar-SA"/>
    </w:rPr>
  </w:style>
  <w:style w:type="paragraph" w:customStyle="1" w:styleId="131ItemHeading">
    <w:name w:val="1.3.1 Item Heading"/>
    <w:basedOn w:val="Table2"/>
    <w:next w:val="Table2"/>
    <w:uiPriority w:val="22"/>
    <w:qFormat/>
    <w:rsid w:val="00FB04CE"/>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FB04CE"/>
    <w:pPr>
      <w:spacing w:after="120"/>
    </w:pPr>
    <w:rPr>
      <w:caps w:val="0"/>
      <w:sz w:val="18"/>
    </w:rPr>
  </w:style>
  <w:style w:type="paragraph" w:customStyle="1" w:styleId="142Tableheading1">
    <w:name w:val="1.4.2 Table heading1"/>
    <w:basedOn w:val="Normal"/>
    <w:uiPriority w:val="22"/>
    <w:qFormat/>
    <w:rsid w:val="00FB04CE"/>
    <w:pPr>
      <w:keepNext/>
      <w:widowControl/>
      <w:jc w:val="center"/>
    </w:pPr>
    <w:rPr>
      <w:rFonts w:ascii="Arial Bold" w:eastAsiaTheme="minorHAnsi" w:hAnsi="Arial Bold" w:cstheme="minorBidi"/>
      <w:b/>
      <w:bCs/>
      <w:iCs/>
      <w:sz w:val="18"/>
      <w:szCs w:val="22"/>
      <w:lang w:bidi="ar-SA"/>
    </w:rPr>
  </w:style>
  <w:style w:type="paragraph" w:customStyle="1" w:styleId="142Tableheading2">
    <w:name w:val="1.4.2 Table heading2"/>
    <w:basedOn w:val="142Tableheading1"/>
    <w:uiPriority w:val="22"/>
    <w:qFormat/>
    <w:rsid w:val="00FB04CE"/>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FB04CE"/>
    <w:pPr>
      <w:widowControl/>
      <w:ind w:left="142" w:hanging="142"/>
    </w:pPr>
    <w:rPr>
      <w:sz w:val="18"/>
      <w:szCs w:val="20"/>
      <w:lang w:bidi="ar-SA"/>
    </w:rPr>
  </w:style>
  <w:style w:type="character" w:customStyle="1" w:styleId="142Tabletext1Char">
    <w:name w:val="1.4.2 Table text1 Char"/>
    <w:basedOn w:val="DefaultParagraphFont"/>
    <w:link w:val="142Tabletext1"/>
    <w:uiPriority w:val="22"/>
    <w:rsid w:val="00FB04CE"/>
    <w:rPr>
      <w:rFonts w:ascii="Arial" w:hAnsi="Arial"/>
      <w:sz w:val="18"/>
      <w:lang w:eastAsia="en-US"/>
    </w:rPr>
  </w:style>
  <w:style w:type="paragraph" w:customStyle="1" w:styleId="142Tabletext2">
    <w:name w:val="1.4.2 Table text2"/>
    <w:basedOn w:val="142Tabletext1"/>
    <w:uiPriority w:val="22"/>
    <w:qFormat/>
    <w:rsid w:val="00FB04CE"/>
    <w:pPr>
      <w:jc w:val="right"/>
    </w:pPr>
  </w:style>
  <w:style w:type="paragraph" w:customStyle="1" w:styleId="Blankpage">
    <w:name w:val="Blank page"/>
    <w:basedOn w:val="Normal"/>
    <w:next w:val="Normal"/>
    <w:uiPriority w:val="23"/>
    <w:qFormat/>
    <w:rsid w:val="00FB04CE"/>
    <w:pPr>
      <w:widowControl/>
      <w:tabs>
        <w:tab w:val="left" w:pos="851"/>
      </w:tabs>
      <w:spacing w:before="6000"/>
      <w:jc w:val="center"/>
    </w:pPr>
    <w:rPr>
      <w:caps/>
      <w:szCs w:val="20"/>
      <w:lang w:bidi="ar-SA"/>
    </w:rPr>
  </w:style>
  <w:style w:type="paragraph" w:customStyle="1" w:styleId="Clause">
    <w:name w:val="Clause"/>
    <w:basedOn w:val="Normal"/>
    <w:next w:val="Normal"/>
    <w:link w:val="ClauseChar"/>
    <w:uiPriority w:val="10"/>
    <w:qFormat/>
    <w:rsid w:val="00FB04CE"/>
    <w:pPr>
      <w:widowControl/>
      <w:tabs>
        <w:tab w:val="left" w:pos="851"/>
      </w:tabs>
    </w:pPr>
    <w:rPr>
      <w:sz w:val="20"/>
      <w:szCs w:val="20"/>
      <w:lang w:bidi="ar-SA"/>
    </w:rPr>
  </w:style>
  <w:style w:type="character" w:customStyle="1" w:styleId="ClauseChar">
    <w:name w:val="Clause Char"/>
    <w:basedOn w:val="DefaultParagraphFont"/>
    <w:link w:val="Clause"/>
    <w:uiPriority w:val="10"/>
    <w:rsid w:val="00FB04CE"/>
    <w:rPr>
      <w:rFonts w:ascii="Arial" w:hAnsi="Arial"/>
      <w:lang w:eastAsia="en-US"/>
    </w:rPr>
  </w:style>
  <w:style w:type="paragraph" w:customStyle="1" w:styleId="Clauseheading">
    <w:name w:val="Clause heading"/>
    <w:basedOn w:val="Normal"/>
    <w:next w:val="Normal"/>
    <w:uiPriority w:val="14"/>
    <w:qFormat/>
    <w:rsid w:val="00FB04CE"/>
    <w:pPr>
      <w:keepNext/>
      <w:widowControl/>
      <w:tabs>
        <w:tab w:val="left" w:pos="851"/>
      </w:tabs>
    </w:pPr>
    <w:rPr>
      <w:b/>
      <w:sz w:val="20"/>
      <w:szCs w:val="20"/>
      <w:lang w:bidi="ar-SA"/>
    </w:rPr>
  </w:style>
  <w:style w:type="paragraph" w:customStyle="1" w:styleId="ClauseList">
    <w:name w:val="Clause List"/>
    <w:basedOn w:val="Clause"/>
    <w:next w:val="Normal"/>
    <w:uiPriority w:val="14"/>
    <w:qFormat/>
    <w:rsid w:val="00FB04CE"/>
    <w:pPr>
      <w:tabs>
        <w:tab w:val="clear" w:pos="851"/>
      </w:tabs>
      <w:ind w:left="851" w:hanging="851"/>
    </w:pPr>
  </w:style>
  <w:style w:type="paragraph" w:customStyle="1" w:styleId="Definition">
    <w:name w:val="Definition"/>
    <w:basedOn w:val="Normal"/>
    <w:next w:val="Normal"/>
    <w:uiPriority w:val="15"/>
    <w:qFormat/>
    <w:rsid w:val="00FB04CE"/>
    <w:pPr>
      <w:widowControl/>
      <w:ind w:left="1701" w:hanging="851"/>
    </w:pPr>
    <w:rPr>
      <w:sz w:val="20"/>
      <w:szCs w:val="20"/>
      <w:lang w:bidi="ar-SA"/>
    </w:rPr>
  </w:style>
  <w:style w:type="paragraph" w:customStyle="1" w:styleId="DivisionHeading">
    <w:name w:val="Division Heading"/>
    <w:basedOn w:val="Normal"/>
    <w:next w:val="Normal"/>
    <w:uiPriority w:val="15"/>
    <w:qFormat/>
    <w:rsid w:val="00FB04CE"/>
    <w:pPr>
      <w:keepNext/>
      <w:widowControl/>
      <w:tabs>
        <w:tab w:val="left" w:pos="851"/>
      </w:tabs>
      <w:jc w:val="center"/>
    </w:pPr>
    <w:rPr>
      <w:b/>
      <w:sz w:val="26"/>
      <w:szCs w:val="20"/>
      <w:lang w:bidi="ar-SA"/>
    </w:rPr>
  </w:style>
  <w:style w:type="paragraph" w:customStyle="1" w:styleId="EditorialNoteLine1">
    <w:name w:val="Editorial Note Line 1"/>
    <w:basedOn w:val="Normal"/>
    <w:next w:val="Normal"/>
    <w:uiPriority w:val="16"/>
    <w:qFormat/>
    <w:rsid w:val="00FB04CE"/>
    <w:pPr>
      <w:keepNext/>
      <w:widowControl/>
      <w:pBdr>
        <w:top w:val="single" w:sz="6" w:space="0" w:color="auto"/>
        <w:left w:val="single" w:sz="6" w:space="0" w:color="auto"/>
        <w:bottom w:val="single" w:sz="6" w:space="0" w:color="auto"/>
        <w:right w:val="single" w:sz="6" w:space="0" w:color="auto"/>
      </w:pBdr>
      <w:tabs>
        <w:tab w:val="left" w:pos="851"/>
      </w:tabs>
    </w:pPr>
    <w:rPr>
      <w:b/>
      <w:sz w:val="20"/>
      <w:szCs w:val="20"/>
      <w:lang w:bidi="ar-SA"/>
    </w:rPr>
  </w:style>
  <w:style w:type="paragraph" w:customStyle="1" w:styleId="EditorialNotetext">
    <w:name w:val="Editorial Note text"/>
    <w:basedOn w:val="EditorialNoteLine1"/>
    <w:uiPriority w:val="16"/>
    <w:qFormat/>
    <w:rsid w:val="00FB04CE"/>
    <w:pPr>
      <w:keepNext w:val="0"/>
    </w:pPr>
    <w:rPr>
      <w:b w:val="0"/>
    </w:rPr>
  </w:style>
  <w:style w:type="character" w:customStyle="1" w:styleId="FooterChar">
    <w:name w:val="Footer Char"/>
    <w:aliases w:val="FSFooter Char"/>
    <w:basedOn w:val="DefaultParagraphFont"/>
    <w:link w:val="Footer"/>
    <w:uiPriority w:val="4"/>
    <w:rsid w:val="00FB04CE"/>
    <w:rPr>
      <w:rFonts w:ascii="Arial" w:hAnsi="Arial"/>
      <w:szCs w:val="24"/>
      <w:lang w:eastAsia="en-US" w:bidi="en-US"/>
    </w:rPr>
  </w:style>
  <w:style w:type="paragraph" w:customStyle="1" w:styleId="FSCaption">
    <w:name w:val="FSCaption"/>
    <w:basedOn w:val="Normal"/>
    <w:uiPriority w:val="9"/>
    <w:qFormat/>
    <w:locked/>
    <w:rsid w:val="00FB04CE"/>
    <w:pPr>
      <w:keepNext/>
      <w:keepLines/>
      <w:widowControl/>
      <w:spacing w:before="120"/>
    </w:pPr>
    <w:rPr>
      <w:rFonts w:eastAsiaTheme="minorHAnsi" w:cstheme="minorBidi"/>
      <w:i/>
      <w:sz w:val="16"/>
      <w:szCs w:val="16"/>
      <w:lang w:bidi="ar-SA"/>
    </w:rPr>
  </w:style>
  <w:style w:type="paragraph" w:customStyle="1" w:styleId="FSCFootnote">
    <w:name w:val="FSCFootnote"/>
    <w:basedOn w:val="Normal"/>
    <w:next w:val="Normal"/>
    <w:uiPriority w:val="17"/>
    <w:qFormat/>
    <w:locked/>
    <w:rsid w:val="00FB04CE"/>
    <w:pPr>
      <w:widowControl/>
    </w:pPr>
    <w:rPr>
      <w:sz w:val="16"/>
      <w:szCs w:val="20"/>
      <w:lang w:bidi="ar-SA"/>
    </w:rPr>
  </w:style>
  <w:style w:type="paragraph" w:customStyle="1" w:styleId="FSCFooter0">
    <w:name w:val="FSCFooter"/>
    <w:basedOn w:val="FSCFootnote"/>
    <w:uiPriority w:val="17"/>
    <w:qFormat/>
    <w:locked/>
    <w:rsid w:val="00FB04CE"/>
    <w:pPr>
      <w:tabs>
        <w:tab w:val="center" w:pos="4536"/>
        <w:tab w:val="right" w:pos="9070"/>
      </w:tabs>
    </w:pPr>
    <w:rPr>
      <w:sz w:val="18"/>
      <w:szCs w:val="18"/>
    </w:rPr>
  </w:style>
  <w:style w:type="paragraph" w:customStyle="1" w:styleId="FSPagenumber">
    <w:name w:val="FSPage number"/>
    <w:basedOn w:val="Normal"/>
    <w:uiPriority w:val="1"/>
    <w:qFormat/>
    <w:locked/>
    <w:rsid w:val="00FB04CE"/>
    <w:pPr>
      <w:widowControl/>
      <w:jc w:val="center"/>
    </w:pPr>
    <w:rPr>
      <w:rFonts w:eastAsiaTheme="minorHAnsi" w:cstheme="minorBidi"/>
      <w:sz w:val="20"/>
      <w:szCs w:val="20"/>
      <w:lang w:bidi="ar-SA"/>
    </w:rPr>
  </w:style>
  <w:style w:type="paragraph" w:customStyle="1" w:styleId="FSTableColumnRowheading">
    <w:name w:val="FSTable Column/Row heading"/>
    <w:basedOn w:val="Normal"/>
    <w:uiPriority w:val="8"/>
    <w:qFormat/>
    <w:locked/>
    <w:rsid w:val="00FB04CE"/>
    <w:pPr>
      <w:widowControl/>
      <w:spacing w:before="120" w:after="120"/>
    </w:pPr>
    <w:rPr>
      <w:rFonts w:eastAsiaTheme="minorHAnsi" w:cstheme="minorBidi"/>
      <w:b/>
      <w:sz w:val="20"/>
      <w:szCs w:val="20"/>
      <w:lang w:bidi="ar-SA"/>
    </w:rPr>
  </w:style>
  <w:style w:type="paragraph" w:customStyle="1" w:styleId="FSTableFigureHeading">
    <w:name w:val="FSTable/Figure Heading"/>
    <w:basedOn w:val="Normal"/>
    <w:uiPriority w:val="7"/>
    <w:qFormat/>
    <w:locked/>
    <w:rsid w:val="00FB04CE"/>
    <w:pPr>
      <w:widowControl/>
      <w:spacing w:before="120" w:after="120"/>
      <w:ind w:left="1134" w:hanging="1134"/>
    </w:pPr>
    <w:rPr>
      <w:rFonts w:eastAsiaTheme="minorHAnsi" w:cstheme="minorBidi"/>
      <w:b/>
      <w:i/>
      <w:szCs w:val="22"/>
      <w:lang w:bidi="ar-SA"/>
    </w:rPr>
  </w:style>
  <w:style w:type="paragraph" w:customStyle="1" w:styleId="Paragraph">
    <w:name w:val="Paragraph"/>
    <w:basedOn w:val="Clause"/>
    <w:next w:val="Normal"/>
    <w:uiPriority w:val="12"/>
    <w:qFormat/>
    <w:rsid w:val="00FB04CE"/>
    <w:pPr>
      <w:tabs>
        <w:tab w:val="clear" w:pos="851"/>
      </w:tabs>
      <w:ind w:left="1702" w:hanging="851"/>
    </w:pPr>
  </w:style>
  <w:style w:type="paragraph" w:customStyle="1" w:styleId="ScheduleHeading">
    <w:name w:val="Schedule Heading"/>
    <w:basedOn w:val="Normal"/>
    <w:next w:val="Normal"/>
    <w:uiPriority w:val="18"/>
    <w:qFormat/>
    <w:rsid w:val="00FB04CE"/>
    <w:pPr>
      <w:widowControl/>
      <w:tabs>
        <w:tab w:val="left" w:pos="851"/>
      </w:tabs>
      <w:jc w:val="center"/>
    </w:pPr>
    <w:rPr>
      <w:b/>
      <w:caps/>
      <w:sz w:val="20"/>
      <w:szCs w:val="20"/>
      <w:lang w:bidi="ar-SA"/>
    </w:rPr>
  </w:style>
  <w:style w:type="paragraph" w:customStyle="1" w:styleId="Standardtitle">
    <w:name w:val="Standard title"/>
    <w:basedOn w:val="Normal"/>
    <w:uiPriority w:val="18"/>
    <w:qFormat/>
    <w:rsid w:val="00FB04CE"/>
    <w:pPr>
      <w:keepNext/>
      <w:widowControl/>
      <w:tabs>
        <w:tab w:val="left" w:pos="851"/>
      </w:tabs>
      <w:jc w:val="center"/>
    </w:pPr>
    <w:rPr>
      <w:b/>
      <w:i/>
      <w:iCs/>
      <w:caps/>
      <w:sz w:val="28"/>
      <w:szCs w:val="20"/>
      <w:lang w:bidi="ar-SA"/>
    </w:rPr>
  </w:style>
  <w:style w:type="paragraph" w:customStyle="1" w:styleId="Subclause">
    <w:name w:val="Subclause"/>
    <w:basedOn w:val="Clause"/>
    <w:uiPriority w:val="11"/>
    <w:qFormat/>
    <w:rsid w:val="00FB04CE"/>
    <w:pPr>
      <w:ind w:left="567" w:hanging="567"/>
    </w:pPr>
  </w:style>
  <w:style w:type="paragraph" w:customStyle="1" w:styleId="Subparagraph">
    <w:name w:val="Subparagraph"/>
    <w:basedOn w:val="Paragraph"/>
    <w:next w:val="Normal"/>
    <w:uiPriority w:val="13"/>
    <w:qFormat/>
    <w:rsid w:val="00FB04CE"/>
    <w:pPr>
      <w:ind w:left="2553"/>
    </w:pPr>
  </w:style>
  <w:style w:type="paragraph" w:customStyle="1" w:styleId="Table1">
    <w:name w:val="Table 1"/>
    <w:basedOn w:val="Normal"/>
    <w:uiPriority w:val="20"/>
    <w:qFormat/>
    <w:rsid w:val="00FB04CE"/>
    <w:pPr>
      <w:keepNext/>
      <w:widowControl/>
      <w:spacing w:after="120"/>
      <w:jc w:val="center"/>
    </w:pPr>
    <w:rPr>
      <w:b/>
      <w:bCs/>
      <w:sz w:val="18"/>
      <w:szCs w:val="20"/>
      <w:lang w:bidi="ar-SA"/>
    </w:rPr>
  </w:style>
  <w:style w:type="paragraph" w:customStyle="1" w:styleId="TitleBorder">
    <w:name w:val="TitleBorder"/>
    <w:basedOn w:val="Normal"/>
    <w:uiPriority w:val="19"/>
    <w:qFormat/>
    <w:rsid w:val="00FB04CE"/>
    <w:pPr>
      <w:widowControl/>
      <w:pBdr>
        <w:bottom w:val="double" w:sz="6" w:space="0" w:color="auto"/>
      </w:pBdr>
      <w:tabs>
        <w:tab w:val="left" w:pos="851"/>
      </w:tabs>
    </w:pPr>
    <w:rPr>
      <w:sz w:val="20"/>
      <w:szCs w:val="20"/>
      <w:lang w:bidi="ar-SA"/>
    </w:rPr>
  </w:style>
  <w:style w:type="table" w:customStyle="1" w:styleId="Zoe">
    <w:name w:val="Zoe"/>
    <w:basedOn w:val="TableGrid"/>
    <w:uiPriority w:val="99"/>
    <w:rsid w:val="00FB04CE"/>
    <w:rPr>
      <w:rFonts w:asciiTheme="minorHAnsi" w:eastAsiaTheme="minorHAnsi" w:hAnsiTheme="minorHAnsi"/>
      <w:color w:val="000000" w:themeColor="text1"/>
      <w:sz w:val="16"/>
      <w:szCs w:val="24"/>
      <w:lang w:val="en-US"/>
    </w:rPr>
    <w:tblPr>
      <w:tblStyleRowBandSize w:val="1"/>
      <w:tblBorders>
        <w:top w:val="single" w:sz="6" w:space="0" w:color="00797C"/>
        <w:left w:val="none" w:sz="0" w:space="0" w:color="auto"/>
        <w:bottom w:val="single" w:sz="6" w:space="0" w:color="00797C"/>
        <w:right w:val="none" w:sz="0" w:space="0" w:color="auto"/>
        <w:insideH w:val="none" w:sz="0" w:space="0" w:color="auto"/>
        <w:insideV w:val="none" w:sz="0" w:space="0" w:color="auto"/>
      </w:tblBorders>
    </w:tblPr>
    <w:tcPr>
      <w:shd w:val="clear" w:color="auto" w:fill="auto"/>
    </w:tcPr>
    <w:tblStylePr w:type="firstRow">
      <w:pPr>
        <w:jc w:val="center"/>
      </w:pPr>
      <w:rPr>
        <w:rFonts w:asciiTheme="minorHAnsi" w:hAnsiTheme="minorHAnsi"/>
        <w:b/>
        <w:i w:val="0"/>
        <w:color w:val="FFFFFF" w:themeColor="background1"/>
        <w:sz w:val="16"/>
      </w:rPr>
      <w:tblPr/>
      <w:tcPr>
        <w:shd w:val="clear" w:color="auto" w:fill="00797C"/>
        <w:vAlign w:val="center"/>
      </w:tcPr>
    </w:tblStylePr>
    <w:tblStylePr w:type="lastRow">
      <w:rPr>
        <w:color w:val="1F497D" w:themeColor="text2"/>
      </w:rPr>
    </w:tblStylePr>
    <w:tblStylePr w:type="band1Horz">
      <w:tblPr/>
      <w:tcPr>
        <w:shd w:val="clear" w:color="auto" w:fill="F2F2F2" w:themeFill="background1" w:themeFillShade="F2"/>
      </w:tcPr>
    </w:tblStylePr>
  </w:style>
  <w:style w:type="character" w:customStyle="1" w:styleId="BalloonTextChar">
    <w:name w:val="Balloon Text Char"/>
    <w:basedOn w:val="DefaultParagraphFont"/>
    <w:link w:val="BalloonText"/>
    <w:uiPriority w:val="99"/>
    <w:semiHidden/>
    <w:rsid w:val="00FB04CE"/>
    <w:rPr>
      <w:rFonts w:ascii="Tahoma" w:hAnsi="Tahoma" w:cs="Tahoma"/>
      <w:sz w:val="16"/>
      <w:szCs w:val="16"/>
      <w:lang w:eastAsia="en-US" w:bidi="en-US"/>
    </w:rPr>
  </w:style>
  <w:style w:type="character" w:customStyle="1" w:styleId="frlabel">
    <w:name w:val="fr_label"/>
    <w:basedOn w:val="DefaultParagraphFont"/>
    <w:rsid w:val="00FB04CE"/>
  </w:style>
  <w:style w:type="paragraph" w:styleId="Revision">
    <w:name w:val="Revision"/>
    <w:hidden/>
    <w:uiPriority w:val="99"/>
    <w:semiHidden/>
    <w:rsid w:val="00FB04CE"/>
    <w:rPr>
      <w:rFonts w:ascii="Arial" w:hAnsi="Arial"/>
      <w:sz w:val="22"/>
      <w:szCs w:val="24"/>
      <w:lang w:eastAsia="en-US" w:bidi="en-US"/>
    </w:rPr>
  </w:style>
  <w:style w:type="character" w:customStyle="1" w:styleId="gd15mcfceub">
    <w:name w:val="gd15mcfceub"/>
    <w:basedOn w:val="DefaultParagraphFont"/>
    <w:rsid w:val="00FB04CE"/>
  </w:style>
  <w:style w:type="paragraph" w:customStyle="1" w:styleId="Pa10">
    <w:name w:val="Pa10"/>
    <w:basedOn w:val="Default"/>
    <w:next w:val="Default"/>
    <w:uiPriority w:val="99"/>
    <w:rsid w:val="0075672D"/>
    <w:pPr>
      <w:spacing w:line="181" w:lineRule="atLeast"/>
    </w:pPr>
    <w:rPr>
      <w:rFonts w:ascii="Myriad Pro" w:hAnsi="Myriad Pro"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638632">
      <w:bodyDiv w:val="1"/>
      <w:marLeft w:val="0"/>
      <w:marRight w:val="0"/>
      <w:marTop w:val="0"/>
      <w:marBottom w:val="0"/>
      <w:divBdr>
        <w:top w:val="none" w:sz="0" w:space="0" w:color="auto"/>
        <w:left w:val="none" w:sz="0" w:space="0" w:color="auto"/>
        <w:bottom w:val="none" w:sz="0" w:space="0" w:color="auto"/>
        <w:right w:val="none" w:sz="0" w:space="0" w:color="auto"/>
      </w:divBdr>
    </w:div>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i.org/10.4315/0362-028X.JFP-14-288" TargetMode="External"/><Relationship Id="rId21" Type="http://schemas.openxmlformats.org/officeDocument/2006/relationships/header" Target="header3.xml"/><Relationship Id="rId324" Type="http://schemas.openxmlformats.org/officeDocument/2006/relationships/hyperlink" Target="https://doi.org/10.1016/j.foodres.2013.09.037" TargetMode="External"/><Relationship Id="rId531" Type="http://schemas.openxmlformats.org/officeDocument/2006/relationships/hyperlink" Target="https://doi.org/10.4315/0362-028X.JFP-16-223" TargetMode="External"/><Relationship Id="rId629" Type="http://schemas.openxmlformats.org/officeDocument/2006/relationships/hyperlink" Target="https://doi.org/10.1016/j.ijfoodmicro.2016.05.019" TargetMode="External"/><Relationship Id="rId170" Type="http://schemas.openxmlformats.org/officeDocument/2006/relationships/hyperlink" Target="https://doi.org/10.1089/fpd.2013.1631" TargetMode="External"/><Relationship Id="rId268" Type="http://schemas.openxmlformats.org/officeDocument/2006/relationships/hyperlink" Target="https://doi.org/10.4315/0362-028x-72.11.2308" TargetMode="External"/><Relationship Id="rId475" Type="http://schemas.openxmlformats.org/officeDocument/2006/relationships/hyperlink" Target="https://doi.org/10.2807/1560-7917.es2014.19.43.20941" TargetMode="External"/><Relationship Id="rId32" Type="http://schemas.openxmlformats.org/officeDocument/2006/relationships/hyperlink" Target="https://doi.org/10.1016/j.foodcont.2017.04.043" TargetMode="External"/><Relationship Id="rId128" Type="http://schemas.openxmlformats.org/officeDocument/2006/relationships/hyperlink" Target="http://www.fao.org/tempref/AG/agn/jemra/Microbiological_hazards_and_Melons_Nov08.pdf" TargetMode="External"/><Relationship Id="rId335" Type="http://schemas.openxmlformats.org/officeDocument/2006/relationships/hyperlink" Target="https://doi.org/10.1016/j.vetmic.2011.08.013" TargetMode="External"/><Relationship Id="rId542" Type="http://schemas.openxmlformats.org/officeDocument/2006/relationships/hyperlink" Target="https://doi.org/10.1111/1750-3841.13992" TargetMode="External"/><Relationship Id="rId181" Type="http://schemas.openxmlformats.org/officeDocument/2006/relationships/hyperlink" Target="https://www.horticulture.com.au/globalassets/hort-innovation/resource-assets/bs15002-strawberry-good-practice-guide.pdf" TargetMode="External"/><Relationship Id="rId402" Type="http://schemas.openxmlformats.org/officeDocument/2006/relationships/hyperlink" Target="https://doi.org/10.1038/ismej.2007.21" TargetMode="External"/><Relationship Id="rId279" Type="http://schemas.openxmlformats.org/officeDocument/2006/relationships/hyperlink" Target="https://doi.org/10.1111/j.1750-3841.2010.01650.x" TargetMode="External"/><Relationship Id="rId486" Type="http://schemas.openxmlformats.org/officeDocument/2006/relationships/hyperlink" Target="https://doi.org/10.1007/s12560-013-9118-0" TargetMode="External"/><Relationship Id="rId43" Type="http://schemas.openxmlformats.org/officeDocument/2006/relationships/hyperlink" Target="https://doi.org/10.1111/j.1574-6968.2010.02140.x" TargetMode="External"/><Relationship Id="rId139" Type="http://schemas.openxmlformats.org/officeDocument/2006/relationships/hyperlink" Target="https://doi.org/10.1016/j.fm.2017.06.011" TargetMode="External"/><Relationship Id="rId346" Type="http://schemas.openxmlformats.org/officeDocument/2006/relationships/hyperlink" Target="https://doi.org/10.1111/jfs.12050" TargetMode="External"/><Relationship Id="rId553" Type="http://schemas.openxmlformats.org/officeDocument/2006/relationships/image" Target="media/image11.jpeg"/><Relationship Id="rId192" Type="http://schemas.openxmlformats.org/officeDocument/2006/relationships/hyperlink" Target="https://doi.org/10.1371/journal.pone.0113433" TargetMode="External"/><Relationship Id="rId206" Type="http://schemas.openxmlformats.org/officeDocument/2006/relationships/hyperlink" Target="https://doi.org/10.1128/AEM.01503-13" TargetMode="External"/><Relationship Id="rId413" Type="http://schemas.openxmlformats.org/officeDocument/2006/relationships/hyperlink" Target="https://doi.org/10.4315/0362-028X.JFP-14-381" TargetMode="External"/><Relationship Id="rId497" Type="http://schemas.openxmlformats.org/officeDocument/2006/relationships/hyperlink" Target="https://doi.org/10.1099/jmm.0.000433" TargetMode="External"/><Relationship Id="rId620" Type="http://schemas.openxmlformats.org/officeDocument/2006/relationships/hyperlink" Target="https://doi.org/10.3390/agriculture5020231" TargetMode="External"/><Relationship Id="rId357" Type="http://schemas.openxmlformats.org/officeDocument/2006/relationships/hyperlink" Target="https://doi.org/10.1089/fpd.2018.2580" TargetMode="External"/><Relationship Id="rId54" Type="http://schemas.openxmlformats.org/officeDocument/2006/relationships/hyperlink" Target="http://foodregulation.gov.au/internet/fr/publishing.nsf/Content/Antimicrobial-Resistance-in-Food" TargetMode="External"/><Relationship Id="rId217" Type="http://schemas.openxmlformats.org/officeDocument/2006/relationships/hyperlink" Target="https://doi.org/10.1007/s00253-016-7651-0" TargetMode="External"/><Relationship Id="rId564" Type="http://schemas.openxmlformats.org/officeDocument/2006/relationships/hyperlink" Target="http://www9.health.gov.au/cda/source/cda-index.cfm" TargetMode="External"/><Relationship Id="rId424" Type="http://schemas.openxmlformats.org/officeDocument/2006/relationships/hyperlink" Target="https://www.sahealth.sa.gov.au/wps/wcm/connect/public+content/sa+health+internet/resources/food+safety+survey+report+-+leafy+greens+horticulture+survey+2017-2018" TargetMode="External"/><Relationship Id="rId631" Type="http://schemas.openxmlformats.org/officeDocument/2006/relationships/theme" Target="theme/theme1.xml"/><Relationship Id="rId270" Type="http://schemas.openxmlformats.org/officeDocument/2006/relationships/hyperlink" Target="https://doi.org/10.1016/j.fm.2011.02.001" TargetMode="External"/><Relationship Id="rId65" Type="http://schemas.openxmlformats.org/officeDocument/2006/relationships/hyperlink" Target="https://doi.org/10.1080/10408398.2020.1719383" TargetMode="External"/><Relationship Id="rId130" Type="http://schemas.openxmlformats.org/officeDocument/2006/relationships/hyperlink" Target="https://www.fda.gov/regulatory-information/search-fda-guidance-documents/guidance-industry-evaluating-safety-flood-affected-food-crops-human-consumption" TargetMode="External"/><Relationship Id="rId368" Type="http://schemas.openxmlformats.org/officeDocument/2006/relationships/hyperlink" Target="https://doi.org/10.1046/j.1472-765x.2001.00957.x|" TargetMode="External"/><Relationship Id="rId575" Type="http://schemas.openxmlformats.org/officeDocument/2006/relationships/hyperlink" Target="http://www9.health.gov.au/cda/source/cda-index.cfm" TargetMode="External"/><Relationship Id="rId228" Type="http://schemas.openxmlformats.org/officeDocument/2006/relationships/hyperlink" Target="https://doi.org/10.1128/AEM.71.10.5779-5786.2005" TargetMode="External"/><Relationship Id="rId435" Type="http://schemas.openxmlformats.org/officeDocument/2006/relationships/header" Target="header5.xml"/><Relationship Id="rId281" Type="http://schemas.openxmlformats.org/officeDocument/2006/relationships/hyperlink" Target="http://www9.health.gov.au/cda/source/cda-index.cfm" TargetMode="External"/><Relationship Id="rId502" Type="http://schemas.openxmlformats.org/officeDocument/2006/relationships/hyperlink" Target="https://doi.org/10.4315/0362-028X.JFP-12-503" TargetMode="External"/><Relationship Id="rId76" Type="http://schemas.openxmlformats.org/officeDocument/2006/relationships/hyperlink" Target="https://doi.org/10.1016/j.foodres.2014.05.065" TargetMode="External"/><Relationship Id="rId141" Type="http://schemas.openxmlformats.org/officeDocument/2006/relationships/hyperlink" Target="https://doi.org/10.4315/0362-028X.JFP-11-279" TargetMode="External"/><Relationship Id="rId379" Type="http://schemas.openxmlformats.org/officeDocument/2006/relationships/hyperlink" Target="https://doi.org/10.3934/agrfood.2019.2.320" TargetMode="External"/><Relationship Id="rId586" Type="http://schemas.openxmlformats.org/officeDocument/2006/relationships/hyperlink" Target="https://doi.org/10.1016/j.ijfoodmicro.2008.04.033" TargetMode="External"/><Relationship Id="rId7" Type="http://schemas.openxmlformats.org/officeDocument/2006/relationships/customXml" Target="../customXml/item7.xml"/><Relationship Id="rId239" Type="http://schemas.openxmlformats.org/officeDocument/2006/relationships/hyperlink" Target="https://doi.org/10.3389/fpubh.2018.00159" TargetMode="External"/><Relationship Id="rId446" Type="http://schemas.openxmlformats.org/officeDocument/2006/relationships/hyperlink" Target="https://doi.org/10.2807/1560-7917.ES2014.19.8.20719" TargetMode="External"/><Relationship Id="rId292" Type="http://schemas.openxmlformats.org/officeDocument/2006/relationships/hyperlink" Target="https://doi.org/10.1016/j.ijfoodmicro.2012.03.014" TargetMode="External"/><Relationship Id="rId306" Type="http://schemas.openxmlformats.org/officeDocument/2006/relationships/hyperlink" Target="https://doi.org/10.4315/0362-028x-68.8.1648" TargetMode="External"/><Relationship Id="rId87" Type="http://schemas.openxmlformats.org/officeDocument/2006/relationships/hyperlink" Target="https://www.daf.qld.gov.au/business-priorities/agriculture/plants/fruit-vegetable/fruit-vegetable-crops/strawberries/land-and-climate-requirements" TargetMode="External"/><Relationship Id="rId513" Type="http://schemas.openxmlformats.org/officeDocument/2006/relationships/hyperlink" Target="https://doi.org/10.1002/jsfa.9045" TargetMode="External"/><Relationship Id="rId597" Type="http://schemas.openxmlformats.org/officeDocument/2006/relationships/hyperlink" Target="https://doi.org/10.1016/j.fm.2009.09.009" TargetMode="External"/><Relationship Id="rId152" Type="http://schemas.openxmlformats.org/officeDocument/2006/relationships/hyperlink" Target="https://doi.org/10.1016/j.foodres.2011.06.054" TargetMode="External"/><Relationship Id="rId457" Type="http://schemas.openxmlformats.org/officeDocument/2006/relationships/hyperlink" Target="https://www.cdc.gov/parasites/cyclosporiasis/outbreaks/2018/b-071318/index.html" TargetMode="External"/><Relationship Id="rId14" Type="http://schemas.openxmlformats.org/officeDocument/2006/relationships/image" Target="media/image1.png"/><Relationship Id="rId317" Type="http://schemas.openxmlformats.org/officeDocument/2006/relationships/hyperlink" Target="https://doi.org/10.1093/cid/ciy227" TargetMode="External"/><Relationship Id="rId524" Type="http://schemas.openxmlformats.org/officeDocument/2006/relationships/hyperlink" Target="https://doi.org/10.1016/j.foodcont.2018.02.024" TargetMode="External"/><Relationship Id="rId98" Type="http://schemas.openxmlformats.org/officeDocument/2006/relationships/hyperlink" Target="https://doi.org/10.1002/jsfa.6640" TargetMode="External"/><Relationship Id="rId163" Type="http://schemas.openxmlformats.org/officeDocument/2006/relationships/hyperlink" Target="https://doi.org/10.1111/jfs.12378" TargetMode="External"/><Relationship Id="rId370" Type="http://schemas.openxmlformats.org/officeDocument/2006/relationships/hyperlink" Target="http://www.strawberriesaustralia.com.au/6836950/strawberries-australia-about-strawberries.htm" TargetMode="External"/><Relationship Id="rId230" Type="http://schemas.openxmlformats.org/officeDocument/2006/relationships/hyperlink" Target="https://doi.org/10.1128/AEM.02811-07" TargetMode="External"/><Relationship Id="rId468" Type="http://schemas.openxmlformats.org/officeDocument/2006/relationships/hyperlink" Target="http://wayback.archive-it.org/7993/20171114154907/https:/www.fda.gov/Food/RecallsOutbreaksEmergencies/Outbreaks/ucm422562.htm" TargetMode="External"/><Relationship Id="rId25" Type="http://schemas.openxmlformats.org/officeDocument/2006/relationships/image" Target="media/image2.jpeg"/><Relationship Id="rId328" Type="http://schemas.openxmlformats.org/officeDocument/2006/relationships/hyperlink" Target="https://doi.org/10.1111/1541-4337.12200" TargetMode="External"/><Relationship Id="rId535" Type="http://schemas.openxmlformats.org/officeDocument/2006/relationships/hyperlink" Target="https://doi.org/10.1016/j.foodcont.2018.05.030" TargetMode="External"/><Relationship Id="rId174" Type="http://schemas.openxmlformats.org/officeDocument/2006/relationships/hyperlink" Target="https://doi.org/10.3733/ca.v067n02p104" TargetMode="External"/><Relationship Id="rId381" Type="http://schemas.openxmlformats.org/officeDocument/2006/relationships/hyperlink" Target="https://doi.org/10.1038/s41598-019-51073-4" TargetMode="External"/><Relationship Id="rId602" Type="http://schemas.openxmlformats.org/officeDocument/2006/relationships/hyperlink" Target="https://doi.org/10.1016/j.lwt.2017.02.019" TargetMode="External"/><Relationship Id="rId241" Type="http://schemas.openxmlformats.org/officeDocument/2006/relationships/hyperlink" Target="http://freshproduce.org.au/__static/c2df9ce4b622ec059149827dbd08ffa6/afpa-report-2019-digital-book_(7).pdf?dl=1" TargetMode="External"/><Relationship Id="rId479" Type="http://schemas.openxmlformats.org/officeDocument/2006/relationships/hyperlink" Target="https://doi.org/10.1017/S0950268819001547" TargetMode="External"/><Relationship Id="rId36" Type="http://schemas.openxmlformats.org/officeDocument/2006/relationships/hyperlink" Target="https://doi.org/10.1016/j.scienta.2013.10.043" TargetMode="External"/><Relationship Id="rId339" Type="http://schemas.openxmlformats.org/officeDocument/2006/relationships/hyperlink" Target="https://www.sahealth.sa.gov.au/wps/wcm/connect/public+content/sa+health+internet/resources/summary+of+outbreaks+reports+to+cdcb+south+australia+2017" TargetMode="External"/><Relationship Id="rId546" Type="http://schemas.openxmlformats.org/officeDocument/2006/relationships/hyperlink" Target="https://doi.org/10.4315/0362-028X.JFP-13-135" TargetMode="External"/><Relationship Id="rId78" Type="http://schemas.openxmlformats.org/officeDocument/2006/relationships/hyperlink" Target="https://doi.org/10.1016/j.ijfoodmicro.2014.04.025" TargetMode="External"/><Relationship Id="rId101" Type="http://schemas.openxmlformats.org/officeDocument/2006/relationships/hyperlink" Target="https://www.agric.wa.gov.au/strawberries/using-pesticides-strawberry-production-%E2%80%93-your-responsibilities-grower?page=0%2C1" TargetMode="External"/><Relationship Id="rId143" Type="http://schemas.openxmlformats.org/officeDocument/2006/relationships/hyperlink" Target="https://www.freshcare.com.au/wp-content/uploads/Freshcare-Food-Safety-Quality-Standard-Edition-4.2-2020.pdf" TargetMode="External"/><Relationship Id="rId185" Type="http://schemas.openxmlformats.org/officeDocument/2006/relationships/hyperlink" Target="https://doi.org/10.1016/j.scitotenv.2018.08.275" TargetMode="External"/><Relationship Id="rId350" Type="http://schemas.openxmlformats.org/officeDocument/2006/relationships/hyperlink" Target="https://doi.org/10.21273/HORTTECH.25.3.380" TargetMode="External"/><Relationship Id="rId406" Type="http://schemas.openxmlformats.org/officeDocument/2006/relationships/hyperlink" Target="https://doi.org/10.1016/j.lwt.2016.09.002" TargetMode="External"/><Relationship Id="rId588" Type="http://schemas.openxmlformats.org/officeDocument/2006/relationships/hyperlink" Target="https://doi.org/10.1046/j.1365-2621.2002.00622.x" TargetMode="External"/><Relationship Id="rId9" Type="http://schemas.openxmlformats.org/officeDocument/2006/relationships/styles" Target="styles.xml"/><Relationship Id="rId210" Type="http://schemas.openxmlformats.org/officeDocument/2006/relationships/hyperlink" Target="https://doi.org/10.1128/AEM.02522-06" TargetMode="External"/><Relationship Id="rId392" Type="http://schemas.openxmlformats.org/officeDocument/2006/relationships/hyperlink" Target="https://doi.org/10.1016/j.ijfoodmicro.2005.01.016" TargetMode="External"/><Relationship Id="rId448" Type="http://schemas.openxmlformats.org/officeDocument/2006/relationships/hyperlink" Target="https://doi.org/10.1017/S0950268815002484" TargetMode="External"/><Relationship Id="rId613" Type="http://schemas.openxmlformats.org/officeDocument/2006/relationships/hyperlink" Target="https://doi.org/10.3934/agrfood.2019.2.320" TargetMode="External"/><Relationship Id="rId252" Type="http://schemas.openxmlformats.org/officeDocument/2006/relationships/hyperlink" Target="https://doi.org/10.3168/jds.2014-8735" TargetMode="External"/><Relationship Id="rId294" Type="http://schemas.openxmlformats.org/officeDocument/2006/relationships/hyperlink" Target="https://doi.org/10.1128/JVI.00082-18" TargetMode="External"/><Relationship Id="rId308" Type="http://schemas.openxmlformats.org/officeDocument/2006/relationships/hyperlink" Target="https://doi.org/10.1016/S0168-1605(03)00334-9" TargetMode="External"/><Relationship Id="rId515" Type="http://schemas.openxmlformats.org/officeDocument/2006/relationships/hyperlink" Target="https://doi.org/10.1016/j.fm.2019.01.017" TargetMode="External"/><Relationship Id="rId47" Type="http://schemas.openxmlformats.org/officeDocument/2006/relationships/hyperlink" Target="https://doi.org/10.1016/j.scitotenv.2012.05.020" TargetMode="External"/><Relationship Id="rId89" Type="http://schemas.openxmlformats.org/officeDocument/2006/relationships/hyperlink" Target="https://doi.org/10.1111/j.1365-2672.2007.03662.x" TargetMode="External"/><Relationship Id="rId112" Type="http://schemas.openxmlformats.org/officeDocument/2006/relationships/hyperlink" Target="https://doi.org/10.1016/j.fm.2019.103316" TargetMode="External"/><Relationship Id="rId154" Type="http://schemas.openxmlformats.org/officeDocument/2006/relationships/hyperlink" Target="https://doi.org/10.1016/j.agwat.2011.04.004" TargetMode="External"/><Relationship Id="rId361" Type="http://schemas.openxmlformats.org/officeDocument/2006/relationships/hyperlink" Target="https://doi.org/10.1111/1750-3841.14028" TargetMode="External"/><Relationship Id="rId557" Type="http://schemas.openxmlformats.org/officeDocument/2006/relationships/hyperlink" Target="http://www.foodsafety.govt.nz/science-risk/human-health-surveillance/foodborne-disease-annual-reports.htm" TargetMode="External"/><Relationship Id="rId599" Type="http://schemas.openxmlformats.org/officeDocument/2006/relationships/hyperlink" Target="https://doi.org/10.1089/fpd.2008.0237" TargetMode="External"/><Relationship Id="rId196" Type="http://schemas.openxmlformats.org/officeDocument/2006/relationships/hyperlink" Target="https://doi.org/10.3390/ijerph120606919" TargetMode="External"/><Relationship Id="rId417" Type="http://schemas.openxmlformats.org/officeDocument/2006/relationships/hyperlink" Target="https://doi.org/10.1128/AEM.01286-15" TargetMode="External"/><Relationship Id="rId459" Type="http://schemas.openxmlformats.org/officeDocument/2006/relationships/hyperlink" Target="https://www.cdc.gov/ecoli/2018/o157h7-11-18/" TargetMode="External"/><Relationship Id="rId624" Type="http://schemas.openxmlformats.org/officeDocument/2006/relationships/hyperlink" Target="https://doi.org/10.1016/j.ijfoodmicro.2017.06.023" TargetMode="External"/><Relationship Id="rId16" Type="http://schemas.openxmlformats.org/officeDocument/2006/relationships/footer" Target="footer2.xml"/><Relationship Id="rId221" Type="http://schemas.openxmlformats.org/officeDocument/2006/relationships/hyperlink" Target="https://doi.org/10.1007/s12560-009-9010-0" TargetMode="External"/><Relationship Id="rId263" Type="http://schemas.openxmlformats.org/officeDocument/2006/relationships/hyperlink" Target="https://doi.org/10.1016/j.foodcont.2016.06.009" TargetMode="External"/><Relationship Id="rId319" Type="http://schemas.openxmlformats.org/officeDocument/2006/relationships/hyperlink" Target="https://doi.org/10.1016/S0956-7135(03)00099-9" TargetMode="External"/><Relationship Id="rId470" Type="http://schemas.openxmlformats.org/officeDocument/2006/relationships/hyperlink" Target="https://www.fda.gov/food/outbreaks-foodborne-illness/environmental-assessment-factors-potentially-contributing-contamination-romaine-lettuce-implicated" TargetMode="External"/><Relationship Id="rId526" Type="http://schemas.openxmlformats.org/officeDocument/2006/relationships/hyperlink" Target="https://doi.org/10.1016/j.foodcont.2012.06.013" TargetMode="External"/><Relationship Id="rId58" Type="http://schemas.openxmlformats.org/officeDocument/2006/relationships/hyperlink" Target="https://doi.org/10.2134/jeq2005.0656" TargetMode="External"/><Relationship Id="rId123" Type="http://schemas.openxmlformats.org/officeDocument/2006/relationships/hyperlink" Target="https://doi.org/10.1371/journal.pone.0185437" TargetMode="External"/><Relationship Id="rId330" Type="http://schemas.openxmlformats.org/officeDocument/2006/relationships/hyperlink" Target="https://doi.org/10.4315/0362-028X.JFP-15-274" TargetMode="External"/><Relationship Id="rId568" Type="http://schemas.openxmlformats.org/officeDocument/2006/relationships/hyperlink" Target="http://www.foodsafety.govt.nz/science-risk/human-health-surveillance/foodborne-disease-annual-reports.htm" TargetMode="External"/><Relationship Id="rId165" Type="http://schemas.openxmlformats.org/officeDocument/2006/relationships/hyperlink" Target="https://doi.org/10.1016/j.foodcont.2012.12.012" TargetMode="External"/><Relationship Id="rId372" Type="http://schemas.openxmlformats.org/officeDocument/2006/relationships/hyperlink" Target="https://doi.org/10.4315/0362-028X.JFP-15-490" TargetMode="External"/><Relationship Id="rId428" Type="http://schemas.openxmlformats.org/officeDocument/2006/relationships/hyperlink" Target="https://doi.org/10.1111/j.1745-4565.2011.00330.x" TargetMode="External"/><Relationship Id="rId232" Type="http://schemas.openxmlformats.org/officeDocument/2006/relationships/hyperlink" Target="https://doi.org/10.1016/j.tifs.2013.12.001" TargetMode="External"/><Relationship Id="rId274" Type="http://schemas.openxmlformats.org/officeDocument/2006/relationships/hyperlink" Target="https://doi.org/10.1016/j.fm.2016.04.006" TargetMode="External"/><Relationship Id="rId481" Type="http://schemas.openxmlformats.org/officeDocument/2006/relationships/hyperlink" Target="https://doi.org/10.1093/cid/cis255" TargetMode="External"/><Relationship Id="rId27" Type="http://schemas.openxmlformats.org/officeDocument/2006/relationships/image" Target="media/image4.jpeg"/><Relationship Id="rId69" Type="http://schemas.openxmlformats.org/officeDocument/2006/relationships/hyperlink" Target="https://doi.org/10.4315/0362-028X-81.sp1.1" TargetMode="External"/><Relationship Id="rId134" Type="http://schemas.openxmlformats.org/officeDocument/2006/relationships/hyperlink" Target="https://www.fda.gov/food/foodborne-pathogens/external-summary-report-fy-2013-inspection-environmental-sampling-and-sample-collection-pre-and-post" TargetMode="External"/><Relationship Id="rId537" Type="http://schemas.openxmlformats.org/officeDocument/2006/relationships/hyperlink" Target="https://doi.org/10.1016/j.foodcont.2017.09.035" TargetMode="External"/><Relationship Id="rId579" Type="http://schemas.openxmlformats.org/officeDocument/2006/relationships/hyperlink" Target="http://www.foodstandards.gov.au/code/proposals/documents/P1007%20PPPS%20for%20raw%20milk%201AR%20SD1%20Cow%20milk%20Risk%20Assessment.pdf" TargetMode="External"/><Relationship Id="rId80" Type="http://schemas.openxmlformats.org/officeDocument/2006/relationships/hyperlink" Target="https://doi.org/10.1128/aem.68.6.3114-3120.2002" TargetMode="External"/><Relationship Id="rId176" Type="http://schemas.openxmlformats.org/officeDocument/2006/relationships/hyperlink" Target="https://doi.org/10.3390/ijerph120100032" TargetMode="External"/><Relationship Id="rId341" Type="http://schemas.openxmlformats.org/officeDocument/2006/relationships/hyperlink" Target="https://doi.org/10.4315/0362-028X.JFP-16-516" TargetMode="External"/><Relationship Id="rId383" Type="http://schemas.openxmlformats.org/officeDocument/2006/relationships/hyperlink" Target="https://doi.org/10.1016/j.watres.2017.10.041" TargetMode="External"/><Relationship Id="rId439" Type="http://schemas.openxmlformats.org/officeDocument/2006/relationships/footer" Target="footer6.xml"/><Relationship Id="rId590" Type="http://schemas.openxmlformats.org/officeDocument/2006/relationships/hyperlink" Target="https://doi.org/10.1016/j.postharvbio.2013.09.003" TargetMode="External"/><Relationship Id="rId604" Type="http://schemas.openxmlformats.org/officeDocument/2006/relationships/hyperlink" Target="https://doi.org/10.1016/j.ijfoodmicro.2004.07.014" TargetMode="External"/><Relationship Id="rId201" Type="http://schemas.openxmlformats.org/officeDocument/2006/relationships/hyperlink" Target="https://doi.org/10.1111/1751-7915.12178" TargetMode="External"/><Relationship Id="rId243" Type="http://schemas.openxmlformats.org/officeDocument/2006/relationships/hyperlink" Target="https://doi.org/10.1016/j.ijfoodmicro.2014.09.004" TargetMode="External"/><Relationship Id="rId285" Type="http://schemas.openxmlformats.org/officeDocument/2006/relationships/hyperlink" Target="https://www.health.nsw.gov.au/Infectious/foodborne/Publications/NSW-3rd-quarterly-report-2016.pdf" TargetMode="External"/><Relationship Id="rId450" Type="http://schemas.openxmlformats.org/officeDocument/2006/relationships/hyperlink" Target="https://www.cdc.gov/salmonella/typhimurium-cantaloupe-08-12/index.html" TargetMode="External"/><Relationship Id="rId506" Type="http://schemas.openxmlformats.org/officeDocument/2006/relationships/hyperlink" Target="http://www.euro.who.int/en/health-topics/emergencies/international-health-regulations/news/news/2011/07/outbreaks-of-e.-coli-o104h4-infection-update-30" TargetMode="External"/><Relationship Id="rId38" Type="http://schemas.openxmlformats.org/officeDocument/2006/relationships/hyperlink" Target="https://www.melonsaustralia.org.au/about/" TargetMode="External"/><Relationship Id="rId103" Type="http://schemas.openxmlformats.org/officeDocument/2006/relationships/hyperlink" Target="https://www.agric.wa.gov.au/strawberries/irrigation-and-fertiliser-guidelines-strawberries?nopaging=1" TargetMode="External"/><Relationship Id="rId310" Type="http://schemas.openxmlformats.org/officeDocument/2006/relationships/hyperlink" Target="https://doi.org/10.7745/KJSSF.2013.46.6.615" TargetMode="External"/><Relationship Id="rId492" Type="http://schemas.openxmlformats.org/officeDocument/2006/relationships/hyperlink" Target="https://doi.org/10.1017/S0950268816000121" TargetMode="External"/><Relationship Id="rId548" Type="http://schemas.openxmlformats.org/officeDocument/2006/relationships/hyperlink" Target="https://doi.org/10.4315/0362-028X.JFP-14-199" TargetMode="External"/><Relationship Id="rId91" Type="http://schemas.openxmlformats.org/officeDocument/2006/relationships/hyperlink" Target="https://doi.org/10.1016/j.ijfoodmicro.2017.02.006" TargetMode="External"/><Relationship Id="rId145" Type="http://schemas.openxmlformats.org/officeDocument/2006/relationships/hyperlink" Target="https://www.foodstandards.gov.au/publications/Pages/agents-foodborne-illness.aspx" TargetMode="External"/><Relationship Id="rId187" Type="http://schemas.openxmlformats.org/officeDocument/2006/relationships/hyperlink" Target="https://doi.org/10.1111/j.1745-4557.2011.00375.x" TargetMode="External"/><Relationship Id="rId352" Type="http://schemas.openxmlformats.org/officeDocument/2006/relationships/hyperlink" Target="https://doi.org/10.4315/0362-028X.JFP-10-241" TargetMode="External"/><Relationship Id="rId394" Type="http://schemas.openxmlformats.org/officeDocument/2006/relationships/hyperlink" Target="https://doi.org/10.1016/j.ijfoodmicro.2016.05.019" TargetMode="External"/><Relationship Id="rId408" Type="http://schemas.openxmlformats.org/officeDocument/2006/relationships/hyperlink" Target="https://doi.org/10.1016/j.ijfoodmicro.2012.10.008" TargetMode="External"/><Relationship Id="rId615" Type="http://schemas.openxmlformats.org/officeDocument/2006/relationships/hyperlink" Target="https://doi.org/10.1016/j.fm.2005.04.002" TargetMode="External"/><Relationship Id="rId212" Type="http://schemas.openxmlformats.org/officeDocument/2006/relationships/hyperlink" Target="https://doi.org/10.1016/j.ijfoodmicro.2004.11.008" TargetMode="External"/><Relationship Id="rId254" Type="http://schemas.openxmlformats.org/officeDocument/2006/relationships/hyperlink" Target="https://doi.org/10.1016/j.ijfoodmicro.2011.07.027" TargetMode="External"/><Relationship Id="rId49" Type="http://schemas.openxmlformats.org/officeDocument/2006/relationships/hyperlink" Target="https://doi.org/10.1136/ebmental-2019-300117" TargetMode="External"/><Relationship Id="rId114" Type="http://schemas.openxmlformats.org/officeDocument/2006/relationships/hyperlink" Target="https://onfarmfoodsafety.rutgers.edu/wp-content/uploads/2018/02/PSP-Erikson-Composting-Manure.pdf" TargetMode="External"/><Relationship Id="rId296" Type="http://schemas.openxmlformats.org/officeDocument/2006/relationships/hyperlink" Target="https://doi.org/10.1016/S0065-2113(06)93003-X" TargetMode="External"/><Relationship Id="rId461" Type="http://schemas.openxmlformats.org/officeDocument/2006/relationships/hyperlink" Target="https://doi.org/10.2903/j.efsa.2014.3821" TargetMode="External"/><Relationship Id="rId517" Type="http://schemas.openxmlformats.org/officeDocument/2006/relationships/hyperlink" Target="https://doi.org/10.1080/19440049.2012.745097" TargetMode="External"/><Relationship Id="rId559" Type="http://schemas.openxmlformats.org/officeDocument/2006/relationships/hyperlink" Target="http://www.who.int/csr/disease/hepatitis/HepatitisA_whocdscsredc2000_7.pdf" TargetMode="External"/><Relationship Id="rId60" Type="http://schemas.openxmlformats.org/officeDocument/2006/relationships/hyperlink" Target="https://doi.org/10.1016/j.fm.2004.02.006" TargetMode="External"/><Relationship Id="rId156" Type="http://schemas.openxmlformats.org/officeDocument/2006/relationships/hyperlink" Target="https://doi.org/10.1016/j.foodcont.2014.06.037" TargetMode="External"/><Relationship Id="rId198" Type="http://schemas.openxmlformats.org/officeDocument/2006/relationships/hyperlink" Target="https://doi.org/10.4315/0362-028x-68.11.2256" TargetMode="External"/><Relationship Id="rId321" Type="http://schemas.openxmlformats.org/officeDocument/2006/relationships/hyperlink" Target="https://doi.org/10.4315/0362-028X-81.sp1.1" TargetMode="External"/><Relationship Id="rId363" Type="http://schemas.openxmlformats.org/officeDocument/2006/relationships/hyperlink" Target="https://doi.org/10.4315/0362-028X-65.4.673" TargetMode="External"/><Relationship Id="rId419" Type="http://schemas.openxmlformats.org/officeDocument/2006/relationships/hyperlink" Target="https://www.dpi.nsw.gov.au/__data/assets/pdf_file/0016/303325/Irrigation-and-moisture-monitoring-in-blueberries.pdf" TargetMode="External"/><Relationship Id="rId570" Type="http://schemas.openxmlformats.org/officeDocument/2006/relationships/hyperlink" Target="http://www.cdc.gov/salmonella/montevideo/" TargetMode="External"/><Relationship Id="rId626" Type="http://schemas.openxmlformats.org/officeDocument/2006/relationships/hyperlink" Target="https://doi.org/10.1111/j.1365-2621.2006.tb08903.x|" TargetMode="External"/><Relationship Id="rId223" Type="http://schemas.openxmlformats.org/officeDocument/2006/relationships/hyperlink" Target="https://doi.org/10.1016/j.ijfoodmicro.2006.01.012" TargetMode="External"/><Relationship Id="rId430" Type="http://schemas.openxmlformats.org/officeDocument/2006/relationships/hyperlink" Target="https://doi.org/10.1089/fpd.2010.0611" TargetMode="External"/><Relationship Id="rId18" Type="http://schemas.openxmlformats.org/officeDocument/2006/relationships/hyperlink" Target="https://www.foodstandards.gov.au/code/proposals/Pages/proposalp1015primary5412.aspx" TargetMode="External"/><Relationship Id="rId265" Type="http://schemas.openxmlformats.org/officeDocument/2006/relationships/hyperlink" Target="https://doi.org/10.1111/j.1365-2672.2012.05269.x" TargetMode="External"/><Relationship Id="rId472" Type="http://schemas.openxmlformats.org/officeDocument/2006/relationships/hyperlink" Target="https://www.fda.gov/food/outbreaks-foodborne-illness/investigation-summary-factors-potentially-contributing-contamination-romaine-lettuce-implicated-fall" TargetMode="External"/><Relationship Id="rId528" Type="http://schemas.openxmlformats.org/officeDocument/2006/relationships/hyperlink" Target="https://doi.org/10.1007/s12560-017-9300-x" TargetMode="External"/><Relationship Id="rId125" Type="http://schemas.openxmlformats.org/officeDocument/2006/relationships/hyperlink" Target="https://doi.org/10.1016/j.fm.2012.12.005" TargetMode="External"/><Relationship Id="rId167" Type="http://schemas.openxmlformats.org/officeDocument/2006/relationships/hyperlink" Target="https://doi.org/10.1139/cjm-2012-0599" TargetMode="External"/><Relationship Id="rId332" Type="http://schemas.openxmlformats.org/officeDocument/2006/relationships/hyperlink" Target="https://doi.org/10.1016/j.jfoodeng.2012.08.022" TargetMode="External"/><Relationship Id="rId374" Type="http://schemas.openxmlformats.org/officeDocument/2006/relationships/hyperlink" Target="https://doi.org/10.1016/j.biosystemseng.2005.04.006" TargetMode="External"/><Relationship Id="rId581" Type="http://schemas.openxmlformats.org/officeDocument/2006/relationships/hyperlink" Target="http://www9.health.gov.au/cda/source/cda-index.cfm" TargetMode="External"/><Relationship Id="rId71" Type="http://schemas.openxmlformats.org/officeDocument/2006/relationships/hyperlink" Target="https://www.marlerblog.com/files/2013/02/2006_Spinach_Report_Final_01.pdf" TargetMode="External"/><Relationship Id="rId234" Type="http://schemas.openxmlformats.org/officeDocument/2006/relationships/hyperlink" Target="https://doi.org/10.1111/jfs.12087" TargetMode="External"/><Relationship Id="rId2" Type="http://schemas.openxmlformats.org/officeDocument/2006/relationships/customXml" Target="../customXml/item2.xml"/><Relationship Id="rId29" Type="http://schemas.openxmlformats.org/officeDocument/2006/relationships/image" Target="media/image6.jpeg"/><Relationship Id="rId276" Type="http://schemas.openxmlformats.org/officeDocument/2006/relationships/hyperlink" Target="https://doi.org/10.1016/j.ijfoodmicro.2014.10.001" TargetMode="External"/><Relationship Id="rId441" Type="http://schemas.openxmlformats.org/officeDocument/2006/relationships/header" Target="header9.xml"/><Relationship Id="rId483" Type="http://schemas.openxmlformats.org/officeDocument/2006/relationships/hyperlink" Target="https://doi.org/10.1017/S0950268819001596" TargetMode="External"/><Relationship Id="rId539" Type="http://schemas.openxmlformats.org/officeDocument/2006/relationships/hyperlink" Target="https://doi.org/10.4315/0362-028X.JFP-16-282" TargetMode="External"/><Relationship Id="rId40" Type="http://schemas.openxmlformats.org/officeDocument/2006/relationships/hyperlink" Target="https://doi.org/10.4315/0362-028X.JFP-12-414" TargetMode="External"/><Relationship Id="rId136" Type="http://schemas.openxmlformats.org/officeDocument/2006/relationships/hyperlink" Target="https://www.fda.gov/food/outbreaks-foodborne-illness/environmental-assessment-factors-potentially-contributing-contamination-romaine-lettuce-implicated" TargetMode="External"/><Relationship Id="rId178" Type="http://schemas.openxmlformats.org/officeDocument/2006/relationships/hyperlink" Target="https://doi.org/10.3136/fstr.20.961" TargetMode="External"/><Relationship Id="rId301" Type="http://schemas.openxmlformats.org/officeDocument/2006/relationships/hyperlink" Target="https://doi.org/10.33321/cdi.2021.45.52" TargetMode="External"/><Relationship Id="rId343" Type="http://schemas.openxmlformats.org/officeDocument/2006/relationships/hyperlink" Target="https://doi.org/10.7589/0090-3558-47.1.1" TargetMode="External"/><Relationship Id="rId550" Type="http://schemas.openxmlformats.org/officeDocument/2006/relationships/image" Target="media/image8.jpeg"/><Relationship Id="rId82" Type="http://schemas.openxmlformats.org/officeDocument/2006/relationships/hyperlink" Target="http://www.fao.org/fao-who-codexalimentarius/sh-proxy/en/?lnk=1&amp;url=https%253A%252F%252Fworkspace.fao.org%252Fsites%252Fcodex%252FStandards%252FCXG%2B79-2012%252FCXG_079e.pdf" TargetMode="External"/><Relationship Id="rId203" Type="http://schemas.openxmlformats.org/officeDocument/2006/relationships/hyperlink" Target="https://doi.org/10.1016/j.postharvbio.2013.09.003" TargetMode="External"/><Relationship Id="rId385" Type="http://schemas.openxmlformats.org/officeDocument/2006/relationships/hyperlink" Target="https://ucfoodsafety.ucdavis.edu/pre-post-harvest/co-management-food-safety-and-sustainability" TargetMode="External"/><Relationship Id="rId592" Type="http://schemas.openxmlformats.org/officeDocument/2006/relationships/hyperlink" Target="https://doi.org/10.1016/j.ijfoodmicro.2009.04.006" TargetMode="External"/><Relationship Id="rId606" Type="http://schemas.openxmlformats.org/officeDocument/2006/relationships/hyperlink" Target="https://doi.org/10.1016/j.foodcont.2010.03.011" TargetMode="External"/><Relationship Id="rId245" Type="http://schemas.openxmlformats.org/officeDocument/2006/relationships/hyperlink" Target="https://doi.org/10.1016/j.ijfoodmicro.2012.07.005" TargetMode="External"/><Relationship Id="rId287" Type="http://schemas.openxmlformats.org/officeDocument/2006/relationships/hyperlink" Target="https://www.health.nsw.gov.au/Infectious/foodborne/Publications/NSW-2nd-quarterly-report-2018.pdf" TargetMode="External"/><Relationship Id="rId410" Type="http://schemas.openxmlformats.org/officeDocument/2006/relationships/hyperlink" Target="https://doi.org/10.1016/j.ijfoodmicro.2013.07.025" TargetMode="External"/><Relationship Id="rId452" Type="http://schemas.openxmlformats.org/officeDocument/2006/relationships/hyperlink" Target="https://www.cdc.gov/listeria/outbreaks/caramel-apples-12-14/index.html" TargetMode="External"/><Relationship Id="rId494" Type="http://schemas.openxmlformats.org/officeDocument/2006/relationships/hyperlink" Target="https://www.canada.ca/en/public-health/services/public-health-notices/2016/public-health-notice-update-outbreak-listeria-infections-linked-packaged-salad-products-produced-dole-processing-facility-springfield-ohio.html" TargetMode="External"/><Relationship Id="rId508" Type="http://schemas.openxmlformats.org/officeDocument/2006/relationships/hyperlink" Target="https://doi.org/10.4315/0362-028X.JFP-12-022" TargetMode="External"/><Relationship Id="rId105" Type="http://schemas.openxmlformats.org/officeDocument/2006/relationships/hyperlink" Target="https://www.agric.wa.gov.au/strawberries/strawberries-growing-crop?nopaging=1" TargetMode="External"/><Relationship Id="rId147" Type="http://schemas.openxmlformats.org/officeDocument/2006/relationships/hyperlink" Target="https://doi.org/10.4315/0362-028x-71.5.888" TargetMode="External"/><Relationship Id="rId312" Type="http://schemas.openxmlformats.org/officeDocument/2006/relationships/hyperlink" Target="https://doi.org/10.1128/AEM.03643-13" TargetMode="External"/><Relationship Id="rId354" Type="http://schemas.openxmlformats.org/officeDocument/2006/relationships/hyperlink" Target="https://doi.org/10.3389/fmicb.2019.02276" TargetMode="External"/><Relationship Id="rId51" Type="http://schemas.openxmlformats.org/officeDocument/2006/relationships/hyperlink" Target="https://doi.org/10.1016/j.ijfoodmicro.2018.01.013" TargetMode="External"/><Relationship Id="rId93" Type="http://schemas.openxmlformats.org/officeDocument/2006/relationships/hyperlink" Target="https://www.foodstandards.gov.au/publications/Documents/Strawberry%20report.pdf" TargetMode="External"/><Relationship Id="rId189" Type="http://schemas.openxmlformats.org/officeDocument/2006/relationships/hyperlink" Target="https://doi.org/10.1089/153531404772914437" TargetMode="External"/><Relationship Id="rId396" Type="http://schemas.openxmlformats.org/officeDocument/2006/relationships/hyperlink" Target="http://wayback.archive-it.org/7993/20180125150727/https://www.fda.gov/iceci/criminalinvestigations/ucm373174.htm" TargetMode="External"/><Relationship Id="rId561" Type="http://schemas.openxmlformats.org/officeDocument/2006/relationships/hyperlink" Target="http://www.fda.gov/Food/FoodborneIllnessContaminants/CausesOfIllnessBadBugBook/ucm2006773.htm" TargetMode="External"/><Relationship Id="rId617" Type="http://schemas.openxmlformats.org/officeDocument/2006/relationships/hyperlink" Target="https://doi.org/10.1016/j.fm.2016.04.007" TargetMode="External"/><Relationship Id="rId214" Type="http://schemas.openxmlformats.org/officeDocument/2006/relationships/hyperlink" Target="https://doi.org/10.4315/0362-028X.JFP-11-031" TargetMode="External"/><Relationship Id="rId256" Type="http://schemas.openxmlformats.org/officeDocument/2006/relationships/hyperlink" Target="https://doi.org/10.4315/0362-028X.JFP-15-507" TargetMode="External"/><Relationship Id="rId298" Type="http://schemas.openxmlformats.org/officeDocument/2006/relationships/hyperlink" Target="https://doi.org/10.1016/j.lwt.2017.02.019" TargetMode="External"/><Relationship Id="rId421" Type="http://schemas.openxmlformats.org/officeDocument/2006/relationships/hyperlink" Target="https://doi.org/10.4315/0362-028X.JFP-12-512" TargetMode="External"/><Relationship Id="rId463" Type="http://schemas.openxmlformats.org/officeDocument/2006/relationships/hyperlink" Target="https://efsa.onlinelibrary.wiley.com/doi/epdf/10.2903/sp.efsa.2018.EN-1448" TargetMode="External"/><Relationship Id="rId519" Type="http://schemas.openxmlformats.org/officeDocument/2006/relationships/hyperlink" Target="https://doi.org/10.1016/j.ijfoodmicro.2014.09.024" TargetMode="External"/><Relationship Id="rId116" Type="http://schemas.openxmlformats.org/officeDocument/2006/relationships/hyperlink" Target="https://doi.org/10.4315/0362-028X.JFP-13-432" TargetMode="External"/><Relationship Id="rId158" Type="http://schemas.openxmlformats.org/officeDocument/2006/relationships/hyperlink" Target="https://doi.org/10.4315/0362-028X-72.5.1094" TargetMode="External"/><Relationship Id="rId323" Type="http://schemas.openxmlformats.org/officeDocument/2006/relationships/hyperlink" Target="https://doi.org/10.1111/jam.13122" TargetMode="External"/><Relationship Id="rId530" Type="http://schemas.openxmlformats.org/officeDocument/2006/relationships/hyperlink" Target="https://doi.org/10.1016/j.foodcont.2012.04.017" TargetMode="External"/><Relationship Id="rId20" Type="http://schemas.openxmlformats.org/officeDocument/2006/relationships/header" Target="header2.xml"/><Relationship Id="rId62" Type="http://schemas.openxmlformats.org/officeDocument/2006/relationships/hyperlink" Target="https://doi.org/10.1016/j.foodcont.2013.07.023" TargetMode="External"/><Relationship Id="rId365" Type="http://schemas.openxmlformats.org/officeDocument/2006/relationships/hyperlink" Target="https://doi.org/10.1111/j.1365-2621.2006.tb08903.x|" TargetMode="External"/><Relationship Id="rId572" Type="http://schemas.openxmlformats.org/officeDocument/2006/relationships/hyperlink" Target="http://www.foodstandards.gov.au/code/proposals/documents/P1007%20PPPS%20for%20raw%20milk%201AR%20SD1%20Cow%20milk%20Risk%20Assessment.pdf" TargetMode="External"/><Relationship Id="rId628" Type="http://schemas.openxmlformats.org/officeDocument/2006/relationships/hyperlink" Target="https://doi.org/10.4315/0362-028x-69.8.1835" TargetMode="External"/><Relationship Id="rId225" Type="http://schemas.openxmlformats.org/officeDocument/2006/relationships/hyperlink" Target="https://doi.org/10.1016/j.fm.2019.103257" TargetMode="External"/><Relationship Id="rId267" Type="http://schemas.openxmlformats.org/officeDocument/2006/relationships/hyperlink" Target="https://doi.org/10.1128/AEM.71.2.746-753.2005" TargetMode="External"/><Relationship Id="rId432" Type="http://schemas.openxmlformats.org/officeDocument/2006/relationships/hyperlink" Target="https://doi.org/10.4315/0362-028X-72.12.2471" TargetMode="External"/><Relationship Id="rId474" Type="http://schemas.openxmlformats.org/officeDocument/2006/relationships/hyperlink" Target="https://doi.org/10.1093/cid/cis817" TargetMode="External"/><Relationship Id="rId127" Type="http://schemas.openxmlformats.org/officeDocument/2006/relationships/hyperlink" Target="http://www.fao.org/3/a-i0452e.pdf" TargetMode="External"/><Relationship Id="rId31" Type="http://schemas.openxmlformats.org/officeDocument/2006/relationships/hyperlink" Target="https://doi.org/10.1016/j.foodcont.2018.02.039" TargetMode="External"/><Relationship Id="rId73" Type="http://schemas.openxmlformats.org/officeDocument/2006/relationships/hyperlink" Target="https://doi.org/10.4315/0362-028X-79.sp1.1" TargetMode="External"/><Relationship Id="rId169" Type="http://schemas.openxmlformats.org/officeDocument/2006/relationships/hyperlink" Target="https://doi.org/10.4315/0362-028X.JFP-17-040" TargetMode="External"/><Relationship Id="rId334" Type="http://schemas.openxmlformats.org/officeDocument/2006/relationships/hyperlink" Target="https://doi.org/10.4315/0362-028X-67.4.721" TargetMode="External"/><Relationship Id="rId376" Type="http://schemas.openxmlformats.org/officeDocument/2006/relationships/hyperlink" Target="https://doi.org/10.4315/0362-028x-63.10.1433" TargetMode="External"/><Relationship Id="rId541" Type="http://schemas.openxmlformats.org/officeDocument/2006/relationships/hyperlink" Target="https://doi.org/10.4315/0362-028X.JFP-13-514" TargetMode="External"/><Relationship Id="rId583" Type="http://schemas.openxmlformats.org/officeDocument/2006/relationships/header" Target="header11.xml"/><Relationship Id="rId4" Type="http://schemas.openxmlformats.org/officeDocument/2006/relationships/customXml" Target="../customXml/item4.xml"/><Relationship Id="rId180" Type="http://schemas.openxmlformats.org/officeDocument/2006/relationships/hyperlink" Target="https://www.horticulture.com.au/globalassets/hort-innovation/levy-fund-financial-and-management-documents/sip-pdfs-new/hortinnovation-sip-melon-2018-2021.pdf" TargetMode="External"/><Relationship Id="rId236" Type="http://schemas.openxmlformats.org/officeDocument/2006/relationships/hyperlink" Target="https://doi.org/10.1016/j.foodcont.2012.06.039" TargetMode="External"/><Relationship Id="rId278" Type="http://schemas.openxmlformats.org/officeDocument/2006/relationships/hyperlink" Target="https://doi.org/10.1111/j.1750-3841.2008.00746.x" TargetMode="External"/><Relationship Id="rId401" Type="http://schemas.openxmlformats.org/officeDocument/2006/relationships/hyperlink" Target="https://doi.org/10.1016/j.ijfoodmicro.2016.07.029" TargetMode="External"/><Relationship Id="rId443" Type="http://schemas.openxmlformats.org/officeDocument/2006/relationships/header" Target="header10.xml"/><Relationship Id="rId303" Type="http://schemas.openxmlformats.org/officeDocument/2006/relationships/hyperlink" Target="https://doi.org/10.1006/fmic.2001.0470" TargetMode="External"/><Relationship Id="rId485" Type="http://schemas.openxmlformats.org/officeDocument/2006/relationships/hyperlink" Target="https://doi.org/10.1093/cid/cis296" TargetMode="External"/><Relationship Id="rId42" Type="http://schemas.openxmlformats.org/officeDocument/2006/relationships/hyperlink" Target="http://permits.apvma.gov.au/PER82986.PDF" TargetMode="External"/><Relationship Id="rId84" Type="http://schemas.openxmlformats.org/officeDocument/2006/relationships/hyperlink" Target="https://doi.org/10.4315/0362-028X-79.sp1.1" TargetMode="External"/><Relationship Id="rId138" Type="http://schemas.openxmlformats.org/officeDocument/2006/relationships/hyperlink" Target="https://doi.org/10.1139/w03-002" TargetMode="External"/><Relationship Id="rId345" Type="http://schemas.openxmlformats.org/officeDocument/2006/relationships/hyperlink" Target="https://doi.org/10.1016/j.postharvbio.2011.08.002" TargetMode="External"/><Relationship Id="rId387" Type="http://schemas.openxmlformats.org/officeDocument/2006/relationships/hyperlink" Target="https://doi.org/10.4315/0362-028x-64.9.1286" TargetMode="External"/><Relationship Id="rId510" Type="http://schemas.openxmlformats.org/officeDocument/2006/relationships/hyperlink" Target="https://doi.org/10.1016/j.fm.2018.12.003" TargetMode="External"/><Relationship Id="rId552" Type="http://schemas.openxmlformats.org/officeDocument/2006/relationships/image" Target="media/image10.jpeg"/><Relationship Id="rId594" Type="http://schemas.openxmlformats.org/officeDocument/2006/relationships/hyperlink" Target="https://doi.org/10.1016/j.ijfoodmicro.2006.01.012" TargetMode="External"/><Relationship Id="rId608" Type="http://schemas.openxmlformats.org/officeDocument/2006/relationships/hyperlink" Target="https://doi.org/10.1111/jfs.12050" TargetMode="External"/><Relationship Id="rId191" Type="http://schemas.openxmlformats.org/officeDocument/2006/relationships/hyperlink" Target="https://doi.org/10.1111/j.1863-2378.2012.01465.x" TargetMode="External"/><Relationship Id="rId205" Type="http://schemas.openxmlformats.org/officeDocument/2006/relationships/hyperlink" Target="https://doi.org/10.4315/0362-028X-73.2.212" TargetMode="External"/><Relationship Id="rId247" Type="http://schemas.openxmlformats.org/officeDocument/2006/relationships/hyperlink" Target="https://doi.org/10.1038/s41426-018-0047-8" TargetMode="External"/><Relationship Id="rId412" Type="http://schemas.openxmlformats.org/officeDocument/2006/relationships/hyperlink" Target="https://doi.org/10.1111/j.1750-3841.2008.00998.x" TargetMode="External"/><Relationship Id="rId107" Type="http://schemas.openxmlformats.org/officeDocument/2006/relationships/hyperlink" Target="https://doi.org/10.4315/0362-028X-68.4.687" TargetMode="External"/><Relationship Id="rId289" Type="http://schemas.openxmlformats.org/officeDocument/2006/relationships/hyperlink" Target="https://doi.org/10.1016/j.apsoil.2010.10.004" TargetMode="External"/><Relationship Id="rId454" Type="http://schemas.openxmlformats.org/officeDocument/2006/relationships/hyperlink" Target="https://www.cdc.gov/listeria/outbreaks/frozen-vegetables-05-16/index.html" TargetMode="External"/><Relationship Id="rId496" Type="http://schemas.openxmlformats.org/officeDocument/2006/relationships/hyperlink" Target="https://www.canada.ca/en/public-health/services/public-health-notices/2018/outbreak-ecoli-infections-linked-romaine-lettuce.html" TargetMode="External"/><Relationship Id="rId11" Type="http://schemas.openxmlformats.org/officeDocument/2006/relationships/webSettings" Target="webSettings.xml"/><Relationship Id="rId53" Type="http://schemas.openxmlformats.org/officeDocument/2006/relationships/hyperlink" Target="https://doi.org/10.1016/j.vetmic.2009.08.021" TargetMode="External"/><Relationship Id="rId149" Type="http://schemas.openxmlformats.org/officeDocument/2006/relationships/hyperlink" Target="https://doi.org/10.4315/0362-028x-64.12.1891" TargetMode="External"/><Relationship Id="rId314" Type="http://schemas.openxmlformats.org/officeDocument/2006/relationships/hyperlink" Target="https://doi.org/10.1016/j.ijfoodmicro.2010.02.005" TargetMode="External"/><Relationship Id="rId356" Type="http://schemas.openxmlformats.org/officeDocument/2006/relationships/hyperlink" Target="https://doi.org/10.1111/j.1365-2672.2009.04610.x" TargetMode="External"/><Relationship Id="rId398" Type="http://schemas.openxmlformats.org/officeDocument/2006/relationships/hyperlink" Target="https://www.govinfo.gov/app/details/CFR-2011-title7-vol3/CFR-2011-title7-vol3-sec205-203/context" TargetMode="External"/><Relationship Id="rId521" Type="http://schemas.openxmlformats.org/officeDocument/2006/relationships/hyperlink" Target="https://doi.org/10.4315/0362-028X.JFP-10-424" TargetMode="External"/><Relationship Id="rId563" Type="http://schemas.openxmlformats.org/officeDocument/2006/relationships/hyperlink" Target="http://www.foodsafety.govt.nz/science-risk/human-health-surveillance/foodborne-disease-annual-reports.htm" TargetMode="External"/><Relationship Id="rId619" Type="http://schemas.openxmlformats.org/officeDocument/2006/relationships/hyperlink" Target="https://doi.org/10.1016/j.ijfoodmicro.2016.07.029" TargetMode="External"/><Relationship Id="rId95" Type="http://schemas.openxmlformats.org/officeDocument/2006/relationships/hyperlink" Target="https://www2.health.vic.gov.au/about/news-and-events/healthalerts/alert-hepatitis-a-berries-2-june-2017" TargetMode="External"/><Relationship Id="rId160" Type="http://schemas.openxmlformats.org/officeDocument/2006/relationships/hyperlink" Target="https://www.globalgap.org/.content/.galleries/documents/201015_PFA_EL_CPCC_AF_CB_FV_V5_Oct20_Interim-Final_en.pdf" TargetMode="External"/><Relationship Id="rId216" Type="http://schemas.openxmlformats.org/officeDocument/2006/relationships/hyperlink" Target="https://doi.org/10.3389/fmicb.2017.01433" TargetMode="External"/><Relationship Id="rId423" Type="http://schemas.openxmlformats.org/officeDocument/2006/relationships/hyperlink" Target="https://doi.org/10.4315/0362-028X.JFP-18-435" TargetMode="External"/><Relationship Id="rId258" Type="http://schemas.openxmlformats.org/officeDocument/2006/relationships/hyperlink" Target="https://doi.org/10.1017/S0950268817002874" TargetMode="External"/><Relationship Id="rId465" Type="http://schemas.openxmlformats.org/officeDocument/2006/relationships/hyperlink" Target="https://doi.org/10.2807/1560-7917.ES.2019.24.24.1900368" TargetMode="External"/><Relationship Id="rId630" Type="http://schemas.openxmlformats.org/officeDocument/2006/relationships/fontTable" Target="fontTable.xml"/><Relationship Id="rId22" Type="http://schemas.openxmlformats.org/officeDocument/2006/relationships/footer" Target="footer3.xml"/><Relationship Id="rId64" Type="http://schemas.openxmlformats.org/officeDocument/2006/relationships/hyperlink" Target="https://doi.org/10.1016/j.ijfoodmicro.2011.04.016" TargetMode="External"/><Relationship Id="rId118" Type="http://schemas.openxmlformats.org/officeDocument/2006/relationships/hyperlink" Target="https://doi.org/10.4315/0362-028X.JFP-14-289" TargetMode="External"/><Relationship Id="rId325" Type="http://schemas.openxmlformats.org/officeDocument/2006/relationships/hyperlink" Target="https://doi.org/10.1016/j.foodcont.2012.05.070" TargetMode="External"/><Relationship Id="rId367" Type="http://schemas.openxmlformats.org/officeDocument/2006/relationships/hyperlink" Target="https://doi.org/10.2166/wh.2013.164" TargetMode="External"/><Relationship Id="rId532" Type="http://schemas.openxmlformats.org/officeDocument/2006/relationships/hyperlink" Target="https://doi.org/10.1016/j.foodcont.2017.10.009" TargetMode="External"/><Relationship Id="rId574" Type="http://schemas.openxmlformats.org/officeDocument/2006/relationships/hyperlink" Target="http://www.foodsafety.govt.nz/science-risk/human-health-surveillance/foodborne-disease-annual-reports.htm" TargetMode="External"/><Relationship Id="rId171" Type="http://schemas.openxmlformats.org/officeDocument/2006/relationships/hyperlink" Target="https://doi.org/10.1128/microbiolspec.PFS-0022-2018" TargetMode="External"/><Relationship Id="rId227" Type="http://schemas.openxmlformats.org/officeDocument/2006/relationships/hyperlink" Target="https://doi.org/10.1111/j.1365-2672.2008.03794.x" TargetMode="External"/><Relationship Id="rId269" Type="http://schemas.openxmlformats.org/officeDocument/2006/relationships/hyperlink" Target="https://doi.org/10.4315/0362-028X.JFP-14-165" TargetMode="External"/><Relationship Id="rId434" Type="http://schemas.openxmlformats.org/officeDocument/2006/relationships/hyperlink" Target="https://doi.org/10.1016/j.envpol.2015.10.025" TargetMode="External"/><Relationship Id="rId476" Type="http://schemas.openxmlformats.org/officeDocument/2006/relationships/hyperlink" Target="https://doi.org/10.2807/1560-7917.es2014.19.15.20775" TargetMode="External"/><Relationship Id="rId33" Type="http://schemas.openxmlformats.org/officeDocument/2006/relationships/hyperlink" Target="https://doi.org/10.1016/j.ijfoodmicro.2018.04.042" TargetMode="External"/><Relationship Id="rId129" Type="http://schemas.openxmlformats.org/officeDocument/2006/relationships/hyperlink" Target="https://www.fda.gov/regulatory-information/search-fda-guidance-documents/guidance-industry-guide-minimize-microbial-food-safety-hazards-fresh-cut-fruits-and-vegetables" TargetMode="External"/><Relationship Id="rId280" Type="http://schemas.openxmlformats.org/officeDocument/2006/relationships/hyperlink" Target="https://doi.org/10.5433/1679-0359.2017v38n1p175" TargetMode="External"/><Relationship Id="rId336" Type="http://schemas.openxmlformats.org/officeDocument/2006/relationships/hyperlink" Target="https://doi.org/10.1128/AEM.71.1.247-254.2005" TargetMode="External"/><Relationship Id="rId501" Type="http://schemas.openxmlformats.org/officeDocument/2006/relationships/hyperlink" Target="https://doi.org/10.2807/1560-7917.ES2014.19.18.20792" TargetMode="External"/><Relationship Id="rId543" Type="http://schemas.openxmlformats.org/officeDocument/2006/relationships/hyperlink" Target="https://doi.org/10.1016/j.ijfoodmicro.2017.03.008" TargetMode="External"/><Relationship Id="rId75" Type="http://schemas.openxmlformats.org/officeDocument/2006/relationships/hyperlink" Target="https://doi.org/10.4315/0362-028X-67.4.713" TargetMode="External"/><Relationship Id="rId140" Type="http://schemas.openxmlformats.org/officeDocument/2006/relationships/hyperlink" Target="https://fpsc-anz.com/wp-content/uploads/2019/06/Guidelines-for-Fresh-Produce-Food-Safety-2019_WEB.pdf" TargetMode="External"/><Relationship Id="rId182" Type="http://schemas.openxmlformats.org/officeDocument/2006/relationships/hyperlink" Target="https://doi.org/10.1128/aem.69.1.548-553.2003" TargetMode="External"/><Relationship Id="rId378" Type="http://schemas.openxmlformats.org/officeDocument/2006/relationships/hyperlink" Target="https://doi.org/10.4315/0362-028X-72.3.465" TargetMode="External"/><Relationship Id="rId403" Type="http://schemas.openxmlformats.org/officeDocument/2006/relationships/hyperlink" Target="https://doi.org/10.1128/AEM.03283-12" TargetMode="External"/><Relationship Id="rId585" Type="http://schemas.openxmlformats.org/officeDocument/2006/relationships/header" Target="header13.xml"/><Relationship Id="rId6" Type="http://schemas.openxmlformats.org/officeDocument/2006/relationships/customXml" Target="../customXml/item6.xml"/><Relationship Id="rId238" Type="http://schemas.openxmlformats.org/officeDocument/2006/relationships/hyperlink" Target="https://doi.org/10.4315/0362-028X.JFP-15-255" TargetMode="External"/><Relationship Id="rId445" Type="http://schemas.openxmlformats.org/officeDocument/2006/relationships/hyperlink" Target="https://doi.org/10.1017/S0950268815000370" TargetMode="External"/><Relationship Id="rId487" Type="http://schemas.openxmlformats.org/officeDocument/2006/relationships/hyperlink" Target="https://doi.org/10.1089/fpd.2013.1726" TargetMode="External"/><Relationship Id="rId610" Type="http://schemas.openxmlformats.org/officeDocument/2006/relationships/hyperlink" Target="https://doi.org/10.1006/fmic.2001.0471" TargetMode="External"/><Relationship Id="rId291" Type="http://schemas.openxmlformats.org/officeDocument/2006/relationships/hyperlink" Target="https://doi.org/10.1016/j.fm.2010.11.004" TargetMode="External"/><Relationship Id="rId305" Type="http://schemas.openxmlformats.org/officeDocument/2006/relationships/hyperlink" Target="https://doi.org/10.1016/j.ijfoodmicro.2020.108834" TargetMode="External"/><Relationship Id="rId347" Type="http://schemas.openxmlformats.org/officeDocument/2006/relationships/hyperlink" Target="https://doi.org/10.1128/AEM.00334-19" TargetMode="External"/><Relationship Id="rId512" Type="http://schemas.openxmlformats.org/officeDocument/2006/relationships/hyperlink" Target="https://doi.org/10.1111/1750-3841.14401" TargetMode="External"/><Relationship Id="rId44" Type="http://schemas.openxmlformats.org/officeDocument/2006/relationships/hyperlink" Target="https://doi.org/10.3390/foods8120639" TargetMode="External"/><Relationship Id="rId86" Type="http://schemas.openxmlformats.org/officeDocument/2006/relationships/hyperlink" Target="https://doi.org/10.1016/j.foodcont.2018.01.011" TargetMode="External"/><Relationship Id="rId151" Type="http://schemas.openxmlformats.org/officeDocument/2006/relationships/hyperlink" Target="https://doi.org/10.1016/j.foodcont.2019.01.032" TargetMode="External"/><Relationship Id="rId389" Type="http://schemas.openxmlformats.org/officeDocument/2006/relationships/hyperlink" Target="https://doi.org/10.1016/j.fm.2005.04.002" TargetMode="External"/><Relationship Id="rId554" Type="http://schemas.openxmlformats.org/officeDocument/2006/relationships/hyperlink" Target="http://immunise.health.gov.au/internet/immunise/publishing.nsf/Content/immunise-hepa" TargetMode="External"/><Relationship Id="rId596" Type="http://schemas.openxmlformats.org/officeDocument/2006/relationships/hyperlink" Target="https://doi.org/10.1016/j.ijfoodmicro.2020.108590" TargetMode="External"/><Relationship Id="rId193" Type="http://schemas.openxmlformats.org/officeDocument/2006/relationships/hyperlink" Target="https://doi.org/10.3390/microorganisms7100408" TargetMode="External"/><Relationship Id="rId207" Type="http://schemas.openxmlformats.org/officeDocument/2006/relationships/hyperlink" Target="https://doi.org/10.1007/s00003-018-1172-y" TargetMode="External"/><Relationship Id="rId249" Type="http://schemas.openxmlformats.org/officeDocument/2006/relationships/hyperlink" Target="https://doi.org/10.4315/0362-028X.JFP-19-283" TargetMode="External"/><Relationship Id="rId414" Type="http://schemas.openxmlformats.org/officeDocument/2006/relationships/hyperlink" Target="https://doi.org/10.1046/j.1365-2672.2003.02037.x" TargetMode="External"/><Relationship Id="rId456" Type="http://schemas.openxmlformats.org/officeDocument/2006/relationships/hyperlink" Target="https://www.cdc.gov/salmonella/muenchen-02-16/index.html" TargetMode="External"/><Relationship Id="rId498" Type="http://schemas.openxmlformats.org/officeDocument/2006/relationships/hyperlink" Target="https://doi.org/10.3201/eid2508.180761" TargetMode="External"/><Relationship Id="rId621" Type="http://schemas.openxmlformats.org/officeDocument/2006/relationships/hyperlink" Target="https://doi.org/10.1016/S0168-1605(00)00415-3" TargetMode="External"/><Relationship Id="rId13" Type="http://schemas.openxmlformats.org/officeDocument/2006/relationships/endnotes" Target="endnotes.xml"/><Relationship Id="rId109" Type="http://schemas.openxmlformats.org/officeDocument/2006/relationships/hyperlink" Target="https://doi.org/10.2903/j.efsa.2014.3600" TargetMode="External"/><Relationship Id="rId260" Type="http://schemas.openxmlformats.org/officeDocument/2006/relationships/hyperlink" Target="https://doi.org/10.1007/s12393-013-9064-5" TargetMode="External"/><Relationship Id="rId316" Type="http://schemas.openxmlformats.org/officeDocument/2006/relationships/hyperlink" Target="https://doi.org/10.1089/fpd.2010.0734" TargetMode="External"/><Relationship Id="rId523" Type="http://schemas.openxmlformats.org/officeDocument/2006/relationships/hyperlink" Target="https://doi.org/10.1016/j.foodcont.2017.03.031" TargetMode="External"/><Relationship Id="rId55" Type="http://schemas.openxmlformats.org/officeDocument/2006/relationships/hyperlink" Target="https://doi.org/10.4315/0362-028X.JFP-14-476" TargetMode="External"/><Relationship Id="rId97" Type="http://schemas.openxmlformats.org/officeDocument/2006/relationships/hyperlink" Target="https://doi.org/10.3389/fmicb.2020.01485" TargetMode="External"/><Relationship Id="rId120" Type="http://schemas.openxmlformats.org/officeDocument/2006/relationships/hyperlink" Target="https://doi.org/10.1016/j.ijfoodmicro.2018.12.001" TargetMode="External"/><Relationship Id="rId358" Type="http://schemas.openxmlformats.org/officeDocument/2006/relationships/hyperlink" Target="https://doi.org/10.1016/J.FOODCONT.2019.106970" TargetMode="External"/><Relationship Id="rId565" Type="http://schemas.openxmlformats.org/officeDocument/2006/relationships/hyperlink" Target="http://www.who.int/foodsafety/publications/micro/mra_listeria/en/index.html" TargetMode="External"/><Relationship Id="rId162" Type="http://schemas.openxmlformats.org/officeDocument/2006/relationships/hyperlink" Target="https://doi.org/10.4315/0362-028X-56.3.194" TargetMode="External"/><Relationship Id="rId218" Type="http://schemas.openxmlformats.org/officeDocument/2006/relationships/hyperlink" Target="https://doi.org/10.1016/j.fm.2017.10.012" TargetMode="External"/><Relationship Id="rId425" Type="http://schemas.openxmlformats.org/officeDocument/2006/relationships/hyperlink" Target="http://era.daf.qld.gov.au/id/eprint/1650/" TargetMode="External"/><Relationship Id="rId467" Type="http://schemas.openxmlformats.org/officeDocument/2006/relationships/hyperlink" Target="http://wayback.archive-it.org/7993/20171114155057/https://www.fda.gov/Food/RecallsOutbreaksEmergencies/Outbreaks/ucm341476.htm" TargetMode="External"/><Relationship Id="rId271" Type="http://schemas.openxmlformats.org/officeDocument/2006/relationships/hyperlink" Target="https://doi.org/10.4315/0362-028X-67.5.894" TargetMode="External"/><Relationship Id="rId24" Type="http://schemas.openxmlformats.org/officeDocument/2006/relationships/header" Target="header4.xml"/><Relationship Id="rId66" Type="http://schemas.openxmlformats.org/officeDocument/2006/relationships/hyperlink" Target="https://doi.org/10.1016/j.fm.2020.103691" TargetMode="External"/><Relationship Id="rId131" Type="http://schemas.openxmlformats.org/officeDocument/2006/relationships/hyperlink" Target="https://www.fda.gov/media/85484/download" TargetMode="External"/><Relationship Id="rId327" Type="http://schemas.openxmlformats.org/officeDocument/2006/relationships/hyperlink" Target="https://doi.org/10.1016/j.foodcont.2010.03.011" TargetMode="External"/><Relationship Id="rId369" Type="http://schemas.openxmlformats.org/officeDocument/2006/relationships/hyperlink" Target="https://doi.org/10.4315/0362-028x-64.5.618" TargetMode="External"/><Relationship Id="rId534" Type="http://schemas.openxmlformats.org/officeDocument/2006/relationships/hyperlink" Target="https://doi.org/10.4315/0362-028X.JFP-15-274" TargetMode="External"/><Relationship Id="rId576" Type="http://schemas.openxmlformats.org/officeDocument/2006/relationships/hyperlink" Target="http://www.who.int/foodsafety/publications/micro/salmonella/en/index.html" TargetMode="External"/><Relationship Id="rId173" Type="http://schemas.openxmlformats.org/officeDocument/2006/relationships/hyperlink" Target="https://doi.org/10.4315/0362-028X.JFP-15-499" TargetMode="External"/><Relationship Id="rId229" Type="http://schemas.openxmlformats.org/officeDocument/2006/relationships/hyperlink" Target="https://doi.org/10.1017/S0950268808001829" TargetMode="External"/><Relationship Id="rId380" Type="http://schemas.openxmlformats.org/officeDocument/2006/relationships/hyperlink" Target="https://doi.org/10.1046/j.1365-2672.1998.00390.x" TargetMode="External"/><Relationship Id="rId436" Type="http://schemas.openxmlformats.org/officeDocument/2006/relationships/header" Target="header6.xml"/><Relationship Id="rId601" Type="http://schemas.openxmlformats.org/officeDocument/2006/relationships/hyperlink" Target="https://doi.org/10.1111/j.1750-3841.2010.01650.x" TargetMode="External"/><Relationship Id="rId240" Type="http://schemas.openxmlformats.org/officeDocument/2006/relationships/hyperlink" Target="https://doi.org/10.1371/journal.pone.0075969" TargetMode="External"/><Relationship Id="rId478" Type="http://schemas.openxmlformats.org/officeDocument/2006/relationships/hyperlink" Target="https://doi.org/10.1007/s00705-015-2531-y" TargetMode="External"/><Relationship Id="rId35" Type="http://schemas.openxmlformats.org/officeDocument/2006/relationships/hyperlink" Target="https://doi.org/10.1016/j.ijfoodmicro.2018.01.014" TargetMode="External"/><Relationship Id="rId77" Type="http://schemas.openxmlformats.org/officeDocument/2006/relationships/hyperlink" Target="https://www.cdc.gov/salmonella/typhimurium-cantaloupe-08-12/index.html" TargetMode="External"/><Relationship Id="rId100" Type="http://schemas.openxmlformats.org/officeDocument/2006/relationships/hyperlink" Target="https://doi.org/10.4315/0362-028X-60.10.1201" TargetMode="External"/><Relationship Id="rId282" Type="http://schemas.openxmlformats.org/officeDocument/2006/relationships/hyperlink" Target="https://www.foodauthority.nsw.gov.au/sites/default/files/_Documents/foodsafetyandyou/listeria_outbreak_investigation.pdf" TargetMode="External"/><Relationship Id="rId338" Type="http://schemas.openxmlformats.org/officeDocument/2006/relationships/hyperlink" Target="https://doi.org/10.1016/j.femsre.2004.02.001" TargetMode="External"/><Relationship Id="rId503" Type="http://schemas.openxmlformats.org/officeDocument/2006/relationships/hyperlink" Target="https://doi.org/10.1017/S0950268815002769" TargetMode="External"/><Relationship Id="rId545" Type="http://schemas.openxmlformats.org/officeDocument/2006/relationships/hyperlink" Target="https://doi.org/10.1016/j.fm.2016.11.012" TargetMode="External"/><Relationship Id="rId587" Type="http://schemas.openxmlformats.org/officeDocument/2006/relationships/hyperlink" Target="https://doi.org/10.1016/j.ijfoodmicro.2017.02.006" TargetMode="External"/><Relationship Id="rId8" Type="http://schemas.openxmlformats.org/officeDocument/2006/relationships/numbering" Target="numbering.xml"/><Relationship Id="rId142" Type="http://schemas.openxmlformats.org/officeDocument/2006/relationships/hyperlink" Target="https://doi.org/10.1128/AEM.71.10.6165-6174.2005" TargetMode="External"/><Relationship Id="rId184" Type="http://schemas.openxmlformats.org/officeDocument/2006/relationships/hyperlink" Target="https://doi.org/10.1016/j.hpj.2019.07.006" TargetMode="External"/><Relationship Id="rId391" Type="http://schemas.openxmlformats.org/officeDocument/2006/relationships/hyperlink" Target="https://doi.org/10.4315/0362-028x-67.3.432" TargetMode="External"/><Relationship Id="rId405" Type="http://schemas.openxmlformats.org/officeDocument/2006/relationships/hyperlink" Target="https://doi.org/10.1016/j.foodcont.2014.08.028" TargetMode="External"/><Relationship Id="rId447" Type="http://schemas.openxmlformats.org/officeDocument/2006/relationships/hyperlink" Target="https://doi.org/10.1056/NEJMoa1106482" TargetMode="External"/><Relationship Id="rId612" Type="http://schemas.openxmlformats.org/officeDocument/2006/relationships/hyperlink" Target="https://www.centerforproducesafety.org/researchproject/348/awards/Practical_validation_of_surface_pasteurization_of_netted_melons.html" TargetMode="External"/><Relationship Id="rId251" Type="http://schemas.openxmlformats.org/officeDocument/2006/relationships/hyperlink" Target="https://doi.org/10.1094/PHYTO.2001.91.7.673" TargetMode="External"/><Relationship Id="rId489" Type="http://schemas.openxmlformats.org/officeDocument/2006/relationships/hyperlink" Target="https://doi.org/10.4315/0362-028X.JFP-12-407" TargetMode="External"/><Relationship Id="rId46" Type="http://schemas.openxmlformats.org/officeDocument/2006/relationships/hyperlink" Target="https://www.amr.gov.au/resources/review-published-and-grey-literature-presence-antimicrobial-resistance-food-australia-and" TargetMode="External"/><Relationship Id="rId293" Type="http://schemas.openxmlformats.org/officeDocument/2006/relationships/hyperlink" Target="https://doi.org/10.1089/fpd.2013.1710" TargetMode="External"/><Relationship Id="rId307" Type="http://schemas.openxmlformats.org/officeDocument/2006/relationships/hyperlink" Target="https://doi.org/10.1111/j.1541-4337.2003.tb00033.x" TargetMode="External"/><Relationship Id="rId349" Type="http://schemas.openxmlformats.org/officeDocument/2006/relationships/hyperlink" Target="https://doi.org/10.4315/0362-028X.JFP-12-052" TargetMode="External"/><Relationship Id="rId514" Type="http://schemas.openxmlformats.org/officeDocument/2006/relationships/hyperlink" Target="https://doi.org/10.4315/0362-028X.JFP-13-412" TargetMode="External"/><Relationship Id="rId556" Type="http://schemas.openxmlformats.org/officeDocument/2006/relationships/hyperlink" Target="http://www.fda.gov/Food/FoodborneIllnessContaminants/CausesOfIllnessBadBugBook/ucm2006773.htm" TargetMode="External"/><Relationship Id="rId88" Type="http://schemas.openxmlformats.org/officeDocument/2006/relationships/hyperlink" Target="https://www.daf.qld.gov.au/__data/assets/pdf_file/0008/74591/factsheet-cucurbit-and-wet-weather.pdf" TargetMode="External"/><Relationship Id="rId111" Type="http://schemas.openxmlformats.org/officeDocument/2006/relationships/hyperlink" Target="https://doi.org/10.2903/j.efsa.2014.3831" TargetMode="External"/><Relationship Id="rId153" Type="http://schemas.openxmlformats.org/officeDocument/2006/relationships/hyperlink" Target="https://doi.org/10.1016/j.ijfoodmicro.2013.10.010" TargetMode="External"/><Relationship Id="rId195" Type="http://schemas.openxmlformats.org/officeDocument/2006/relationships/hyperlink" Target="https://doi.org/10.1128/AEM.71.5.2221-2225.2005" TargetMode="External"/><Relationship Id="rId209" Type="http://schemas.openxmlformats.org/officeDocument/2006/relationships/hyperlink" Target="https://doi.org/10.1038/ismej.2007.82" TargetMode="External"/><Relationship Id="rId360" Type="http://schemas.openxmlformats.org/officeDocument/2006/relationships/hyperlink" Target="https://doi.org/10.1186/s12879-018-3563-1" TargetMode="External"/><Relationship Id="rId416" Type="http://schemas.openxmlformats.org/officeDocument/2006/relationships/hyperlink" Target="https://doi.org/10.1089/fpd.2009.0490" TargetMode="External"/><Relationship Id="rId598" Type="http://schemas.openxmlformats.org/officeDocument/2006/relationships/hyperlink" Target="https://doi.org/10.1016/j.foodres.2011.04.011" TargetMode="External"/><Relationship Id="rId220" Type="http://schemas.openxmlformats.org/officeDocument/2006/relationships/hyperlink" Target="https://doi.org/10.1093/cid/cit468" TargetMode="External"/><Relationship Id="rId458" Type="http://schemas.openxmlformats.org/officeDocument/2006/relationships/hyperlink" Target="https://www.cdc.gov/ecoli/2018/o157h7-04-18/" TargetMode="External"/><Relationship Id="rId623" Type="http://schemas.openxmlformats.org/officeDocument/2006/relationships/hyperlink" Target="https://doi.org/10.1111/j.1750-3841.2009.01247.x" TargetMode="External"/><Relationship Id="rId15" Type="http://schemas.openxmlformats.org/officeDocument/2006/relationships/footer" Target="footer1.xml"/><Relationship Id="rId57" Type="http://schemas.openxmlformats.org/officeDocument/2006/relationships/hyperlink" Target="https://doi.org/10.2807/1560-7917.ES2014.19.8.20719" TargetMode="External"/><Relationship Id="rId262" Type="http://schemas.openxmlformats.org/officeDocument/2006/relationships/hyperlink" Target="https://doi.org/10.1128/AEM.02775-16" TargetMode="External"/><Relationship Id="rId318" Type="http://schemas.openxmlformats.org/officeDocument/2006/relationships/hyperlink" Target="https://doi.org/10.1016/j.ijfoodmicro.2003.08.020" TargetMode="External"/><Relationship Id="rId525" Type="http://schemas.openxmlformats.org/officeDocument/2006/relationships/hyperlink" Target="https://doi.org/10.4315/0362-028X.JFP-16-178" TargetMode="External"/><Relationship Id="rId567" Type="http://schemas.openxmlformats.org/officeDocument/2006/relationships/hyperlink" Target="https://www.fda.gov/Food/FoodborneIllnessContaminants/CausesOfIllnessBadBugBook/ucm2006773.htm" TargetMode="External"/><Relationship Id="rId99" Type="http://schemas.openxmlformats.org/officeDocument/2006/relationships/hyperlink" Target="https://doi.org/10.1093/cid/cir949" TargetMode="External"/><Relationship Id="rId122" Type="http://schemas.openxmlformats.org/officeDocument/2006/relationships/hyperlink" Target="https://doi.org/10.2903/j.efsa.2006.357" TargetMode="External"/><Relationship Id="rId164" Type="http://schemas.openxmlformats.org/officeDocument/2006/relationships/hyperlink" Target="https://doi.org/10.4315/0362-028X.JFP-12-539" TargetMode="External"/><Relationship Id="rId371" Type="http://schemas.openxmlformats.org/officeDocument/2006/relationships/hyperlink" Target="https://doi.org/10.1128/AEM.02491-12" TargetMode="External"/><Relationship Id="rId427" Type="http://schemas.openxmlformats.org/officeDocument/2006/relationships/hyperlink" Target="https://doi.org/10.4315/0362-028X.JFP-15-063" TargetMode="External"/><Relationship Id="rId469" Type="http://schemas.openxmlformats.org/officeDocument/2006/relationships/hyperlink" Target="https://www.fda.gov/food/outbreaks-foodborne-illness/fda-investigated-multistate-outbreak-salmonella-infections-linked-alfalfa-sprouts" TargetMode="External"/><Relationship Id="rId26" Type="http://schemas.openxmlformats.org/officeDocument/2006/relationships/image" Target="media/image3.jpeg"/><Relationship Id="rId231" Type="http://schemas.openxmlformats.org/officeDocument/2006/relationships/hyperlink" Target="https://doi.org/10.4315/0362-028X.JFP-12-398" TargetMode="External"/><Relationship Id="rId273" Type="http://schemas.openxmlformats.org/officeDocument/2006/relationships/hyperlink" Target="https://doi.org/10.1016/j.scitotenv.2015.02.017" TargetMode="External"/><Relationship Id="rId329" Type="http://schemas.openxmlformats.org/officeDocument/2006/relationships/hyperlink" Target="https://doi.org/10.1016/j.ifset.2013.07.002" TargetMode="External"/><Relationship Id="rId480" Type="http://schemas.openxmlformats.org/officeDocument/2006/relationships/hyperlink" Target="https://doi.org/10.1128/AEM.04188-14" TargetMode="External"/><Relationship Id="rId536" Type="http://schemas.openxmlformats.org/officeDocument/2006/relationships/hyperlink" Target="https://doi.org/10.1016/j.ijfoodmicro.2011.12.036" TargetMode="External"/><Relationship Id="rId68" Type="http://schemas.openxmlformats.org/officeDocument/2006/relationships/hyperlink" Target="https://doi.org/10.4315/0362-028X.JFP-11-489" TargetMode="External"/><Relationship Id="rId133" Type="http://schemas.openxmlformats.org/officeDocument/2006/relationships/hyperlink" Target="http://wayback.archive-it.org/7993/20171114155057/https://www.fda.gov/Food/RecallsOutbreaksEmergencies/Outbreaks/ucm341476.htm" TargetMode="External"/><Relationship Id="rId175" Type="http://schemas.openxmlformats.org/officeDocument/2006/relationships/hyperlink" Target="https://doi.org/10.4315/0362-028X.JFP-11-175" TargetMode="External"/><Relationship Id="rId340" Type="http://schemas.openxmlformats.org/officeDocument/2006/relationships/hyperlink" Target="https://doi.org/10.1111/j.1365-2672.2008.03795.x" TargetMode="External"/><Relationship Id="rId578" Type="http://schemas.openxmlformats.org/officeDocument/2006/relationships/hyperlink" Target="http://www.fda.gov/Food/FoodborneIllnessContaminants/CausesOfIllnessBadBugBook/ucm2006773.htm" TargetMode="External"/><Relationship Id="rId200" Type="http://schemas.openxmlformats.org/officeDocument/2006/relationships/hyperlink" Target="https://www.melonsaustralia.org.au/wp-content/uploads/2018/12/Protected-cropping-for-melons.pdf" TargetMode="External"/><Relationship Id="rId382" Type="http://schemas.openxmlformats.org/officeDocument/2006/relationships/hyperlink" Target="https://doi.org/10.4315/0362-028X.JFP-19-460" TargetMode="External"/><Relationship Id="rId438" Type="http://schemas.openxmlformats.org/officeDocument/2006/relationships/header" Target="header7.xml"/><Relationship Id="rId603" Type="http://schemas.openxmlformats.org/officeDocument/2006/relationships/hyperlink" Target="https://doi.org/10.1111/j.1365-2621.2001.tb15216.x" TargetMode="External"/><Relationship Id="rId242" Type="http://schemas.openxmlformats.org/officeDocument/2006/relationships/hyperlink" Target="https://doi.org/10.1016/j.fm.2009.09.009" TargetMode="External"/><Relationship Id="rId284" Type="http://schemas.openxmlformats.org/officeDocument/2006/relationships/hyperlink" Target="https://www.foodauthority.nsw.gov.au/media/2926" TargetMode="External"/><Relationship Id="rId491" Type="http://schemas.openxmlformats.org/officeDocument/2006/relationships/hyperlink" Target="https://doi.org/10.1017/S0950268814003409" TargetMode="External"/><Relationship Id="rId505" Type="http://schemas.openxmlformats.org/officeDocument/2006/relationships/hyperlink" Target="https://doi.org/10.4315/0362-028X.JFP-17-084" TargetMode="External"/><Relationship Id="rId37" Type="http://schemas.openxmlformats.org/officeDocument/2006/relationships/hyperlink" Target="https://doi.org/10.1016/j.ijfoodmicro.2017.06.027" TargetMode="External"/><Relationship Id="rId79" Type="http://schemas.openxmlformats.org/officeDocument/2006/relationships/hyperlink" Target="https://doi.org/10.3390/ijerph120809809" TargetMode="External"/><Relationship Id="rId102" Type="http://schemas.openxmlformats.org/officeDocument/2006/relationships/hyperlink" Target="https://www.agric.wa.gov.au/minor-fruits/growing-blueberries-western-australia?nopaging=1" TargetMode="External"/><Relationship Id="rId144" Type="http://schemas.openxmlformats.org/officeDocument/2006/relationships/hyperlink" Target="https://www.foodstandards.gov.au/code/proposals/Documents/P1015%20Horticulture%20PPPS%201CFS%20SD2%20Illness%20review.pdf" TargetMode="External"/><Relationship Id="rId547" Type="http://schemas.openxmlformats.org/officeDocument/2006/relationships/hyperlink" Target="https://doi.org/10.4315/0362-028X.JFP-15-460" TargetMode="External"/><Relationship Id="rId589" Type="http://schemas.openxmlformats.org/officeDocument/2006/relationships/hyperlink" Target="https://doi.org/10.1111/j.1365-2672.2007.03624.x" TargetMode="External"/><Relationship Id="rId90" Type="http://schemas.openxmlformats.org/officeDocument/2006/relationships/hyperlink" Target="https://doi.org/10.1016/j.fm.2013.08.001" TargetMode="External"/><Relationship Id="rId186" Type="http://schemas.openxmlformats.org/officeDocument/2006/relationships/hyperlink" Target="https://www.fda.gov/food/produce-plant-products-guidance-documents-regulatory-information/commodity-specific-food-safety-guidelines-lettuce-and-leafy-greens-supply-chain-1st-edition" TargetMode="External"/><Relationship Id="rId351" Type="http://schemas.openxmlformats.org/officeDocument/2006/relationships/hyperlink" Target="https://doi.org/10.1016/j.fm.2014.06.027" TargetMode="External"/><Relationship Id="rId393" Type="http://schemas.openxmlformats.org/officeDocument/2006/relationships/hyperlink" Target="https://doi.org/10.4315/0362-028X.JFP-12-191" TargetMode="External"/><Relationship Id="rId407" Type="http://schemas.openxmlformats.org/officeDocument/2006/relationships/hyperlink" Target="https://www.melonsaustralia.org.au/wp-content/uploads/2018/12/Whats-in-the-water_FvanOgtrop-1.pdf" TargetMode="External"/><Relationship Id="rId449" Type="http://schemas.openxmlformats.org/officeDocument/2006/relationships/hyperlink" Target="https://doi.org/10.2807/1560-7917.es2014.19.31.20866" TargetMode="External"/><Relationship Id="rId614" Type="http://schemas.openxmlformats.org/officeDocument/2006/relationships/hyperlink" Target="https://doi.org/10.4315/0362-028x-64.9.1286" TargetMode="External"/><Relationship Id="rId211" Type="http://schemas.openxmlformats.org/officeDocument/2006/relationships/hyperlink" Target="https://doi.org/10.4315/0362-028X-64.10.1483" TargetMode="External"/><Relationship Id="rId253" Type="http://schemas.openxmlformats.org/officeDocument/2006/relationships/hyperlink" Target="https://doi.org/10.1016/j.ijfoodmicro.2008.08.008" TargetMode="External"/><Relationship Id="rId295" Type="http://schemas.openxmlformats.org/officeDocument/2006/relationships/hyperlink" Target="https://doi.org/10.1016/j.fm.2017.11.016" TargetMode="External"/><Relationship Id="rId309" Type="http://schemas.openxmlformats.org/officeDocument/2006/relationships/hyperlink" Target="https://doi.org/10.4315/0362-028X.JFP-12-160" TargetMode="External"/><Relationship Id="rId460" Type="http://schemas.openxmlformats.org/officeDocument/2006/relationships/hyperlink" Target="https://doi.org/10.2903/j.efsa.2011.2390" TargetMode="External"/><Relationship Id="rId516" Type="http://schemas.openxmlformats.org/officeDocument/2006/relationships/hyperlink" Target="https://doi.org/10.1016/j.ijfoodmicro.2017.09.021" TargetMode="External"/><Relationship Id="rId48" Type="http://schemas.openxmlformats.org/officeDocument/2006/relationships/hyperlink" Target="https://doi.org/10.1016/j.foodres.2014.08.023" TargetMode="External"/><Relationship Id="rId113" Type="http://schemas.openxmlformats.org/officeDocument/2006/relationships/hyperlink" Target="https://doi.org/10.1007/s00217-012-1727-6" TargetMode="External"/><Relationship Id="rId320" Type="http://schemas.openxmlformats.org/officeDocument/2006/relationships/hyperlink" Target="https://doi.org/10.4315/0362-028X-80.sp1.1" TargetMode="External"/><Relationship Id="rId558" Type="http://schemas.openxmlformats.org/officeDocument/2006/relationships/hyperlink" Target="http://www9.health.gov.au/cda/source/cda-index.cfm" TargetMode="External"/><Relationship Id="rId155" Type="http://schemas.openxmlformats.org/officeDocument/2006/relationships/hyperlink" Target="https://doi.org/10.1016/j.agwat.2014.12.002" TargetMode="External"/><Relationship Id="rId197" Type="http://schemas.openxmlformats.org/officeDocument/2006/relationships/hyperlink" Target="https://doi.org/10.4315/0362-028X-68.9.1840" TargetMode="External"/><Relationship Id="rId362" Type="http://schemas.openxmlformats.org/officeDocument/2006/relationships/hyperlink" Target="https://doi.org/10.2166/wst.1986.0116" TargetMode="External"/><Relationship Id="rId418" Type="http://schemas.openxmlformats.org/officeDocument/2006/relationships/hyperlink" Target="https://doi.org/10.1016/j.fm.2017.06.009" TargetMode="External"/><Relationship Id="rId625" Type="http://schemas.openxmlformats.org/officeDocument/2006/relationships/hyperlink" Target="https://doi.org/10.4315/0362-028X.JFP-12-414" TargetMode="External"/><Relationship Id="rId222" Type="http://schemas.openxmlformats.org/officeDocument/2006/relationships/hyperlink" Target="https://doi.org/10.4315/0362-028X-67.6.1092" TargetMode="External"/><Relationship Id="rId264" Type="http://schemas.openxmlformats.org/officeDocument/2006/relationships/hyperlink" Target="https://doi.org/10.3389/fmicb.2018.01965" TargetMode="External"/><Relationship Id="rId471" Type="http://schemas.openxmlformats.org/officeDocument/2006/relationships/hyperlink" Target="https://www.fda.gov/food/outbreaks-foodborne-illness/fda-investigation-multistate-outbreak-cyclospora-illnesses-linked-fresh-express-salad-mix-served" TargetMode="External"/><Relationship Id="rId17" Type="http://schemas.openxmlformats.org/officeDocument/2006/relationships/header" Target="header1.xml"/><Relationship Id="rId59" Type="http://schemas.openxmlformats.org/officeDocument/2006/relationships/hyperlink" Target="https://doi.org/10.1128/AEM.02998-14" TargetMode="External"/><Relationship Id="rId124" Type="http://schemas.openxmlformats.org/officeDocument/2006/relationships/hyperlink" Target="https://doi.org/10.2807/esw.10.38.02795-en" TargetMode="External"/><Relationship Id="rId527" Type="http://schemas.openxmlformats.org/officeDocument/2006/relationships/hyperlink" Target="https://doi.org/10.4315/0362-028X.JFP-14-450" TargetMode="External"/><Relationship Id="rId569" Type="http://schemas.openxmlformats.org/officeDocument/2006/relationships/hyperlink" Target="http://www.foodsafety.govt.nz/science-risk/human-health-surveillance/foodborne-disease-annual-reports.htm" TargetMode="External"/><Relationship Id="rId70" Type="http://schemas.openxmlformats.org/officeDocument/2006/relationships/hyperlink" Target="https://www.mpi.govt.nz/dmsdocument/23996-an-outbreak-of-hepatitis-a-associated-with-consumption-of-raw-blueberries" TargetMode="External"/><Relationship Id="rId166" Type="http://schemas.openxmlformats.org/officeDocument/2006/relationships/hyperlink" Target="https://doi.org/10.1099/mic.0.26486-0" TargetMode="External"/><Relationship Id="rId331" Type="http://schemas.openxmlformats.org/officeDocument/2006/relationships/hyperlink" Target="https://doi.org/10.3390/horticulturae5010025" TargetMode="External"/><Relationship Id="rId373" Type="http://schemas.openxmlformats.org/officeDocument/2006/relationships/hyperlink" Target="https://doi.org/10.1016/j.ijfoodmicro.2018.08.018" TargetMode="External"/><Relationship Id="rId429" Type="http://schemas.openxmlformats.org/officeDocument/2006/relationships/hyperlink" Target="https://doi.org/10.1016/j.ijfoodmicro.2011.11.024" TargetMode="External"/><Relationship Id="rId580" Type="http://schemas.openxmlformats.org/officeDocument/2006/relationships/hyperlink" Target="http://www.foodsafety.govt.nz/science-risk/human-health-surveillance/foodborne-disease-annual-reports.htm" TargetMode="External"/><Relationship Id="rId1" Type="http://schemas.openxmlformats.org/officeDocument/2006/relationships/customXml" Target="../customXml/item1.xml"/><Relationship Id="rId233" Type="http://schemas.openxmlformats.org/officeDocument/2006/relationships/hyperlink" Target="https://doi.org/10.1111/j.1472-765X.2007.02302.x" TargetMode="External"/><Relationship Id="rId440" Type="http://schemas.openxmlformats.org/officeDocument/2006/relationships/header" Target="header8.xml"/><Relationship Id="rId28" Type="http://schemas.openxmlformats.org/officeDocument/2006/relationships/image" Target="media/image5.jpeg"/><Relationship Id="rId275" Type="http://schemas.openxmlformats.org/officeDocument/2006/relationships/hyperlink" Target="https://doi.org/10.4315/0362-028X.JFP-13-517" TargetMode="External"/><Relationship Id="rId300" Type="http://schemas.openxmlformats.org/officeDocument/2006/relationships/hyperlink" Target="https://doi.org/10.4315/0362-028X.JFP-10-563" TargetMode="External"/><Relationship Id="rId482" Type="http://schemas.openxmlformats.org/officeDocument/2006/relationships/hyperlink" Target="https://doi.org/10.1093/cid/cit468" TargetMode="External"/><Relationship Id="rId538" Type="http://schemas.openxmlformats.org/officeDocument/2006/relationships/hyperlink" Target="https://doi.org/10.1016/j.foodcont.2011.06.022" TargetMode="External"/><Relationship Id="rId81" Type="http://schemas.openxmlformats.org/officeDocument/2006/relationships/hyperlink" Target="http://www.fao.org/fao-who-codexalimentarius/sh-proxy/en/?lnk=1&amp;url=https%253A%252F%252Fworkspace.fao.org%252Fsites%252Fcodex%252FStandards%252FCXG%2B77-2011%252FCXG_077e.pdf" TargetMode="External"/><Relationship Id="rId135" Type="http://schemas.openxmlformats.org/officeDocument/2006/relationships/hyperlink" Target="https://www.fda.gov/food/hazard-analysis-critical-control-point-haccp/potential-infiltration-survival-and-growth-human-pathogens-within-fruits-and-vegetables" TargetMode="External"/><Relationship Id="rId177" Type="http://schemas.openxmlformats.org/officeDocument/2006/relationships/hyperlink" Target="https://doi.org/10.1016/j.ijfoodmicro.2013.11.009" TargetMode="External"/><Relationship Id="rId342" Type="http://schemas.openxmlformats.org/officeDocument/2006/relationships/hyperlink" Target="https://doi.org/10.1016/j.fm.2011.11.003" TargetMode="External"/><Relationship Id="rId384" Type="http://schemas.openxmlformats.org/officeDocument/2006/relationships/hyperlink" Target="https://doi.org/10.3390/toxins11110675" TargetMode="External"/><Relationship Id="rId591" Type="http://schemas.openxmlformats.org/officeDocument/2006/relationships/hyperlink" Target="https://doi.org/10.1016/j.lwt.2020.109421" TargetMode="External"/><Relationship Id="rId605" Type="http://schemas.openxmlformats.org/officeDocument/2006/relationships/hyperlink" Target="https://doi.org/10.1016/j.foodcont.2012.10.022" TargetMode="External"/><Relationship Id="rId202" Type="http://schemas.openxmlformats.org/officeDocument/2006/relationships/hyperlink" Target="https://doi.org/10.1016/j.foodcont.2016.12.009" TargetMode="External"/><Relationship Id="rId244" Type="http://schemas.openxmlformats.org/officeDocument/2006/relationships/hyperlink" Target="https://doi.org/10.1016/j.ijfoodmicro.2009.05.017" TargetMode="External"/><Relationship Id="rId39" Type="http://schemas.openxmlformats.org/officeDocument/2006/relationships/hyperlink" Target="https://doi.org/10.1111/j.1745-4565.2005.00024.x" TargetMode="External"/><Relationship Id="rId286" Type="http://schemas.openxmlformats.org/officeDocument/2006/relationships/hyperlink" Target="https://www.health.nsw.gov.au/Infectious/foodborne/Publications/NSW-1st-quarterly-report-2018.pdf" TargetMode="External"/><Relationship Id="rId451" Type="http://schemas.openxmlformats.org/officeDocument/2006/relationships/hyperlink" Target="https://www.cdc.gov/ecoli/2012/o157h7-11-12/index.html" TargetMode="External"/><Relationship Id="rId493" Type="http://schemas.openxmlformats.org/officeDocument/2006/relationships/hyperlink" Target="https://doi.org/10.2807/1560-7917.es2013.18.27.20520" TargetMode="External"/><Relationship Id="rId507" Type="http://schemas.openxmlformats.org/officeDocument/2006/relationships/hyperlink" Target="https://doi.org/10.1016/j.foodcont.2018.02.039" TargetMode="External"/><Relationship Id="rId549" Type="http://schemas.openxmlformats.org/officeDocument/2006/relationships/hyperlink" Target="https://doi.org/10.4315/0362-028X.JFP-17-253" TargetMode="External"/><Relationship Id="rId50" Type="http://schemas.openxmlformats.org/officeDocument/2006/relationships/hyperlink" Target="https://doi.org/10.1016/j.foodcont.2017.05.044" TargetMode="External"/><Relationship Id="rId104" Type="http://schemas.openxmlformats.org/officeDocument/2006/relationships/hyperlink" Target="https://www.agric.wa.gov.au/strawberries/preparing-grow-strawberries" TargetMode="External"/><Relationship Id="rId146" Type="http://schemas.openxmlformats.org/officeDocument/2006/relationships/hyperlink" Target="http://www.foodstandards.gov.au" TargetMode="External"/><Relationship Id="rId188" Type="http://schemas.openxmlformats.org/officeDocument/2006/relationships/hyperlink" Target="https://doi.org/10.4315/0362-028X-67.7.1365" TargetMode="External"/><Relationship Id="rId311" Type="http://schemas.openxmlformats.org/officeDocument/2006/relationships/hyperlink" Target="https://doi.org/10.1128/AEM.00474-13" TargetMode="External"/><Relationship Id="rId353" Type="http://schemas.openxmlformats.org/officeDocument/2006/relationships/hyperlink" Target="https://doi.org/10.3389/fmicb.2019.03130" TargetMode="External"/><Relationship Id="rId395" Type="http://schemas.openxmlformats.org/officeDocument/2006/relationships/hyperlink" Target="https://doi.org/10.1111/jfpp.13943|" TargetMode="External"/><Relationship Id="rId409" Type="http://schemas.openxmlformats.org/officeDocument/2006/relationships/hyperlink" Target="https://doi.org/10.1016/j.ijfoodmicro.2012.11.007" TargetMode="External"/><Relationship Id="rId560" Type="http://schemas.openxmlformats.org/officeDocument/2006/relationships/hyperlink" Target="http://www.cdc.gov/listeria/outbreaks/cantaloupes-jensen-farms/120811/index.html" TargetMode="External"/><Relationship Id="rId92" Type="http://schemas.openxmlformats.org/officeDocument/2006/relationships/hyperlink" Target="https://doi.org/10.1016/j.fm.2012.04.007" TargetMode="External"/><Relationship Id="rId213" Type="http://schemas.openxmlformats.org/officeDocument/2006/relationships/hyperlink" Target="https://doi.org/10.1016/j.ijfoodmicro.2005.02.012" TargetMode="External"/><Relationship Id="rId420" Type="http://schemas.openxmlformats.org/officeDocument/2006/relationships/hyperlink" Target="https://doi.org/10.1038/s41598-017-13392-2" TargetMode="External"/><Relationship Id="rId616" Type="http://schemas.openxmlformats.org/officeDocument/2006/relationships/hyperlink" Target="https://doi.org/10.4315/0362-028X-65.6.924" TargetMode="External"/><Relationship Id="rId255" Type="http://schemas.openxmlformats.org/officeDocument/2006/relationships/hyperlink" Target="https://doi.org/10.1007/s00203-011-0716-7" TargetMode="External"/><Relationship Id="rId297" Type="http://schemas.openxmlformats.org/officeDocument/2006/relationships/hyperlink" Target="https://doi.org/10.1016/j.postharvbio.2014.09.007" TargetMode="External"/><Relationship Id="rId462" Type="http://schemas.openxmlformats.org/officeDocument/2006/relationships/hyperlink" Target="https://www.efsa.europa.eu/en/press/news/180703" TargetMode="External"/><Relationship Id="rId518" Type="http://schemas.openxmlformats.org/officeDocument/2006/relationships/hyperlink" Target="https://doi.org/10.1016/j.foodcont.2012.11.033" TargetMode="External"/><Relationship Id="rId115" Type="http://schemas.openxmlformats.org/officeDocument/2006/relationships/hyperlink" Target="https://doi.org/10.4315/0362-028X.JFP-13-216" TargetMode="External"/><Relationship Id="rId157" Type="http://schemas.openxmlformats.org/officeDocument/2006/relationships/hyperlink" Target="https://doi.org/10.1016/j.wasman.2009.09.030" TargetMode="External"/><Relationship Id="rId322" Type="http://schemas.openxmlformats.org/officeDocument/2006/relationships/hyperlink" Target="https://doi.org/10.1111/lam.13302" TargetMode="External"/><Relationship Id="rId364" Type="http://schemas.openxmlformats.org/officeDocument/2006/relationships/hyperlink" Target="https://doi.org/10.1128/AEM.68.1.397-400.2002" TargetMode="External"/><Relationship Id="rId61" Type="http://schemas.openxmlformats.org/officeDocument/2006/relationships/hyperlink" Target="https://doi.org/10.4315/0362-028X.JFP-11-306" TargetMode="External"/><Relationship Id="rId199" Type="http://schemas.openxmlformats.org/officeDocument/2006/relationships/hyperlink" Target="https://doi.org/10.1016/j.ijfoodmicro.2006.05.002" TargetMode="External"/><Relationship Id="rId571" Type="http://schemas.openxmlformats.org/officeDocument/2006/relationships/hyperlink" Target="http://www.fda.gov/Food/FoodborneIllnessContaminants/CausesOfIllnessBadBugBook/ucm2006773.htm" TargetMode="External"/><Relationship Id="rId627" Type="http://schemas.openxmlformats.org/officeDocument/2006/relationships/hyperlink" Target="https://www.centerforproducesafety.org/researchproject/348/awards/Practical_validation_of_surface_pasteurization_of_netted_melons.html" TargetMode="External"/><Relationship Id="rId19" Type="http://schemas.openxmlformats.org/officeDocument/2006/relationships/hyperlink" Target="https://www.foodstandards.gov.au/code/proposals/Pages/proposalp1015primary5412.aspx" TargetMode="External"/><Relationship Id="rId224" Type="http://schemas.openxmlformats.org/officeDocument/2006/relationships/hyperlink" Target="https://doi.org/10.1111/1750-3841.13543" TargetMode="External"/><Relationship Id="rId266" Type="http://schemas.openxmlformats.org/officeDocument/2006/relationships/hyperlink" Target="https://doi.org/10.1111/lam.12549" TargetMode="External"/><Relationship Id="rId431" Type="http://schemas.openxmlformats.org/officeDocument/2006/relationships/hyperlink" Target="https://doi.org/10.4315/0362-028x-64.9.1334" TargetMode="External"/><Relationship Id="rId473" Type="http://schemas.openxmlformats.org/officeDocument/2006/relationships/hyperlink" Target="https://doi.org/10.1056/NEJMoa1106483" TargetMode="External"/><Relationship Id="rId529" Type="http://schemas.openxmlformats.org/officeDocument/2006/relationships/hyperlink" Target="https://doi.org/10.1016/j.ijfoodmicro.2013.09.003" TargetMode="External"/><Relationship Id="rId30" Type="http://schemas.openxmlformats.org/officeDocument/2006/relationships/image" Target="media/image7.jpeg"/><Relationship Id="rId126" Type="http://schemas.openxmlformats.org/officeDocument/2006/relationships/hyperlink" Target="http://www.fao.org/fileadmin/templates/agns/pdf/jemra/FFV_2007_Final.pdf" TargetMode="External"/><Relationship Id="rId168" Type="http://schemas.openxmlformats.org/officeDocument/2006/relationships/hyperlink" Target="https://doi.org/10.4315/0362-028X.JFP-16-551" TargetMode="External"/><Relationship Id="rId333" Type="http://schemas.openxmlformats.org/officeDocument/2006/relationships/hyperlink" Target="https://doi.org/10.1016/j.envres.2018.12.050" TargetMode="External"/><Relationship Id="rId540" Type="http://schemas.openxmlformats.org/officeDocument/2006/relationships/hyperlink" Target="https://doi.org/10.4315/0362-028X.JFP-10-209" TargetMode="External"/><Relationship Id="rId72" Type="http://schemas.openxmlformats.org/officeDocument/2006/relationships/hyperlink" Target="https://lgmatech.com/wp-content/uploads/2020/08/CA-LGMA-Metrics-August-2020_Final_Clean_9-18-20.pdf" TargetMode="External"/><Relationship Id="rId375" Type="http://schemas.openxmlformats.org/officeDocument/2006/relationships/hyperlink" Target="https://doi.org/10.4315/0362-028X-63.4.434" TargetMode="External"/><Relationship Id="rId582" Type="http://schemas.openxmlformats.org/officeDocument/2006/relationships/hyperlink" Target="http://www.who.int/mediacentre/factsheets/fs125/en/" TargetMode="External"/><Relationship Id="rId484" Type="http://schemas.openxmlformats.org/officeDocument/2006/relationships/hyperlink" Target="https://doi.org/10.2807/1560-7917.es2013.18.44.20624" TargetMode="External"/><Relationship Id="rId235" Type="http://schemas.openxmlformats.org/officeDocument/2006/relationships/hyperlink" Target="https://doi.org/10.1007/s10068-019-00705-6" TargetMode="External"/><Relationship Id="rId277" Type="http://schemas.openxmlformats.org/officeDocument/2006/relationships/hyperlink" Target="https://doi.org/10.4315/0362-028X-70.11.2526" TargetMode="External"/><Relationship Id="rId400" Type="http://schemas.openxmlformats.org/officeDocument/2006/relationships/hyperlink" Target="https://doi.org/10.1016/j.ijfoodmicro.2012.12.015" TargetMode="External"/><Relationship Id="rId442" Type="http://schemas.openxmlformats.org/officeDocument/2006/relationships/footer" Target="footer7.xml"/><Relationship Id="rId137" Type="http://schemas.openxmlformats.org/officeDocument/2006/relationships/hyperlink" Target="https://doi.org/10.4315/0362-028x-63.5.625" TargetMode="External"/><Relationship Id="rId302" Type="http://schemas.openxmlformats.org/officeDocument/2006/relationships/hyperlink" Target="https://doi.org/10.33321/cdi.2021.45.21" TargetMode="External"/><Relationship Id="rId344" Type="http://schemas.openxmlformats.org/officeDocument/2006/relationships/hyperlink" Target="https://doi.org/10.1016/j.lwt.2016.11.059" TargetMode="External"/><Relationship Id="rId41" Type="http://schemas.openxmlformats.org/officeDocument/2006/relationships/hyperlink" Target="https://doi.org/10.17660/ActaHortic.1995.382.12" TargetMode="External"/><Relationship Id="rId83" Type="http://schemas.openxmlformats.org/officeDocument/2006/relationships/hyperlink" Target="http://www.fao.org/fao-who-codexalimentarius/sh-proxy/en/?lnk=1&amp;url=https%253A%252F%252Fworkspace.fao.org%252Fsites%252Fcodex%252FStandards%252FCXC%2B53-2003%252FCXC_053e.pdf" TargetMode="External"/><Relationship Id="rId179" Type="http://schemas.openxmlformats.org/officeDocument/2006/relationships/hyperlink" Target="https://doi.org/10.3136/fstr.24.911" TargetMode="External"/><Relationship Id="rId386" Type="http://schemas.openxmlformats.org/officeDocument/2006/relationships/hyperlink" Target="https://doi.org/10.4265/bio.12.149" TargetMode="External"/><Relationship Id="rId551" Type="http://schemas.openxmlformats.org/officeDocument/2006/relationships/image" Target="media/image9.jpeg"/><Relationship Id="rId593" Type="http://schemas.openxmlformats.org/officeDocument/2006/relationships/hyperlink" Target="https://doi.org/10.4315/0362-028X-67.6.1092" TargetMode="External"/><Relationship Id="rId607" Type="http://schemas.openxmlformats.org/officeDocument/2006/relationships/hyperlink" Target="https://doi.org/10.4315/0362-028X-67.4.721" TargetMode="External"/><Relationship Id="rId190" Type="http://schemas.openxmlformats.org/officeDocument/2006/relationships/hyperlink" Target="https://doi.org/10.3201/eid1312.070763" TargetMode="External"/><Relationship Id="rId204" Type="http://schemas.openxmlformats.org/officeDocument/2006/relationships/hyperlink" Target="https://doi.org/10.1080/14620316.2004.11511721" TargetMode="External"/><Relationship Id="rId246" Type="http://schemas.openxmlformats.org/officeDocument/2006/relationships/hyperlink" Target="https://doi.org/10.1111/jam.12150" TargetMode="External"/><Relationship Id="rId288" Type="http://schemas.openxmlformats.org/officeDocument/2006/relationships/hyperlink" Target="https://doi.org/10.1016/j.foodcont.2017.09.033" TargetMode="External"/><Relationship Id="rId411" Type="http://schemas.openxmlformats.org/officeDocument/2006/relationships/hyperlink" Target="https://doi.org/10.1155/2014/219534" TargetMode="External"/><Relationship Id="rId453" Type="http://schemas.openxmlformats.org/officeDocument/2006/relationships/hyperlink" Target="https://www.cdc.gov/hepatitis/outbreaks/2016/hav-strawberries.htm" TargetMode="External"/><Relationship Id="rId509" Type="http://schemas.openxmlformats.org/officeDocument/2006/relationships/hyperlink" Target="https://doi.org/10.1111/1750-3841.12459" TargetMode="External"/><Relationship Id="rId106" Type="http://schemas.openxmlformats.org/officeDocument/2006/relationships/hyperlink" Target="https://doi.org/10.4315/0362-028x-68.1.70" TargetMode="External"/><Relationship Id="rId313" Type="http://schemas.openxmlformats.org/officeDocument/2006/relationships/hyperlink" Target="https://doi.org/10.1111/j.1758-2229.2010.00152.x" TargetMode="External"/><Relationship Id="rId495" Type="http://schemas.openxmlformats.org/officeDocument/2006/relationships/hyperlink" Target="https://www.canada.ca/en/public-health/services/public-health-notices/2018/public-health-notice-outbreak-e-coli-infections-linked-romaine-lettuce.html" TargetMode="External"/><Relationship Id="rId10" Type="http://schemas.openxmlformats.org/officeDocument/2006/relationships/settings" Target="settings.xml"/><Relationship Id="rId52" Type="http://schemas.openxmlformats.org/officeDocument/2006/relationships/hyperlink" Target="https://doi.org/10.1016/j.ijfoodmicro.2020.108537" TargetMode="External"/><Relationship Id="rId94" Type="http://schemas.openxmlformats.org/officeDocument/2006/relationships/hyperlink" Target="https://doi.org/10.1128/AEM.03930-14" TargetMode="External"/><Relationship Id="rId148" Type="http://schemas.openxmlformats.org/officeDocument/2006/relationships/hyperlink" Target="https://doi.org/10.1111/j.1750-3841.2008.01006.x" TargetMode="External"/><Relationship Id="rId355" Type="http://schemas.openxmlformats.org/officeDocument/2006/relationships/hyperlink" Target="https://doi.org/10.4315/0362-028X.JFP-16-095" TargetMode="External"/><Relationship Id="rId397" Type="http://schemas.openxmlformats.org/officeDocument/2006/relationships/hyperlink" Target="https://www.webpal.org/SAFE/aaarecovery/2_food_storage/Processing/lacf-phs.htm" TargetMode="External"/><Relationship Id="rId520" Type="http://schemas.openxmlformats.org/officeDocument/2006/relationships/hyperlink" Target="https://doi.org/10.1016/j.fm.2015.12.003" TargetMode="External"/><Relationship Id="rId562" Type="http://schemas.openxmlformats.org/officeDocument/2006/relationships/hyperlink" Target="http://www.foodstandards.gov.au/code/proposals/documents/P1007%20PPPS%20for%20raw%20milk%201AR%20SD1%20Cow%20milk%20Risk%20Assessment.pdf" TargetMode="External"/><Relationship Id="rId618" Type="http://schemas.openxmlformats.org/officeDocument/2006/relationships/hyperlink" Target="https://doi.org/10.4315/0362-028X.JFP-12-159" TargetMode="External"/><Relationship Id="rId215" Type="http://schemas.openxmlformats.org/officeDocument/2006/relationships/hyperlink" Target="https://doi.org/10.1016/j.lwt.2019.108657" TargetMode="External"/><Relationship Id="rId257" Type="http://schemas.openxmlformats.org/officeDocument/2006/relationships/hyperlink" Target="https://irp-cdn.multiscreensite.com/ab1acdf3/files/uploaded/raspberry-growing-in-nsw.pdf" TargetMode="External"/><Relationship Id="rId422" Type="http://schemas.openxmlformats.org/officeDocument/2006/relationships/hyperlink" Target="https://doi.org/10.1016/j.agwat.2012.10.007" TargetMode="External"/><Relationship Id="rId464" Type="http://schemas.openxmlformats.org/officeDocument/2006/relationships/hyperlink" Target="https://doi.org/10.2807/1560-7917.ES.2018.23.41.1800528" TargetMode="External"/><Relationship Id="rId299" Type="http://schemas.openxmlformats.org/officeDocument/2006/relationships/hyperlink" Target="https://doi.org/10.1016/j.jfoodeng.2017.12.022" TargetMode="External"/><Relationship Id="rId63" Type="http://schemas.openxmlformats.org/officeDocument/2006/relationships/hyperlink" Target="https://doi.org/10.1289/ehp.0800084" TargetMode="External"/><Relationship Id="rId159" Type="http://schemas.openxmlformats.org/officeDocument/2006/relationships/hyperlink" Target="https://doi.org/10.17660/ActaHortic.2014.1044.28" TargetMode="External"/><Relationship Id="rId366" Type="http://schemas.openxmlformats.org/officeDocument/2006/relationships/hyperlink" Target="https://doi.org/10.1007/s10068-019-00570-3" TargetMode="External"/><Relationship Id="rId573" Type="http://schemas.openxmlformats.org/officeDocument/2006/relationships/hyperlink" Target="http://www.foodstandards.gov.au/code/proposals/documents/P301%20Eggs%20PPPS%20DAR%20SD1%20Risk%20Assessment.pdf" TargetMode="External"/><Relationship Id="rId226" Type="http://schemas.openxmlformats.org/officeDocument/2006/relationships/hyperlink" Target="https://doi.org/10.1016/j.foodcont.2010.09.029" TargetMode="External"/><Relationship Id="rId433" Type="http://schemas.openxmlformats.org/officeDocument/2006/relationships/hyperlink" Target="https://doi.org/10.4315/0362-028x-72.10.2028" TargetMode="External"/><Relationship Id="rId74" Type="http://schemas.openxmlformats.org/officeDocument/2006/relationships/hyperlink" Target="https://doi.org/10.1080/10934520500351884" TargetMode="External"/><Relationship Id="rId377" Type="http://schemas.openxmlformats.org/officeDocument/2006/relationships/hyperlink" Target="https://doi.org/10.4315/0362-028X.JFP-13-514" TargetMode="External"/><Relationship Id="rId500" Type="http://schemas.openxmlformats.org/officeDocument/2006/relationships/hyperlink" Target="https://doi.org/10.1371/journal.pone.0055300" TargetMode="External"/><Relationship Id="rId584" Type="http://schemas.openxmlformats.org/officeDocument/2006/relationships/header" Target="header12.xml"/><Relationship Id="rId237" Type="http://schemas.openxmlformats.org/officeDocument/2006/relationships/hyperlink" Target="https://doi.org/10.4315/0362-028x-70.2.316" TargetMode="External"/><Relationship Id="rId444" Type="http://schemas.openxmlformats.org/officeDocument/2006/relationships/footer" Target="footer8.xml"/><Relationship Id="rId290" Type="http://schemas.openxmlformats.org/officeDocument/2006/relationships/hyperlink" Target="https://doi.org/10.1016/j.fm.2010.03.008" TargetMode="External"/><Relationship Id="rId304" Type="http://schemas.openxmlformats.org/officeDocument/2006/relationships/hyperlink" Target="https://doi.org/10.1016/j.ijfoodmicro.2014.03.018" TargetMode="External"/><Relationship Id="rId388" Type="http://schemas.openxmlformats.org/officeDocument/2006/relationships/hyperlink" Target="https://doi.org/10.1016/j.ijfoodmicro.2004.01.021" TargetMode="External"/><Relationship Id="rId511" Type="http://schemas.openxmlformats.org/officeDocument/2006/relationships/hyperlink" Target="https://doi.org/10.4315/0362-028X.JFP-16-540" TargetMode="External"/><Relationship Id="rId609" Type="http://schemas.openxmlformats.org/officeDocument/2006/relationships/hyperlink" Target="https://doi.org/10.1007/s13197-018-3071-8" TargetMode="External"/><Relationship Id="rId85" Type="http://schemas.openxmlformats.org/officeDocument/2006/relationships/hyperlink" Target="https://doi.org/10.1128/AEM.03170-16" TargetMode="External"/><Relationship Id="rId150" Type="http://schemas.openxmlformats.org/officeDocument/2006/relationships/hyperlink" Target="https://doi.org/10.1371/journal.pone.0105248" TargetMode="External"/><Relationship Id="rId595" Type="http://schemas.openxmlformats.org/officeDocument/2006/relationships/hyperlink" Target="https://doi.org/10.1016/j.fm.2008.02.003" TargetMode="External"/><Relationship Id="rId248" Type="http://schemas.openxmlformats.org/officeDocument/2006/relationships/hyperlink" Target="https://doi.org/10.1016/j.ijfoodmicro.2017.06.018" TargetMode="External"/><Relationship Id="rId455" Type="http://schemas.openxmlformats.org/officeDocument/2006/relationships/hyperlink" Target="https://www.cdc.gov/salmonella/poona-09-15/index.html" TargetMode="External"/><Relationship Id="rId12" Type="http://schemas.openxmlformats.org/officeDocument/2006/relationships/footnotes" Target="footnotes.xml"/><Relationship Id="rId108" Type="http://schemas.openxmlformats.org/officeDocument/2006/relationships/hyperlink" Target="https://doi.org/10.1111/1750-3841.14401" TargetMode="External"/><Relationship Id="rId315" Type="http://schemas.openxmlformats.org/officeDocument/2006/relationships/hyperlink" Target="https://doi.org/10.1111/j.1365-2672.2009.04583.x" TargetMode="External"/><Relationship Id="rId522" Type="http://schemas.openxmlformats.org/officeDocument/2006/relationships/hyperlink" Target="https://doi.org/10.1016/j.foodcont.2015.07.045" TargetMode="External"/><Relationship Id="rId96" Type="http://schemas.openxmlformats.org/officeDocument/2006/relationships/hyperlink" Target="https://doi.org/10.1128/AEM.03867-14" TargetMode="External"/><Relationship Id="rId161" Type="http://schemas.openxmlformats.org/officeDocument/2006/relationships/hyperlink" Target="https://doi.org/10.1016/j.ijfoodmicro.2010.12.031" TargetMode="External"/><Relationship Id="rId399" Type="http://schemas.openxmlformats.org/officeDocument/2006/relationships/hyperlink" Target="https://doi.org/10.1111/1541-4337.12133" TargetMode="External"/><Relationship Id="rId259" Type="http://schemas.openxmlformats.org/officeDocument/2006/relationships/hyperlink" Target="https://www.infrastructureaustralia.gov.au/sites/default/files/2019-06/Review_of_RegionalWaterQuality_and_Security_Volume1_251010.pdf" TargetMode="External"/><Relationship Id="rId466" Type="http://schemas.openxmlformats.org/officeDocument/2006/relationships/hyperlink" Target="http://wayback.archive-it.org/7993/20171114154939/https:/www.fda.gov/Food/RecallsOutbreaksEmergencies/Outbreaks/ucm369067.htm" TargetMode="External"/><Relationship Id="rId23" Type="http://schemas.openxmlformats.org/officeDocument/2006/relationships/footer" Target="footer4.xml"/><Relationship Id="rId119" Type="http://schemas.openxmlformats.org/officeDocument/2006/relationships/hyperlink" Target="https://doi.org/10.4315/0362-028X.JFP-18-347" TargetMode="External"/><Relationship Id="rId326" Type="http://schemas.openxmlformats.org/officeDocument/2006/relationships/hyperlink" Target="https://www.R-project.org/" TargetMode="External"/><Relationship Id="rId533" Type="http://schemas.openxmlformats.org/officeDocument/2006/relationships/hyperlink" Target="https://doi.org/10.1111/lam.12122" TargetMode="External"/><Relationship Id="rId172" Type="http://schemas.openxmlformats.org/officeDocument/2006/relationships/hyperlink" Target="https://doi.org/10.4315/0362-028X-73.11.2001" TargetMode="External"/><Relationship Id="rId477" Type="http://schemas.openxmlformats.org/officeDocument/2006/relationships/hyperlink" Target="https://doi.org/10.2807/1560-7917.es2013.18.49.20650" TargetMode="External"/><Relationship Id="rId600" Type="http://schemas.openxmlformats.org/officeDocument/2006/relationships/hyperlink" Target="https://doi.org/10.4315/0362-028X-70.11.2526" TargetMode="External"/><Relationship Id="rId337" Type="http://schemas.openxmlformats.org/officeDocument/2006/relationships/hyperlink" Target="https://doi.org/10.1111/1750-3841.12531" TargetMode="External"/><Relationship Id="rId34" Type="http://schemas.openxmlformats.org/officeDocument/2006/relationships/hyperlink" Target="https://doi.org/10.1002/(SICI)1522-7278(2000)15:2%3c149:AID-TOX11%3e3.0.CO;2-O|" TargetMode="External"/><Relationship Id="rId544" Type="http://schemas.openxmlformats.org/officeDocument/2006/relationships/hyperlink" Target="https://doi.org/10.1155/2014/219534" TargetMode="External"/><Relationship Id="rId183" Type="http://schemas.openxmlformats.org/officeDocument/2006/relationships/hyperlink" Target="https://doi.org/10.4315/0362-028x-69.8.1997" TargetMode="External"/><Relationship Id="rId390" Type="http://schemas.openxmlformats.org/officeDocument/2006/relationships/hyperlink" Target="https://doi.org/10.1016/j.fm.2006.04.007" TargetMode="External"/><Relationship Id="rId404" Type="http://schemas.openxmlformats.org/officeDocument/2006/relationships/hyperlink" Target="https://doi.org/10.1016/j.ijfoodmicro.2015.05.020" TargetMode="External"/><Relationship Id="rId611" Type="http://schemas.openxmlformats.org/officeDocument/2006/relationships/hyperlink" Target="https://doi.org/10.1111/1750-3841.14028" TargetMode="External"/><Relationship Id="rId250" Type="http://schemas.openxmlformats.org/officeDocument/2006/relationships/hyperlink" Target="https://doi.org/10.1016/j.ijfoodmicro.2013.09.003" TargetMode="External"/><Relationship Id="rId488" Type="http://schemas.openxmlformats.org/officeDocument/2006/relationships/hyperlink" Target="https://doi.org/10.1093/cid/cix1094" TargetMode="External"/><Relationship Id="rId45" Type="http://schemas.openxmlformats.org/officeDocument/2006/relationships/hyperlink" Target="https://doi.org/10.4315/0362-028X.JFP-14-277" TargetMode="External"/><Relationship Id="rId110" Type="http://schemas.openxmlformats.org/officeDocument/2006/relationships/hyperlink" Target="https://doi.org/10.2903/j.efsa.2014.3706" TargetMode="External"/><Relationship Id="rId348" Type="http://schemas.openxmlformats.org/officeDocument/2006/relationships/hyperlink" Target="https://doi.org/10.4315/0362-028x-72.7.1513" TargetMode="External"/><Relationship Id="rId555" Type="http://schemas.openxmlformats.org/officeDocument/2006/relationships/hyperlink" Target="http://www.foodsafety.govt.nz/science-risk/hazard-data-sheets/pathogen-data-sheets.htm" TargetMode="External"/><Relationship Id="rId194" Type="http://schemas.openxmlformats.org/officeDocument/2006/relationships/hyperlink" Target="https://doi.org/10.4315/0362-028X.JFP-13-011" TargetMode="External"/><Relationship Id="rId208" Type="http://schemas.openxmlformats.org/officeDocument/2006/relationships/hyperlink" Target="https://doi.org/10.1128/AEM.01095-10" TargetMode="External"/><Relationship Id="rId415" Type="http://schemas.openxmlformats.org/officeDocument/2006/relationships/hyperlink" Target="https://doi.org/10.3390/agriculture5020231" TargetMode="External"/><Relationship Id="rId622" Type="http://schemas.openxmlformats.org/officeDocument/2006/relationships/hyperlink" Target="https://doi.org/10.1111/j.1365-2621.2003.tb08280.x" TargetMode="External"/><Relationship Id="rId261" Type="http://schemas.openxmlformats.org/officeDocument/2006/relationships/hyperlink" Target="https://doi.org/10.1016/j.mran.2018.06.002" TargetMode="External"/><Relationship Id="rId499" Type="http://schemas.openxmlformats.org/officeDocument/2006/relationships/hyperlink" Target="https://doi.org/10.2807/1560-7917.es2015.20.29.21192" TargetMode="External"/><Relationship Id="rId56" Type="http://schemas.openxmlformats.org/officeDocument/2006/relationships/hyperlink" Target="https://www.horticulture.com.au/growers/help-your-business-grow/research-reports-publications-fact-sheets-and-more/vm19000/" TargetMode="External"/><Relationship Id="rId359" Type="http://schemas.openxmlformats.org/officeDocument/2006/relationships/hyperlink" Target="https://doi.org/10.4315/0362-028X.JFP-15-290" TargetMode="External"/><Relationship Id="rId566" Type="http://schemas.openxmlformats.org/officeDocument/2006/relationships/hyperlink" Target="http://www.fao.org/fao-who-codexalimentarius/standards/list-of-standards/en/" TargetMode="External"/><Relationship Id="rId121" Type="http://schemas.openxmlformats.org/officeDocument/2006/relationships/hyperlink" Target="https://doi.org/10.4315/0362-028X-69.6.1422" TargetMode="External"/><Relationship Id="rId219" Type="http://schemas.openxmlformats.org/officeDocument/2006/relationships/hyperlink" Target="https://doi.org/10.1016/j.foodcont.2019.02.015" TargetMode="External"/><Relationship Id="rId426" Type="http://schemas.openxmlformats.org/officeDocument/2006/relationships/hyperlink" Target="https://www.centerforproducesafety.org/researchproject/353/awards/Evaluation_of_the_level_of_whitetailed_deer_fecal_colonization_by_E_coli_O157H7_and_the_ecological_role_of_dung_beetles_with_the_pathogen_in_produce_farms.html" TargetMode="External"/><Relationship Id="rId67" Type="http://schemas.openxmlformats.org/officeDocument/2006/relationships/hyperlink" Target="https://doi.org/10.1128/AEM.02459-07" TargetMode="External"/><Relationship Id="rId272" Type="http://schemas.openxmlformats.org/officeDocument/2006/relationships/hyperlink" Target="https://doi.org/10.1017/S0950268808000861" TargetMode="External"/><Relationship Id="rId577" Type="http://schemas.openxmlformats.org/officeDocument/2006/relationships/hyperlink" Target="http://www.cdc.gov/ecoli/2011/O157_0311/index.html" TargetMode="External"/><Relationship Id="rId132" Type="http://schemas.openxmlformats.org/officeDocument/2006/relationships/hyperlink" Target="http://wayback.archive-it.org/7993/20171114155057/https://www.fda.gov/Food/RecallsOutbreaksEmergencies/Outbreaks/ucm341476.htm" TargetMode="External"/><Relationship Id="rId437" Type="http://schemas.openxmlformats.org/officeDocument/2006/relationships/footer" Target="footer5.xml"/><Relationship Id="rId283" Type="http://schemas.openxmlformats.org/officeDocument/2006/relationships/hyperlink" Target="https://www.dpi.nsw.gov.au/__data/assets/pdf_file/0020/1179011/Melon-food-safety-best-practice-guide.pdf" TargetMode="External"/><Relationship Id="rId490" Type="http://schemas.openxmlformats.org/officeDocument/2006/relationships/hyperlink" Target="https://doi.org/10.1007/s12560-018-9347-3" TargetMode="External"/><Relationship Id="rId504" Type="http://schemas.openxmlformats.org/officeDocument/2006/relationships/hyperlink" Target="https://doi.org/10.1007/s12560-014-9165-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legislation.gov.au/Details/F2012L00023" TargetMode="External"/><Relationship Id="rId13" Type="http://schemas.openxmlformats.org/officeDocument/2006/relationships/hyperlink" Target="https://www.foodstandards.gov.au/publications/Pages/agents-foodborne-illness.aspx" TargetMode="External"/><Relationship Id="rId3" Type="http://schemas.openxmlformats.org/officeDocument/2006/relationships/hyperlink" Target="https://www1.health.gov.au/internet/main/publishing.nsf/Content/cdna-casedefinitions.htm" TargetMode="External"/><Relationship Id="rId7" Type="http://schemas.openxmlformats.org/officeDocument/2006/relationships/hyperlink" Target="http://www.legislation.gov.au/Details/F2012L00023" TargetMode="External"/><Relationship Id="rId12" Type="http://schemas.openxmlformats.org/officeDocument/2006/relationships/hyperlink" Target="https://www.abs.gov.au/ausstats/abs@.nsf/Lookup/4364.0.55.007main+features12011-12" TargetMode="External"/><Relationship Id="rId17" Type="http://schemas.openxmlformats.org/officeDocument/2006/relationships/hyperlink" Target="https://www.foodstandards.gov.au/publications/Pages/agents-foodborne-illness.aspx" TargetMode="External"/><Relationship Id="rId2" Type="http://schemas.openxmlformats.org/officeDocument/2006/relationships/hyperlink" Target="https://www.health.gov.au/internet/main/publishing.nsf/Content/cdna-ozfoodnet-reports.htm" TargetMode="External"/><Relationship Id="rId16" Type="http://schemas.openxmlformats.org/officeDocument/2006/relationships/hyperlink" Target="https://www.foodstandards.gov.au/publications/Pages/agents-foodborne-illness.aspx" TargetMode="External"/><Relationship Id="rId1" Type="http://schemas.openxmlformats.org/officeDocument/2006/relationships/hyperlink" Target="https://www.foodstandards.gov.au/code/proposals/Pages/proposalp1015primary5412.aspx" TargetMode="External"/><Relationship Id="rId6" Type="http://schemas.openxmlformats.org/officeDocument/2006/relationships/hyperlink" Target="https://www.agriculture.gov.au/export/from-australia" TargetMode="External"/><Relationship Id="rId11" Type="http://schemas.openxmlformats.org/officeDocument/2006/relationships/hyperlink" Target="https://www.amr.gov.au/resources/national-amr-strategy" TargetMode="External"/><Relationship Id="rId5" Type="http://schemas.openxmlformats.org/officeDocument/2006/relationships/hyperlink" Target="https://www.agriculture.gov.au/export/from-australia" TargetMode="External"/><Relationship Id="rId15" Type="http://schemas.openxmlformats.org/officeDocument/2006/relationships/hyperlink" Target="https://www.foodstandards.gov.au/publications/Pages/agents-foodborne-illness.aspx" TargetMode="External"/><Relationship Id="rId10" Type="http://schemas.openxmlformats.org/officeDocument/2006/relationships/hyperlink" Target="https://www.amr.gov.au/resources/review-published-and-grey-literature-presence-antimicrobial-resistance-food-australia-and" TargetMode="External"/><Relationship Id="rId4" Type="http://schemas.openxmlformats.org/officeDocument/2006/relationships/hyperlink" Target="https://www.agriculture.gov.au/export/from-australia" TargetMode="External"/><Relationship Id="rId9" Type="http://schemas.openxmlformats.org/officeDocument/2006/relationships/hyperlink" Target="http://www.foodstandards.gov.au/publications/Pages/applerisk/fsanzriskassessmento5163.aspx" TargetMode="External"/><Relationship Id="rId14" Type="http://schemas.openxmlformats.org/officeDocument/2006/relationships/hyperlink" Target="https://www.foodstandards.gov.au/publications/Pages/agents-foodborne-illnes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86A4CA77FAD24FB4C8632D8CBF0C4A" ma:contentTypeVersion="3" ma:contentTypeDescription="Create a new document." ma:contentTypeScope="" ma:versionID="ccba20166b553e17643df228dde836f0">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d="http://www.w3.org/2001/XMLSchema" xmlns:xsi="http://www.w3.org/2001/XMLSchema-instance" xmlns="http://www.boldonjames.com/2008/01/sie/internal/label" sislVersion="0" policy="1865c0a7-d648-4a74-80fe-fa9dc7fe13cc" origin="defaultValue">
  <element uid="66ddac19-06c4-4e63-b4dd-d8240d87a23f" value=""/>
</sisl>
</file>

<file path=customXml/item3.xml><?xml version="1.0" encoding="utf-8"?>
<p:properties xmlns:p="http://schemas.microsoft.com/office/2006/metadata/properties" xmlns:xsi="http://www.w3.org/2001/XMLSchema-instance" xmlns:pc="http://schemas.microsoft.com/office/infopath/2007/PartnerControls">
  <documentManagement>
    <Related_x0020_project xmlns="ec50576e-4a27-4780-a1e1-e59563bc70b8" xsi:nil="true"/>
    <TaxCatchAll xmlns="ec50576e-4a27-4780-a1e1-e59563bc70b8">
      <Value>179</Value>
    </TaxCatchAll>
    <a41428b017d04df981d58ffdf035d7b8 xmlns="ec50576e-4a27-4780-a1e1-e59563bc70b8">
      <Terms xmlns="http://schemas.microsoft.com/office/infopath/2007/PartnerControls"/>
    </a41428b017d04df981d58ffdf035d7b8>
    <bd06d2da0152468b9236b575a71e0e7c xmlns="ec50576e-4a27-4780-a1e1-e59563bc70b8">
      <Terms xmlns="http://schemas.microsoft.com/office/infopath/2007/PartnerControls">
        <TermInfo xmlns="http://schemas.microsoft.com/office/infopath/2007/PartnerControls">
          <TermName xmlns="http://schemas.microsoft.com/office/infopath/2007/PartnerControls">Proposal</TermName>
          <TermId xmlns="http://schemas.microsoft.com/office/infopath/2007/PartnerControls">533e229c-cac0-4459-af5d-5bc160408ab2</TermId>
        </TermInfo>
      </Terms>
    </bd06d2da0152468b9236b575a71e0e7c>
    <_dlc_DocId xmlns="7e329c68-5cbf-4e54-96e5-e53e71021bd2">WYJEUTFRV6AA-1270573402-3514</_dlc_DocId>
    <_dlc_DocIdUrl xmlns="7e329c68-5cbf-4e54-96e5-e53e71021bd2">
      <Url>http://fsanzapps/proposals/P1052/_layouts/15/DocIdRedir.aspx?ID=WYJEUTFRV6AA-1270573402-3514</Url>
      <Description>WYJEUTFRV6AA-1270573402-3514</Description>
    </_dlc_DocIdUrl>
    <_dlc_DocIdPersistId xmlns="7e329c68-5cbf-4e54-96e5-e53e71021bd2" xsi:nil="true"/>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8A0B5-D9C5-46D2-9179-5F9D3DCBF3B1}"/>
</file>

<file path=customXml/itemProps2.xml><?xml version="1.0" encoding="utf-8"?>
<ds:datastoreItem xmlns:ds="http://schemas.openxmlformats.org/officeDocument/2006/customXml" ds:itemID="{4C23E801-997C-4BAE-A677-20B44723E519}"/>
</file>

<file path=customXml/itemProps3.xml><?xml version="1.0" encoding="utf-8"?>
<ds:datastoreItem xmlns:ds="http://schemas.openxmlformats.org/officeDocument/2006/customXml" ds:itemID="{95B0CCFB-F4AE-47BB-B912-BF2BCE1840D1}">
  <ds:schemaRefs>
    <ds:schemaRef ds:uri="http://schemas.microsoft.com/office/2006/metadata/properties"/>
    <ds:schemaRef ds:uri="http://schemas.microsoft.com/office/infopath/2007/PartnerControls"/>
    <ds:schemaRef ds:uri="ec50576e-4a27-4780-a1e1-e59563bc70b8"/>
    <ds:schemaRef ds:uri="7e329c68-5cbf-4e54-96e5-e53e71021bd2"/>
  </ds:schemaRefs>
</ds:datastoreItem>
</file>

<file path=customXml/itemProps4.xml><?xml version="1.0" encoding="utf-8"?>
<ds:datastoreItem xmlns:ds="http://schemas.openxmlformats.org/officeDocument/2006/customXml" ds:itemID="{95B0CCFB-F4AE-47BB-B912-BF2BCE1840D1}"/>
</file>

<file path=customXml/itemProps5.xml><?xml version="1.0" encoding="utf-8"?>
<ds:datastoreItem xmlns:ds="http://schemas.openxmlformats.org/officeDocument/2006/customXml" ds:itemID="{1BA360E7-7E3F-49B3-954B-DB9EA7EDC991}">
  <ds:schemaRefs>
    <ds:schemaRef ds:uri="http://schemas.microsoft.com/sharepoint/v3/contenttype/forms"/>
  </ds:schemaRefs>
</ds:datastoreItem>
</file>

<file path=customXml/itemProps6.xml><?xml version="1.0" encoding="utf-8"?>
<ds:datastoreItem xmlns:ds="http://schemas.openxmlformats.org/officeDocument/2006/customXml" ds:itemID="{1BA360E7-7E3F-49B3-954B-DB9EA7EDC991}"/>
</file>

<file path=customXml/itemProps7.xml><?xml version="1.0" encoding="utf-8"?>
<ds:datastoreItem xmlns:ds="http://schemas.openxmlformats.org/officeDocument/2006/customXml" ds:itemID="{B6490A85-83F5-49BE-88DA-51DA0F8F78B4}"/>
</file>

<file path=docProps/app.xml><?xml version="1.0" encoding="utf-8"?>
<Properties xmlns="http://schemas.openxmlformats.org/officeDocument/2006/extended-properties" xmlns:vt="http://schemas.openxmlformats.org/officeDocument/2006/docPropsVTypes">
  <Template>Normal</Template>
  <TotalTime>1130</TotalTime>
  <Pages>7</Pages>
  <Words>162906</Words>
  <Characters>928570</Characters>
  <Application>Microsoft Office Word</Application>
  <DocSecurity>0</DocSecurity>
  <Lines>7738</Lines>
  <Paragraphs>2178</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1089298</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seymok</dc:creator>
  <cp:keywords/>
  <cp:lastModifiedBy>Tailee Vecchi</cp:lastModifiedBy>
  <cp:revision>112</cp:revision>
  <cp:lastPrinted>2021-11-15T22:20:00Z</cp:lastPrinted>
  <dcterms:created xsi:type="dcterms:W3CDTF">2021-03-17T02:20:00Z</dcterms:created>
  <dcterms:modified xsi:type="dcterms:W3CDTF">2021-11-16T22:29:00Z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fb1baa14-dbb9-495a-a282-d02904cb89c1</vt:lpwstr>
  </property>
  <property fmtid="{D5CDD505-2E9C-101B-9397-08002B2CF9AE}" pid="3" name="bjSaver">
    <vt:lpwstr>LlgSMo3yJ+fkgNEgbtQQbG6KKfc49ivc</vt:lpwstr>
  </property>
  <property fmtid="{D5CDD505-2E9C-101B-9397-08002B2CF9AE}" pid="4" name="ContentTypeId">
    <vt:lpwstr>0x010100FB86A4CA77FAD24FB4C8632D8CBF0C4A</vt:lpwstr>
  </property>
  <property fmtid="{D5CDD505-2E9C-101B-9397-08002B2CF9AE}" pid="5" name="DisposalClass">
    <vt:lpwstr/>
  </property>
  <property fmtid="{D5CDD505-2E9C-101B-9397-08002B2CF9AE}" pid="6" name="BCS_">
    <vt:lpwstr>179;#Proposal|533e229c-cac0-4459-af5d-5bc160408ab2</vt:lpwstr>
  </property>
  <property fmtid="{D5CDD505-2E9C-101B-9397-08002B2CF9AE}" pid="7" name="_dlc_DocIdItemGuid">
    <vt:lpwstr>6794cdeb-b74b-406b-8b85-a5c549fc386c</vt:lpwstr>
  </property>
  <property fmtid="{D5CDD505-2E9C-101B-9397-08002B2CF9AE}" pid="8" name="CitaviDocumentProperty_6">
    <vt:lpwstr>False</vt:lpwstr>
  </property>
  <property fmtid="{D5CDD505-2E9C-101B-9397-08002B2CF9AE}" pid="9" name="bjDocumentLabelXML">
    <vt:lpwstr>&lt;?xml version="1.0" encoding="us-ascii"?&gt;&lt;sisl xmlns:xsd="http://www.w3.org/2001/XMLSchema" xmlns:xsi="http://www.w3.org/2001/XMLSchema-instance" sislVersion="0" policy="1865c0a7-d648-4a74-80fe-fa9dc7fe13cc" origin="defaultValue" xmlns="http://www.boldonj</vt:lpwstr>
  </property>
  <property fmtid="{D5CDD505-2E9C-101B-9397-08002B2CF9AE}" pid="10" name="bjDocumentLabelXML-0">
    <vt:lpwstr>ames.com/2008/01/sie/internal/label"&gt;&lt;element uid="66ddac19-06c4-4e63-b4dd-d8240d87a23f" value="" /&gt;&lt;/sisl&gt;</vt:lpwstr>
  </property>
  <property fmtid="{D5CDD505-2E9C-101B-9397-08002B2CF9AE}" pid="11" name="bjDocumentSecurityLabel">
    <vt:lpwstr>NO SECURITY CLASSIFICATION REQUIRED</vt:lpwstr>
  </property>
  <property fmtid="{D5CDD505-2E9C-101B-9397-08002B2CF9AE}" pid="12" name="RecordPoint_WorkflowType">
    <vt:lpwstr>ActiveSubmitStub</vt:lpwstr>
  </property>
  <property fmtid="{D5CDD505-2E9C-101B-9397-08002B2CF9AE}" pid="13" name="RecordPoint_ActiveItemUniqueId">
    <vt:lpwstr>{6794cdeb-b74b-406b-8b85-a5c549fc386c}</vt:lpwstr>
  </property>
  <property fmtid="{D5CDD505-2E9C-101B-9397-08002B2CF9AE}" pid="14" name="RecordPoint_ActiveItemWebId">
    <vt:lpwstr>{97e978f4-511a-4ec7-94bb-bbb94bd0a2f8}</vt:lpwstr>
  </property>
  <property fmtid="{D5CDD505-2E9C-101B-9397-08002B2CF9AE}" pid="15" name="RecordPoint_ActiveItemSiteId">
    <vt:lpwstr>{dd95a578-5c6a-4f11-92f7-f95884d628d6}</vt:lpwstr>
  </property>
  <property fmtid="{D5CDD505-2E9C-101B-9397-08002B2CF9AE}" pid="16" name="RecordPoint_ActiveItemListId">
    <vt:lpwstr>{477daa7b-e292-4da2-aa13-f17fd3269158}</vt:lpwstr>
  </property>
  <property fmtid="{D5CDD505-2E9C-101B-9397-08002B2CF9AE}" pid="17" name="RecordPoint_RecordNumberSubmitted">
    <vt:lpwstr>R0000192723</vt:lpwstr>
  </property>
  <property fmtid="{D5CDD505-2E9C-101B-9397-08002B2CF9AE}" pid="18" name="RecordPoint_SubmissionCompleted">
    <vt:lpwstr>2021-11-07T18:35:03.7164771+11:00</vt:lpwstr>
  </property>
  <property fmtid="{D5CDD505-2E9C-101B-9397-08002B2CF9AE}" pid="19" name="RecordPoint_SubmissionDate">
    <vt:lpwstr/>
  </property>
  <property fmtid="{D5CDD505-2E9C-101B-9397-08002B2CF9AE}" pid="20" name="RecordPoint_ActiveItemMoved">
    <vt:lpwstr/>
  </property>
  <property fmtid="{D5CDD505-2E9C-101B-9397-08002B2CF9AE}" pid="21" name="RecordPoint_RecordFormat">
    <vt:lpwstr/>
  </property>
</Properties>
</file>